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1435" w:rsidRPr="00EC4B3B" w:rsidRDefault="0047648E" w:rsidP="008B316C">
      <w:pPr>
        <w:spacing w:after="0" w:line="360" w:lineRule="auto"/>
        <w:jc w:val="both"/>
        <w:rPr>
          <w:rFonts w:cs="David"/>
          <w:b/>
          <w:bCs/>
          <w:sz w:val="28"/>
          <w:szCs w:val="28"/>
          <w:rtl/>
        </w:rPr>
      </w:pPr>
      <w:r w:rsidRPr="0047648E">
        <w:rPr>
          <w:color w:val="0000FF"/>
          <w:rtl/>
        </w:rPr>
        <w:pict>
          <v:group id="_x0000_s1036" style="position:absolute;left:0;text-align:left;margin-left:-75.35pt;margin-top:-14.2pt;width:549.35pt;height:25.7pt;z-index:251657728;mso-position-horizontal-relative:margin;mso-position-vertical-relative:margin" coordsize="20001,20000">
            <v:shape id="_x0000_s1037" style="position:absolute;top:2218;width:14321;height:17782" coordsize="20000,20000" path="m,19956l1014,,19997,,18838,19956r-18680,e" fillcolor="blue" strokeweight="2pt">
              <v:stroke startarrowwidth="narrow" startarrowlength="short" endarrowwidth="narrow" endarrowlength="short"/>
              <v:path arrowok="t"/>
            </v:shape>
            <v:shape id="_x0000_s1038" style="position:absolute;left:16786;width:3215;height:20000" coordsize="20000,20000" path="m,19961l4519,,19989,r,19961l646,19961e" fillcolor="blue" strokeweight="2pt">
              <v:stroke startarrowwidth="narrow" startarrowlength="short" endarrowwidth="narrow" endarrowlength="short"/>
              <v:path arrowok="t"/>
            </v:shape>
            <w10:wrap anchorx="margin" anchory="margin"/>
          </v:group>
        </w:pict>
      </w:r>
      <w:r w:rsidR="007E1435">
        <w:rPr>
          <w:noProof/>
          <w:sz w:val="20"/>
          <w:rtl/>
        </w:rPr>
        <w:drawing>
          <wp:anchor distT="0" distB="0" distL="114300" distR="114300" simplePos="0" relativeHeight="251656704" behindDoc="0" locked="0" layoutInCell="1" allowOverlap="1">
            <wp:simplePos x="0" y="0"/>
            <wp:positionH relativeFrom="page">
              <wp:posOffset>5261610</wp:posOffset>
            </wp:positionH>
            <wp:positionV relativeFrom="paragraph">
              <wp:posOffset>-699135</wp:posOffset>
            </wp:positionV>
            <wp:extent cx="719455" cy="901700"/>
            <wp:effectExtent l="19050" t="0" r="4445" b="0"/>
            <wp:wrapTight wrapText="bothSides">
              <wp:wrapPolygon edited="0">
                <wp:start x="-572" y="0"/>
                <wp:lineTo x="-572" y="19166"/>
                <wp:lineTo x="2288" y="20992"/>
                <wp:lineTo x="9723" y="20992"/>
                <wp:lineTo x="12583" y="20992"/>
                <wp:lineTo x="20018" y="20992"/>
                <wp:lineTo x="21733" y="19623"/>
                <wp:lineTo x="21733" y="0"/>
                <wp:lineTo x="-572" y="0"/>
              </wp:wrapPolygon>
            </wp:wrapTight>
            <wp:docPr id="1" name="תמונה 5" descr="מבל נק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מבל נקי"/>
                    <pic:cNvPicPr>
                      <a:picLocks noChangeAspect="1" noChangeArrowheads="1"/>
                    </pic:cNvPicPr>
                  </pic:nvPicPr>
                  <pic:blipFill>
                    <a:blip r:embed="rId8" cstate="print"/>
                    <a:srcRect/>
                    <a:stretch>
                      <a:fillRect/>
                    </a:stretch>
                  </pic:blipFill>
                  <pic:spPr bwMode="auto">
                    <a:xfrm>
                      <a:off x="0" y="0"/>
                      <a:ext cx="719455" cy="901700"/>
                    </a:xfrm>
                    <a:prstGeom prst="rect">
                      <a:avLst/>
                    </a:prstGeom>
                    <a:noFill/>
                  </pic:spPr>
                </pic:pic>
              </a:graphicData>
            </a:graphic>
          </wp:anchor>
        </w:drawing>
      </w:r>
    </w:p>
    <w:p w:rsidR="007E1435" w:rsidRPr="00F4645C" w:rsidRDefault="007E1435" w:rsidP="008B316C">
      <w:pPr>
        <w:spacing w:after="0" w:line="360" w:lineRule="auto"/>
        <w:jc w:val="center"/>
        <w:rPr>
          <w:rFonts w:cs="David"/>
          <w:b/>
          <w:bCs/>
          <w:sz w:val="30"/>
          <w:szCs w:val="30"/>
          <w:rtl/>
        </w:rPr>
      </w:pPr>
    </w:p>
    <w:p w:rsidR="007E1435" w:rsidRPr="00616215" w:rsidRDefault="007E1435" w:rsidP="008B316C">
      <w:pPr>
        <w:spacing w:after="0" w:line="360" w:lineRule="auto"/>
        <w:ind w:right="-1418" w:firstLine="720"/>
        <w:rPr>
          <w:rFonts w:ascii="Times New Roman" w:hAnsi="Times New Roman" w:cs="David"/>
          <w:bCs/>
          <w:color w:val="0000FF"/>
          <w:sz w:val="72"/>
          <w:szCs w:val="72"/>
          <w:rtl/>
        </w:rPr>
      </w:pPr>
      <w:r w:rsidRPr="00616215">
        <w:rPr>
          <w:rFonts w:ascii="Times New Roman" w:hAnsi="Times New Roman" w:cs="David"/>
          <w:bCs/>
          <w:color w:val="0000FF"/>
          <w:sz w:val="72"/>
          <w:szCs w:val="72"/>
          <w:rtl/>
        </w:rPr>
        <w:t>המכללה  לביטחון  לאומי</w:t>
      </w:r>
      <w:r w:rsidRPr="00616215">
        <w:rPr>
          <w:rFonts w:ascii="Times New Roman" w:hAnsi="Times New Roman" w:cs="David"/>
          <w:bCs/>
          <w:color w:val="0000FF"/>
          <w:sz w:val="72"/>
          <w:szCs w:val="72"/>
          <w:rtl/>
        </w:rPr>
        <w:tab/>
      </w:r>
      <w:r w:rsidRPr="00616215">
        <w:rPr>
          <w:rFonts w:ascii="Times New Roman" w:hAnsi="Times New Roman" w:cs="David"/>
          <w:bCs/>
          <w:color w:val="0000FF"/>
          <w:sz w:val="72"/>
          <w:szCs w:val="72"/>
          <w:rtl/>
        </w:rPr>
        <w:tab/>
      </w:r>
      <w:r w:rsidRPr="00616215">
        <w:rPr>
          <w:rFonts w:ascii="Times New Roman" w:hAnsi="Times New Roman" w:cs="David"/>
          <w:bCs/>
          <w:color w:val="0000FF"/>
          <w:sz w:val="72"/>
          <w:szCs w:val="72"/>
          <w:rtl/>
        </w:rPr>
        <w:tab/>
      </w:r>
      <w:r>
        <w:rPr>
          <w:rFonts w:ascii="Times New Roman" w:hAnsi="Times New Roman" w:cs="David" w:hint="cs"/>
          <w:bCs/>
          <w:color w:val="0000FF"/>
          <w:sz w:val="72"/>
          <w:szCs w:val="72"/>
          <w:rtl/>
        </w:rPr>
        <w:t xml:space="preserve">         </w:t>
      </w:r>
      <w:r w:rsidRPr="00616215">
        <w:rPr>
          <w:rFonts w:ascii="Times New Roman" w:hAnsi="Times New Roman" w:cs="David" w:hint="cs"/>
          <w:bCs/>
          <w:color w:val="0000FF"/>
          <w:sz w:val="72"/>
          <w:szCs w:val="72"/>
          <w:rtl/>
        </w:rPr>
        <w:tab/>
      </w:r>
      <w:r>
        <w:rPr>
          <w:rFonts w:ascii="Times New Roman" w:hAnsi="Times New Roman" w:cs="David" w:hint="cs"/>
          <w:bCs/>
          <w:color w:val="0000FF"/>
          <w:sz w:val="72"/>
          <w:szCs w:val="72"/>
          <w:rtl/>
        </w:rPr>
        <w:t xml:space="preserve">  </w:t>
      </w:r>
      <w:r w:rsidRPr="00616215">
        <w:rPr>
          <w:rFonts w:ascii="Times New Roman" w:hAnsi="Times New Roman" w:cs="David"/>
          <w:bCs/>
          <w:color w:val="0000FF"/>
          <w:sz w:val="56"/>
          <w:szCs w:val="56"/>
          <w:rtl/>
        </w:rPr>
        <w:t xml:space="preserve">מחזור   </w:t>
      </w:r>
      <w:r>
        <w:rPr>
          <w:rFonts w:ascii="Times New Roman" w:hAnsi="Times New Roman" w:cs="David" w:hint="cs"/>
          <w:bCs/>
          <w:color w:val="0000FF"/>
          <w:sz w:val="56"/>
          <w:szCs w:val="56"/>
          <w:rtl/>
        </w:rPr>
        <w:t>מ</w:t>
      </w:r>
      <w:r w:rsidRPr="00616215">
        <w:rPr>
          <w:rFonts w:ascii="Times New Roman" w:hAnsi="Times New Roman" w:cs="David"/>
          <w:bCs/>
          <w:color w:val="0000FF"/>
          <w:sz w:val="56"/>
          <w:szCs w:val="56"/>
          <w:rtl/>
        </w:rPr>
        <w:t>"</w:t>
      </w:r>
      <w:r>
        <w:rPr>
          <w:rFonts w:ascii="Times New Roman" w:hAnsi="Times New Roman" w:cs="David" w:hint="cs"/>
          <w:bCs/>
          <w:color w:val="0000FF"/>
          <w:sz w:val="56"/>
          <w:szCs w:val="56"/>
          <w:rtl/>
        </w:rPr>
        <w:t>ג</w:t>
      </w:r>
      <w:r w:rsidRPr="00616215">
        <w:rPr>
          <w:rFonts w:ascii="Times New Roman" w:hAnsi="Times New Roman" w:cs="David"/>
          <w:bCs/>
          <w:color w:val="0000FF"/>
          <w:sz w:val="56"/>
          <w:szCs w:val="56"/>
          <w:rtl/>
        </w:rPr>
        <w:t xml:space="preserve">            </w:t>
      </w:r>
      <w:r>
        <w:rPr>
          <w:rFonts w:ascii="Times New Roman" w:hAnsi="Times New Roman" w:cs="David"/>
          <w:b/>
          <w:color w:val="0000FF"/>
          <w:sz w:val="56"/>
          <w:szCs w:val="56"/>
          <w:rtl/>
        </w:rPr>
        <w:t>201</w:t>
      </w:r>
      <w:r>
        <w:rPr>
          <w:rFonts w:ascii="Times New Roman" w:hAnsi="Times New Roman" w:cs="David" w:hint="cs"/>
          <w:b/>
          <w:color w:val="0000FF"/>
          <w:sz w:val="56"/>
          <w:szCs w:val="56"/>
          <w:rtl/>
        </w:rPr>
        <w:t>5</w:t>
      </w:r>
      <w:r w:rsidRPr="00616215">
        <w:rPr>
          <w:rFonts w:ascii="Times New Roman" w:hAnsi="Times New Roman" w:cs="David"/>
          <w:b/>
          <w:color w:val="0000FF"/>
          <w:sz w:val="56"/>
          <w:szCs w:val="56"/>
          <w:rtl/>
        </w:rPr>
        <w:t>-201</w:t>
      </w:r>
      <w:r>
        <w:rPr>
          <w:rFonts w:ascii="Times New Roman" w:hAnsi="Times New Roman" w:cs="David" w:hint="cs"/>
          <w:b/>
          <w:color w:val="0000FF"/>
          <w:sz w:val="56"/>
          <w:szCs w:val="56"/>
          <w:rtl/>
        </w:rPr>
        <w:t>6</w:t>
      </w:r>
    </w:p>
    <w:p w:rsidR="007E1435" w:rsidRPr="00F4645C" w:rsidRDefault="007E1435" w:rsidP="008B316C">
      <w:pPr>
        <w:spacing w:after="0" w:line="360" w:lineRule="auto"/>
        <w:jc w:val="center"/>
        <w:rPr>
          <w:bCs/>
          <w:color w:val="0000FF"/>
          <w:sz w:val="24"/>
          <w:szCs w:val="24"/>
          <w:rtl/>
        </w:rPr>
      </w:pPr>
    </w:p>
    <w:p w:rsidR="007E1435" w:rsidRPr="00616215" w:rsidRDefault="007E1435" w:rsidP="008B316C">
      <w:pPr>
        <w:spacing w:after="0" w:line="360" w:lineRule="auto"/>
        <w:jc w:val="center"/>
        <w:rPr>
          <w:rFonts w:ascii="Times New Roman" w:hAnsi="Times New Roman" w:cs="David"/>
          <w:bCs/>
          <w:color w:val="0000FF"/>
          <w:sz w:val="40"/>
          <w:szCs w:val="40"/>
          <w:rtl/>
        </w:rPr>
      </w:pPr>
      <w:r w:rsidRPr="00616215">
        <w:rPr>
          <w:rFonts w:ascii="Times New Roman" w:hAnsi="Times New Roman" w:cs="David"/>
          <w:bCs/>
          <w:color w:val="0000FF"/>
          <w:sz w:val="40"/>
          <w:szCs w:val="40"/>
          <w:rtl/>
        </w:rPr>
        <w:t>אוניברסיטת חיפה</w:t>
      </w:r>
    </w:p>
    <w:p w:rsidR="007E1435" w:rsidRPr="001A28AF" w:rsidRDefault="007E1435" w:rsidP="008B316C">
      <w:pPr>
        <w:spacing w:after="0" w:line="360" w:lineRule="auto"/>
        <w:jc w:val="center"/>
        <w:rPr>
          <w:rFonts w:ascii="Times New Roman" w:hAnsi="Times New Roman" w:cs="David"/>
          <w:bCs/>
          <w:color w:val="0000FF"/>
          <w:sz w:val="40"/>
          <w:szCs w:val="40"/>
          <w:rtl/>
        </w:rPr>
      </w:pPr>
      <w:r w:rsidRPr="00616215">
        <w:rPr>
          <w:rFonts w:ascii="Times New Roman" w:hAnsi="Times New Roman" w:cs="David"/>
          <w:bCs/>
          <w:color w:val="0000FF"/>
          <w:sz w:val="40"/>
          <w:szCs w:val="40"/>
          <w:rtl/>
        </w:rPr>
        <w:t>המחלקה למדעי המדינה</w:t>
      </w:r>
    </w:p>
    <w:p w:rsidR="007E1435" w:rsidRPr="00F4645C" w:rsidRDefault="007E1435" w:rsidP="008B316C">
      <w:pPr>
        <w:pStyle w:val="ac"/>
        <w:spacing w:line="360" w:lineRule="auto"/>
        <w:ind w:right="-426"/>
        <w:jc w:val="left"/>
        <w:rPr>
          <w:color w:val="0000FF"/>
          <w:sz w:val="48"/>
          <w:szCs w:val="48"/>
          <w:rtl/>
        </w:rPr>
      </w:pPr>
      <w:r w:rsidRPr="00616215">
        <w:rPr>
          <w:color w:val="0000FF"/>
          <w:sz w:val="72"/>
          <w:szCs w:val="72"/>
          <w:rtl/>
        </w:rPr>
        <w:t xml:space="preserve"> </w:t>
      </w:r>
    </w:p>
    <w:p w:rsidR="007E1435" w:rsidRPr="00F4645C" w:rsidRDefault="007E1435" w:rsidP="009C039C">
      <w:pPr>
        <w:pStyle w:val="ac"/>
        <w:spacing w:line="360" w:lineRule="auto"/>
        <w:ind w:right="-426"/>
        <w:rPr>
          <w:color w:val="0000FF"/>
          <w:sz w:val="50"/>
          <w:szCs w:val="50"/>
          <w:rtl/>
        </w:rPr>
      </w:pPr>
      <w:r w:rsidRPr="00F4645C">
        <w:rPr>
          <w:rFonts w:hint="cs"/>
          <w:color w:val="0000FF"/>
          <w:sz w:val="50"/>
          <w:szCs w:val="50"/>
          <w:rtl/>
        </w:rPr>
        <w:t xml:space="preserve">שיתוף </w:t>
      </w:r>
      <w:r w:rsidR="00692192">
        <w:rPr>
          <w:rFonts w:hint="cs"/>
          <w:color w:val="0000FF"/>
          <w:sz w:val="50"/>
          <w:szCs w:val="50"/>
          <w:rtl/>
        </w:rPr>
        <w:t>ה</w:t>
      </w:r>
      <w:r w:rsidRPr="00F4645C">
        <w:rPr>
          <w:rFonts w:hint="cs"/>
          <w:color w:val="0000FF"/>
          <w:sz w:val="50"/>
          <w:szCs w:val="50"/>
          <w:rtl/>
        </w:rPr>
        <w:t xml:space="preserve">פעולה של מדינת ישראל עם </w:t>
      </w:r>
      <w:r w:rsidR="009C039C">
        <w:rPr>
          <w:rFonts w:hint="cs"/>
          <w:color w:val="0000FF"/>
          <w:sz w:val="50"/>
          <w:szCs w:val="50"/>
          <w:rtl/>
        </w:rPr>
        <w:t xml:space="preserve">ועדות </w:t>
      </w:r>
      <w:r w:rsidRPr="00F4645C">
        <w:rPr>
          <w:rFonts w:hint="cs"/>
          <w:color w:val="0000FF"/>
          <w:sz w:val="50"/>
          <w:szCs w:val="50"/>
          <w:rtl/>
        </w:rPr>
        <w:t xml:space="preserve"> </w:t>
      </w:r>
      <w:r w:rsidR="009C039C">
        <w:rPr>
          <w:rFonts w:hint="cs"/>
          <w:color w:val="0000FF"/>
          <w:sz w:val="50"/>
          <w:szCs w:val="50"/>
          <w:rtl/>
        </w:rPr>
        <w:t xml:space="preserve">חקירה </w:t>
      </w:r>
      <w:r w:rsidRPr="00F4645C">
        <w:rPr>
          <w:rFonts w:hint="cs"/>
          <w:color w:val="0000FF"/>
          <w:sz w:val="50"/>
          <w:szCs w:val="50"/>
          <w:rtl/>
        </w:rPr>
        <w:t>בינלאומי</w:t>
      </w:r>
      <w:r w:rsidR="009C039C">
        <w:rPr>
          <w:rFonts w:hint="cs"/>
          <w:color w:val="0000FF"/>
          <w:sz w:val="50"/>
          <w:szCs w:val="50"/>
          <w:rtl/>
        </w:rPr>
        <w:t>ות</w:t>
      </w:r>
    </w:p>
    <w:p w:rsidR="007E1435" w:rsidRPr="00F4645C" w:rsidRDefault="007E1435" w:rsidP="008B316C">
      <w:pPr>
        <w:pStyle w:val="ac"/>
        <w:spacing w:line="360" w:lineRule="auto"/>
        <w:ind w:right="-426"/>
        <w:rPr>
          <w:rFonts w:asciiTheme="minorHAnsi" w:hAnsiTheme="minorHAnsi"/>
          <w:color w:val="0000FF"/>
          <w:sz w:val="50"/>
          <w:szCs w:val="50"/>
          <w:rtl/>
        </w:rPr>
      </w:pPr>
    </w:p>
    <w:p w:rsidR="007E1435" w:rsidRPr="009D4F9E" w:rsidRDefault="007E1435" w:rsidP="008B316C">
      <w:pPr>
        <w:pStyle w:val="ac"/>
        <w:spacing w:line="360" w:lineRule="auto"/>
        <w:ind w:right="-426"/>
        <w:rPr>
          <w:color w:val="0000FF"/>
          <w:sz w:val="40"/>
          <w:szCs w:val="40"/>
          <w:rtl/>
        </w:rPr>
      </w:pPr>
    </w:p>
    <w:p w:rsidR="00A755AE" w:rsidRDefault="00A755AE" w:rsidP="00A755AE">
      <w:pPr>
        <w:pStyle w:val="ac"/>
        <w:spacing w:line="360" w:lineRule="auto"/>
        <w:ind w:right="-426"/>
        <w:jc w:val="left"/>
        <w:rPr>
          <w:color w:val="0000FF"/>
          <w:sz w:val="36"/>
          <w:szCs w:val="36"/>
          <w:rtl/>
        </w:rPr>
      </w:pPr>
      <w:r>
        <w:rPr>
          <w:rFonts w:hint="cs"/>
          <w:color w:val="0000FF"/>
          <w:sz w:val="36"/>
          <w:szCs w:val="36"/>
          <w:rtl/>
        </w:rPr>
        <w:t>מגיש: אל"ם אלי בר-און</w:t>
      </w:r>
    </w:p>
    <w:p w:rsidR="007E1435" w:rsidRDefault="007E1435" w:rsidP="00692192">
      <w:pPr>
        <w:pStyle w:val="ac"/>
        <w:spacing w:line="360" w:lineRule="auto"/>
        <w:ind w:right="-426"/>
        <w:jc w:val="left"/>
        <w:rPr>
          <w:color w:val="0000FF"/>
          <w:sz w:val="36"/>
          <w:szCs w:val="36"/>
          <w:rtl/>
        </w:rPr>
      </w:pPr>
      <w:r>
        <w:rPr>
          <w:rFonts w:hint="cs"/>
          <w:color w:val="0000FF"/>
          <w:sz w:val="36"/>
          <w:szCs w:val="36"/>
          <w:rtl/>
        </w:rPr>
        <w:t>מנחה: ד"ר דפנה ריצ'מונד-ברק</w:t>
      </w:r>
    </w:p>
    <w:p w:rsidR="007E1435" w:rsidRDefault="007E1435" w:rsidP="008B316C">
      <w:pPr>
        <w:pStyle w:val="ac"/>
        <w:spacing w:line="360" w:lineRule="auto"/>
        <w:ind w:left="6480" w:right="-426"/>
        <w:jc w:val="left"/>
        <w:rPr>
          <w:sz w:val="56"/>
          <w:szCs w:val="56"/>
          <w:rtl/>
        </w:rPr>
      </w:pPr>
      <w:r w:rsidRPr="00D65579">
        <w:rPr>
          <w:rFonts w:hint="cs"/>
          <w:sz w:val="56"/>
          <w:szCs w:val="56"/>
          <w:rtl/>
        </w:rPr>
        <w:t xml:space="preserve"> </w:t>
      </w:r>
      <w:r>
        <w:rPr>
          <w:rFonts w:hint="cs"/>
          <w:sz w:val="56"/>
          <w:szCs w:val="56"/>
          <w:rtl/>
        </w:rPr>
        <w:t xml:space="preserve">          </w:t>
      </w:r>
    </w:p>
    <w:p w:rsidR="007E1435" w:rsidRDefault="0047648E" w:rsidP="008B316C">
      <w:pPr>
        <w:pStyle w:val="ac"/>
        <w:spacing w:line="360" w:lineRule="auto"/>
        <w:ind w:left="5760" w:right="-426"/>
        <w:jc w:val="left"/>
        <w:rPr>
          <w:color w:val="0000FF"/>
          <w:sz w:val="36"/>
          <w:szCs w:val="36"/>
          <w:rtl/>
        </w:rPr>
      </w:pPr>
      <w:r w:rsidRPr="0047648E">
        <w:rPr>
          <w:noProof/>
          <w:snapToGrid/>
          <w:sz w:val="36"/>
          <w:szCs w:val="36"/>
          <w:rtl/>
          <w:lang w:eastAsia="en-US"/>
        </w:rPr>
        <w:pict>
          <v:group id="_x0000_s1039" style="position:absolute;left:0;text-align:left;margin-left:-67.55pt;margin-top:693pt;width:550.1pt;height:39.1pt;z-index:251658752;mso-position-horizontal-relative:margin;mso-position-vertical-relative:margin" coordsize="20000,20000">
            <v:shape id="_x0000_s1040" style="position:absolute;left:4870;top:5831;width:15130;height:10230" coordsize="20000,20000" path="m1091,l,19950r19998,l19998,,1091,xe" fillcolor="blue" strokeweight="2pt">
              <v:stroke startarrowwidth="narrow" startarrowlength="short" endarrowwidth="narrow" endarrowlength="short"/>
              <v:path arrowok="t"/>
            </v:shape>
            <v:shape id="_x0000_s1041" style="position:absolute;top:5831;width:3110;height:10230" coordsize="20000,20000" path="m19988,l15324,19950,,19950,4664,,19988,e" fillcolor="blue" strokeweight="2pt">
              <v:stroke startarrowwidth="narrow" startarrowlength="short" endarrowwidth="narrow" endarrowlength="short"/>
              <v:path arrowok="t"/>
            </v:shape>
            <v:group id="_x0000_s1042" style="position:absolute;left:3105;width:1729;height:20000" coordsize="20000,20000">
              <v:shape id="_x0000_s1043" style="position:absolute;width:16356;height:15729" coordsize="20000,20000" path="m,19967l19974,,17763,19967,,19967xe" fillcolor="blue" strokeweight="2pt">
                <v:stroke startarrowwidth="narrow" startarrowlength="short" endarrowwidth="narrow" endarrowlength="short"/>
                <v:path arrowok="t"/>
              </v:shape>
              <v:shape id="_x0000_s1044" style="position:absolute;left:3632;top:5831;width:16368;height:14169" coordsize="20000,20000" path="m19974,l,19964,2211,,19974,xe" fillcolor="blue" strokeweight="2pt">
                <v:stroke startarrowwidth="narrow" startarrowlength="short" endarrowwidth="narrow" endarrowlength="short"/>
                <v:path arrowok="t"/>
              </v:shape>
            </v:group>
            <w10:wrap anchorx="margin" anchory="margin"/>
          </v:group>
        </w:pict>
      </w:r>
      <w:r w:rsidR="001C1ED2">
        <w:rPr>
          <w:rFonts w:hint="cs"/>
          <w:color w:val="0000FF"/>
          <w:sz w:val="36"/>
          <w:szCs w:val="36"/>
          <w:rtl/>
        </w:rPr>
        <w:t>יונ</w:t>
      </w:r>
      <w:r w:rsidR="007E1435" w:rsidRPr="00F4645C">
        <w:rPr>
          <w:rFonts w:hint="cs"/>
          <w:color w:val="0000FF"/>
          <w:sz w:val="36"/>
          <w:szCs w:val="36"/>
          <w:rtl/>
        </w:rPr>
        <w:t>י 2016</w:t>
      </w:r>
    </w:p>
    <w:p w:rsidR="007E1435" w:rsidRDefault="007E1435" w:rsidP="008B316C">
      <w:pPr>
        <w:bidi w:val="0"/>
        <w:spacing w:after="0" w:line="360" w:lineRule="auto"/>
        <w:rPr>
          <w:rFonts w:cs="David"/>
          <w:b/>
          <w:bCs/>
          <w:sz w:val="28"/>
          <w:szCs w:val="28"/>
          <w:u w:val="single"/>
          <w:rtl/>
        </w:rPr>
      </w:pPr>
    </w:p>
    <w:p w:rsidR="007E1435" w:rsidRDefault="007E1435" w:rsidP="008B316C">
      <w:pPr>
        <w:bidi w:val="0"/>
        <w:spacing w:after="0" w:line="360" w:lineRule="auto"/>
        <w:rPr>
          <w:rFonts w:cs="David"/>
          <w:b/>
          <w:bCs/>
          <w:sz w:val="28"/>
          <w:szCs w:val="28"/>
          <w:u w:val="single"/>
          <w:rtl/>
        </w:rPr>
      </w:pPr>
    </w:p>
    <w:p w:rsidR="007E1435" w:rsidRDefault="007E1435" w:rsidP="008B316C">
      <w:pPr>
        <w:bidi w:val="0"/>
        <w:spacing w:after="0" w:line="360" w:lineRule="auto"/>
        <w:rPr>
          <w:rFonts w:cs="David"/>
          <w:b/>
          <w:bCs/>
          <w:sz w:val="28"/>
          <w:szCs w:val="28"/>
          <w:u w:val="single"/>
          <w:rtl/>
        </w:rPr>
      </w:pPr>
    </w:p>
    <w:p w:rsidR="00A755AE" w:rsidRDefault="00A755AE">
      <w:pPr>
        <w:bidi w:val="0"/>
        <w:rPr>
          <w:rFonts w:cs="David"/>
          <w:b/>
          <w:bCs/>
          <w:sz w:val="32"/>
          <w:szCs w:val="32"/>
        </w:rPr>
      </w:pPr>
      <w:r>
        <w:rPr>
          <w:rFonts w:cs="David"/>
          <w:b/>
          <w:bCs/>
          <w:sz w:val="32"/>
          <w:szCs w:val="32"/>
          <w:rtl/>
        </w:rPr>
        <w:br w:type="page"/>
      </w:r>
    </w:p>
    <w:p w:rsidR="003809F7" w:rsidRDefault="003809F7" w:rsidP="003809F7">
      <w:pPr>
        <w:pStyle w:val="TOC1"/>
        <w:rPr>
          <w:sz w:val="32"/>
          <w:szCs w:val="32"/>
          <w:rtl/>
        </w:rPr>
      </w:pPr>
      <w:r>
        <w:rPr>
          <w:rFonts w:hint="cs"/>
          <w:sz w:val="32"/>
          <w:szCs w:val="32"/>
          <w:rtl/>
        </w:rPr>
        <w:lastRenderedPageBreak/>
        <w:t>תוכן העניינים</w:t>
      </w:r>
    </w:p>
    <w:p w:rsidR="003809F7" w:rsidRPr="003809F7" w:rsidRDefault="003809F7" w:rsidP="003809F7">
      <w:pPr>
        <w:rPr>
          <w:rtl/>
        </w:rPr>
      </w:pPr>
    </w:p>
    <w:p w:rsidR="00FA11B8" w:rsidRDefault="0047648E">
      <w:pPr>
        <w:pStyle w:val="TOC1"/>
        <w:rPr>
          <w:rFonts w:eastAsiaTheme="minorEastAsia" w:cstheme="minorBidi"/>
          <w:b w:val="0"/>
          <w:bCs w:val="0"/>
          <w:sz w:val="22"/>
          <w:szCs w:val="22"/>
          <w:rtl/>
        </w:rPr>
      </w:pPr>
      <w:r w:rsidRPr="0047648E">
        <w:rPr>
          <w:sz w:val="32"/>
          <w:szCs w:val="32"/>
          <w:rtl/>
        </w:rPr>
        <w:fldChar w:fldCharType="begin"/>
      </w:r>
      <w:r w:rsidR="00441861">
        <w:rPr>
          <w:sz w:val="32"/>
          <w:szCs w:val="32"/>
          <w:rtl/>
        </w:rPr>
        <w:instrText xml:space="preserve"> </w:instrText>
      </w:r>
      <w:r w:rsidR="00441861">
        <w:rPr>
          <w:rFonts w:hint="cs"/>
          <w:sz w:val="32"/>
          <w:szCs w:val="32"/>
        </w:rPr>
        <w:instrText>TOC</w:instrText>
      </w:r>
      <w:r w:rsidR="00441861">
        <w:rPr>
          <w:rFonts w:hint="cs"/>
          <w:sz w:val="32"/>
          <w:szCs w:val="32"/>
          <w:rtl/>
        </w:rPr>
        <w:instrText xml:space="preserve"> \</w:instrText>
      </w:r>
      <w:r w:rsidR="00441861">
        <w:rPr>
          <w:rFonts w:hint="cs"/>
          <w:sz w:val="32"/>
          <w:szCs w:val="32"/>
        </w:rPr>
        <w:instrText>o "1-3" \h \z \u</w:instrText>
      </w:r>
      <w:r w:rsidR="00441861">
        <w:rPr>
          <w:sz w:val="32"/>
          <w:szCs w:val="32"/>
          <w:rtl/>
        </w:rPr>
        <w:instrText xml:space="preserve"> </w:instrText>
      </w:r>
      <w:r w:rsidRPr="0047648E">
        <w:rPr>
          <w:sz w:val="32"/>
          <w:szCs w:val="32"/>
          <w:rtl/>
        </w:rPr>
        <w:fldChar w:fldCharType="separate"/>
      </w:r>
      <w:hyperlink w:anchor="_Toc456027295" w:history="1">
        <w:r w:rsidR="00FA11B8" w:rsidRPr="003C40C8">
          <w:rPr>
            <w:rStyle w:val="Hyperlink"/>
            <w:rFonts w:hint="eastAsia"/>
            <w:rtl/>
          </w:rPr>
          <w:t>מבוא</w:t>
        </w:r>
        <w:r w:rsidR="00FA11B8">
          <w:rPr>
            <w:webHidden/>
            <w:rtl/>
          </w:rPr>
          <w:tab/>
        </w:r>
        <w:r w:rsidR="00FA11B8">
          <w:rPr>
            <w:webHidden/>
            <w:rtl/>
          </w:rPr>
          <w:fldChar w:fldCharType="begin"/>
        </w:r>
        <w:r w:rsidR="00FA11B8">
          <w:rPr>
            <w:webHidden/>
            <w:rtl/>
          </w:rPr>
          <w:instrText xml:space="preserve"> </w:instrText>
        </w:r>
        <w:r w:rsidR="00FA11B8">
          <w:rPr>
            <w:webHidden/>
          </w:rPr>
          <w:instrText>PAGEREF</w:instrText>
        </w:r>
        <w:r w:rsidR="00FA11B8">
          <w:rPr>
            <w:webHidden/>
            <w:rtl/>
          </w:rPr>
          <w:instrText xml:space="preserve"> _</w:instrText>
        </w:r>
        <w:r w:rsidR="00FA11B8">
          <w:rPr>
            <w:webHidden/>
          </w:rPr>
          <w:instrText>Toc456027295 \h</w:instrText>
        </w:r>
        <w:r w:rsidR="00FA11B8">
          <w:rPr>
            <w:webHidden/>
            <w:rtl/>
          </w:rPr>
          <w:instrText xml:space="preserve"> </w:instrText>
        </w:r>
        <w:r w:rsidR="00FA11B8">
          <w:rPr>
            <w:webHidden/>
            <w:rtl/>
          </w:rPr>
        </w:r>
        <w:r w:rsidR="00FA11B8">
          <w:rPr>
            <w:webHidden/>
            <w:rtl/>
          </w:rPr>
          <w:fldChar w:fldCharType="separate"/>
        </w:r>
        <w:r w:rsidR="00FA11B8">
          <w:rPr>
            <w:webHidden/>
            <w:rtl/>
          </w:rPr>
          <w:t>5</w:t>
        </w:r>
        <w:r w:rsidR="00FA11B8">
          <w:rPr>
            <w:webHidden/>
            <w:rtl/>
          </w:rPr>
          <w:fldChar w:fldCharType="end"/>
        </w:r>
      </w:hyperlink>
    </w:p>
    <w:p w:rsidR="00FA11B8" w:rsidRDefault="00FA11B8">
      <w:pPr>
        <w:pStyle w:val="TOC1"/>
        <w:rPr>
          <w:rFonts w:eastAsiaTheme="minorEastAsia" w:cstheme="minorBidi"/>
          <w:b w:val="0"/>
          <w:bCs w:val="0"/>
          <w:sz w:val="22"/>
          <w:szCs w:val="22"/>
          <w:rtl/>
        </w:rPr>
      </w:pPr>
      <w:hyperlink w:anchor="_Toc456027296" w:history="1">
        <w:r w:rsidRPr="003C40C8">
          <w:rPr>
            <w:rStyle w:val="Hyperlink"/>
            <w:rFonts w:hint="eastAsia"/>
            <w:rtl/>
          </w:rPr>
          <w:t>שיטת</w:t>
        </w:r>
        <w:r w:rsidRPr="003C40C8">
          <w:rPr>
            <w:rStyle w:val="Hyperlink"/>
            <w:rtl/>
          </w:rPr>
          <w:t xml:space="preserve"> </w:t>
        </w:r>
        <w:r w:rsidRPr="003C40C8">
          <w:rPr>
            <w:rStyle w:val="Hyperlink"/>
            <w:rFonts w:hint="eastAsia"/>
            <w:rtl/>
          </w:rPr>
          <w:t>המחקר</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Toc456027296 \h</w:instrText>
        </w:r>
        <w:r>
          <w:rPr>
            <w:webHidden/>
            <w:rtl/>
          </w:rPr>
          <w:instrText xml:space="preserve"> </w:instrText>
        </w:r>
        <w:r>
          <w:rPr>
            <w:webHidden/>
            <w:rtl/>
          </w:rPr>
        </w:r>
        <w:r>
          <w:rPr>
            <w:webHidden/>
            <w:rtl/>
          </w:rPr>
          <w:fldChar w:fldCharType="separate"/>
        </w:r>
        <w:r>
          <w:rPr>
            <w:webHidden/>
            <w:rtl/>
          </w:rPr>
          <w:t>13</w:t>
        </w:r>
        <w:r>
          <w:rPr>
            <w:webHidden/>
            <w:rtl/>
          </w:rPr>
          <w:fldChar w:fldCharType="end"/>
        </w:r>
      </w:hyperlink>
    </w:p>
    <w:p w:rsidR="00FA11B8" w:rsidRDefault="00FA11B8">
      <w:pPr>
        <w:pStyle w:val="TOC1"/>
        <w:rPr>
          <w:rFonts w:eastAsiaTheme="minorEastAsia" w:cstheme="minorBidi"/>
          <w:b w:val="0"/>
          <w:bCs w:val="0"/>
          <w:sz w:val="22"/>
          <w:szCs w:val="22"/>
          <w:rtl/>
        </w:rPr>
      </w:pPr>
      <w:hyperlink w:anchor="_Toc456027297" w:history="1">
        <w:r w:rsidRPr="003C40C8">
          <w:rPr>
            <w:rStyle w:val="Hyperlink"/>
            <w:rFonts w:hint="eastAsia"/>
            <w:rtl/>
          </w:rPr>
          <w:t>פרק</w:t>
        </w:r>
        <w:r w:rsidRPr="003C40C8">
          <w:rPr>
            <w:rStyle w:val="Hyperlink"/>
            <w:rtl/>
          </w:rPr>
          <w:t xml:space="preserve"> </w:t>
        </w:r>
        <w:r w:rsidRPr="003C40C8">
          <w:rPr>
            <w:rStyle w:val="Hyperlink"/>
            <w:rFonts w:hint="eastAsia"/>
            <w:rtl/>
          </w:rPr>
          <w:t>א</w:t>
        </w:r>
        <w:r w:rsidRPr="003C40C8">
          <w:rPr>
            <w:rStyle w:val="Hyperlink"/>
            <w:rtl/>
          </w:rPr>
          <w:t xml:space="preserve">' - </w:t>
        </w:r>
        <w:r w:rsidRPr="003C40C8">
          <w:rPr>
            <w:rStyle w:val="Hyperlink"/>
            <w:rFonts w:hint="eastAsia"/>
            <w:rtl/>
          </w:rPr>
          <w:t>ועדות</w:t>
        </w:r>
        <w:r w:rsidRPr="003C40C8">
          <w:rPr>
            <w:rStyle w:val="Hyperlink"/>
            <w:rtl/>
          </w:rPr>
          <w:t xml:space="preserve"> </w:t>
        </w:r>
        <w:r w:rsidRPr="003C40C8">
          <w:rPr>
            <w:rStyle w:val="Hyperlink"/>
            <w:rFonts w:hint="eastAsia"/>
            <w:rtl/>
          </w:rPr>
          <w:t>חקירה</w:t>
        </w:r>
        <w:r w:rsidRPr="003C40C8">
          <w:rPr>
            <w:rStyle w:val="Hyperlink"/>
            <w:rtl/>
          </w:rPr>
          <w:t xml:space="preserve"> </w:t>
        </w:r>
        <w:r w:rsidRPr="003C40C8">
          <w:rPr>
            <w:rStyle w:val="Hyperlink"/>
            <w:rFonts w:hint="eastAsia"/>
            <w:rtl/>
          </w:rPr>
          <w:t>בינלאומיות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Toc456027297 \h</w:instrText>
        </w:r>
        <w:r>
          <w:rPr>
            <w:webHidden/>
            <w:rtl/>
          </w:rPr>
          <w:instrText xml:space="preserve"> </w:instrText>
        </w:r>
        <w:r>
          <w:rPr>
            <w:webHidden/>
            <w:rtl/>
          </w:rPr>
        </w:r>
        <w:r>
          <w:rPr>
            <w:webHidden/>
            <w:rtl/>
          </w:rPr>
          <w:fldChar w:fldCharType="separate"/>
        </w:r>
        <w:r>
          <w:rPr>
            <w:webHidden/>
            <w:rtl/>
          </w:rPr>
          <w:t>15</w:t>
        </w:r>
        <w:r>
          <w:rPr>
            <w:webHidden/>
            <w:rtl/>
          </w:rPr>
          <w:fldChar w:fldCharType="end"/>
        </w:r>
      </w:hyperlink>
    </w:p>
    <w:p w:rsidR="00FA11B8" w:rsidRDefault="00FA11B8">
      <w:pPr>
        <w:pStyle w:val="TOC1"/>
        <w:rPr>
          <w:rFonts w:eastAsiaTheme="minorEastAsia" w:cstheme="minorBidi"/>
          <w:b w:val="0"/>
          <w:bCs w:val="0"/>
          <w:sz w:val="22"/>
          <w:szCs w:val="22"/>
          <w:rtl/>
        </w:rPr>
      </w:pPr>
      <w:hyperlink w:anchor="_Toc456027298" w:history="1">
        <w:r w:rsidRPr="003C40C8">
          <w:rPr>
            <w:rStyle w:val="Hyperlink"/>
            <w:rFonts w:hint="eastAsia"/>
            <w:rtl/>
          </w:rPr>
          <w:t>פרק</w:t>
        </w:r>
        <w:r w:rsidRPr="003C40C8">
          <w:rPr>
            <w:rStyle w:val="Hyperlink"/>
            <w:rtl/>
          </w:rPr>
          <w:t xml:space="preserve"> </w:t>
        </w:r>
        <w:r w:rsidRPr="003C40C8">
          <w:rPr>
            <w:rStyle w:val="Hyperlink"/>
            <w:rFonts w:hint="eastAsia"/>
            <w:rtl/>
          </w:rPr>
          <w:t>ב</w:t>
        </w:r>
        <w:r w:rsidRPr="003C40C8">
          <w:rPr>
            <w:rStyle w:val="Hyperlink"/>
            <w:rtl/>
          </w:rPr>
          <w:t xml:space="preserve">' – </w:t>
        </w:r>
        <w:r w:rsidRPr="003C40C8">
          <w:rPr>
            <w:rStyle w:val="Hyperlink"/>
            <w:rFonts w:hint="eastAsia"/>
            <w:rtl/>
          </w:rPr>
          <w:t>מקומו</w:t>
        </w:r>
        <w:r w:rsidRPr="003C40C8">
          <w:rPr>
            <w:rStyle w:val="Hyperlink"/>
            <w:rtl/>
          </w:rPr>
          <w:t xml:space="preserve"> </w:t>
        </w:r>
        <w:r w:rsidRPr="003C40C8">
          <w:rPr>
            <w:rStyle w:val="Hyperlink"/>
            <w:rFonts w:hint="eastAsia"/>
            <w:rtl/>
          </w:rPr>
          <w:t>המרכזי</w:t>
        </w:r>
        <w:r w:rsidRPr="003C40C8">
          <w:rPr>
            <w:rStyle w:val="Hyperlink"/>
            <w:rtl/>
          </w:rPr>
          <w:t xml:space="preserve"> </w:t>
        </w:r>
        <w:r w:rsidRPr="003C40C8">
          <w:rPr>
            <w:rStyle w:val="Hyperlink"/>
            <w:rFonts w:hint="eastAsia"/>
            <w:rtl/>
          </w:rPr>
          <w:t>של</w:t>
        </w:r>
        <w:r w:rsidRPr="003C40C8">
          <w:rPr>
            <w:rStyle w:val="Hyperlink"/>
            <w:rtl/>
          </w:rPr>
          <w:t xml:space="preserve"> </w:t>
        </w:r>
        <w:r w:rsidRPr="003C40C8">
          <w:rPr>
            <w:rStyle w:val="Hyperlink"/>
            <w:rFonts w:hint="eastAsia"/>
            <w:rtl/>
          </w:rPr>
          <w:t>המשפט</w:t>
        </w:r>
        <w:r w:rsidRPr="003C40C8">
          <w:rPr>
            <w:rStyle w:val="Hyperlink"/>
            <w:rtl/>
          </w:rPr>
          <w:t xml:space="preserve"> </w:t>
        </w:r>
        <w:r w:rsidRPr="003C40C8">
          <w:rPr>
            <w:rStyle w:val="Hyperlink"/>
            <w:rFonts w:hint="eastAsia"/>
            <w:rtl/>
          </w:rPr>
          <w:t>הבינלאומי</w:t>
        </w:r>
        <w:r w:rsidRPr="003C40C8">
          <w:rPr>
            <w:rStyle w:val="Hyperlink"/>
            <w:rtl/>
          </w:rPr>
          <w:t xml:space="preserve"> </w:t>
        </w:r>
        <w:r w:rsidRPr="003C40C8">
          <w:rPr>
            <w:rStyle w:val="Hyperlink"/>
            <w:rFonts w:hint="eastAsia"/>
            <w:rtl/>
          </w:rPr>
          <w:t>בעולם</w:t>
        </w:r>
        <w:r w:rsidRPr="003C40C8">
          <w:rPr>
            <w:rStyle w:val="Hyperlink"/>
            <w:rtl/>
          </w:rPr>
          <w:t xml:space="preserve"> </w:t>
        </w:r>
        <w:r w:rsidRPr="003C40C8">
          <w:rPr>
            <w:rStyle w:val="Hyperlink"/>
            <w:rFonts w:hint="eastAsia"/>
            <w:rtl/>
          </w:rPr>
          <w:t>המדיני</w:t>
        </w:r>
        <w:r w:rsidRPr="003C40C8">
          <w:rPr>
            <w:rStyle w:val="Hyperlink"/>
            <w:rtl/>
          </w:rPr>
          <w:t xml:space="preserve"> </w:t>
        </w:r>
        <w:r w:rsidRPr="003C40C8">
          <w:rPr>
            <w:rStyle w:val="Hyperlink"/>
            <w:rFonts w:hint="eastAsia"/>
            <w:rtl/>
          </w:rPr>
          <w:t>המודרני</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Toc456027298 \h</w:instrText>
        </w:r>
        <w:r>
          <w:rPr>
            <w:webHidden/>
            <w:rtl/>
          </w:rPr>
          <w:instrText xml:space="preserve"> </w:instrText>
        </w:r>
        <w:r>
          <w:rPr>
            <w:webHidden/>
            <w:rtl/>
          </w:rPr>
        </w:r>
        <w:r>
          <w:rPr>
            <w:webHidden/>
            <w:rtl/>
          </w:rPr>
          <w:fldChar w:fldCharType="separate"/>
        </w:r>
        <w:r>
          <w:rPr>
            <w:webHidden/>
            <w:rtl/>
          </w:rPr>
          <w:t>26</w:t>
        </w:r>
        <w:r>
          <w:rPr>
            <w:webHidden/>
            <w:rtl/>
          </w:rPr>
          <w:fldChar w:fldCharType="end"/>
        </w:r>
      </w:hyperlink>
    </w:p>
    <w:p w:rsidR="00FA11B8" w:rsidRDefault="00FA11B8">
      <w:pPr>
        <w:pStyle w:val="TOC1"/>
        <w:rPr>
          <w:rFonts w:eastAsiaTheme="minorEastAsia" w:cstheme="minorBidi"/>
          <w:b w:val="0"/>
          <w:bCs w:val="0"/>
          <w:sz w:val="22"/>
          <w:szCs w:val="22"/>
          <w:rtl/>
        </w:rPr>
      </w:pPr>
      <w:hyperlink w:anchor="_Toc456027299" w:history="1">
        <w:r w:rsidRPr="003C40C8">
          <w:rPr>
            <w:rStyle w:val="Hyperlink"/>
            <w:rFonts w:hint="eastAsia"/>
            <w:rtl/>
          </w:rPr>
          <w:t>פרק</w:t>
        </w:r>
        <w:r w:rsidRPr="003C40C8">
          <w:rPr>
            <w:rStyle w:val="Hyperlink"/>
            <w:rtl/>
          </w:rPr>
          <w:t xml:space="preserve"> </w:t>
        </w:r>
        <w:r w:rsidRPr="003C40C8">
          <w:rPr>
            <w:rStyle w:val="Hyperlink"/>
            <w:rFonts w:hint="eastAsia"/>
            <w:rtl/>
          </w:rPr>
          <w:t>ג</w:t>
        </w:r>
        <w:r w:rsidRPr="003C40C8">
          <w:rPr>
            <w:rStyle w:val="Hyperlink"/>
            <w:rtl/>
          </w:rPr>
          <w:t xml:space="preserve">' - </w:t>
        </w:r>
        <w:r w:rsidRPr="003C40C8">
          <w:rPr>
            <w:rStyle w:val="Hyperlink"/>
            <w:rFonts w:hint="eastAsia"/>
            <w:rtl/>
          </w:rPr>
          <w:t>שיקולים</w:t>
        </w:r>
        <w:r w:rsidRPr="003C40C8">
          <w:rPr>
            <w:rStyle w:val="Hyperlink"/>
            <w:rtl/>
          </w:rPr>
          <w:t xml:space="preserve"> </w:t>
        </w:r>
        <w:r w:rsidRPr="003C40C8">
          <w:rPr>
            <w:rStyle w:val="Hyperlink"/>
            <w:rFonts w:hint="eastAsia"/>
            <w:rtl/>
          </w:rPr>
          <w:t>רחבים</w:t>
        </w:r>
        <w:r w:rsidRPr="003C40C8">
          <w:rPr>
            <w:rStyle w:val="Hyperlink"/>
            <w:rtl/>
          </w:rPr>
          <w:t>-</w:t>
        </w:r>
        <w:r w:rsidRPr="003C40C8">
          <w:rPr>
            <w:rStyle w:val="Hyperlink"/>
            <w:rFonts w:hint="eastAsia"/>
            <w:rtl/>
          </w:rPr>
          <w:t>גנריים</w:t>
        </w:r>
        <w:r w:rsidRPr="003C40C8">
          <w:rPr>
            <w:rStyle w:val="Hyperlink"/>
            <w:rtl/>
          </w:rPr>
          <w:t xml:space="preserve"> </w:t>
        </w:r>
        <w:r w:rsidRPr="003C40C8">
          <w:rPr>
            <w:rStyle w:val="Hyperlink"/>
            <w:rFonts w:hint="eastAsia"/>
            <w:rtl/>
          </w:rPr>
          <w:t>בקבלת</w:t>
        </w:r>
        <w:r w:rsidRPr="003C40C8">
          <w:rPr>
            <w:rStyle w:val="Hyperlink"/>
            <w:rtl/>
          </w:rPr>
          <w:t xml:space="preserve"> </w:t>
        </w:r>
        <w:r w:rsidRPr="003C40C8">
          <w:rPr>
            <w:rStyle w:val="Hyperlink"/>
            <w:rFonts w:hint="eastAsia"/>
            <w:rtl/>
          </w:rPr>
          <w:t>החלטה</w:t>
        </w:r>
        <w:r w:rsidRPr="003C40C8">
          <w:rPr>
            <w:rStyle w:val="Hyperlink"/>
            <w:rtl/>
          </w:rPr>
          <w:t xml:space="preserve"> </w:t>
        </w:r>
        <w:r w:rsidRPr="003C40C8">
          <w:rPr>
            <w:rStyle w:val="Hyperlink"/>
            <w:rFonts w:hint="eastAsia"/>
            <w:rtl/>
          </w:rPr>
          <w:t>על</w:t>
        </w:r>
        <w:r w:rsidRPr="003C40C8">
          <w:rPr>
            <w:rStyle w:val="Hyperlink"/>
            <w:rtl/>
          </w:rPr>
          <w:t xml:space="preserve"> </w:t>
        </w:r>
        <w:r w:rsidRPr="003C40C8">
          <w:rPr>
            <w:rStyle w:val="Hyperlink"/>
            <w:rFonts w:hint="eastAsia"/>
            <w:rtl/>
          </w:rPr>
          <w:t>שיתוף</w:t>
        </w:r>
        <w:r w:rsidRPr="003C40C8">
          <w:rPr>
            <w:rStyle w:val="Hyperlink"/>
            <w:rtl/>
          </w:rPr>
          <w:t xml:space="preserve"> </w:t>
        </w:r>
        <w:r w:rsidRPr="003C40C8">
          <w:rPr>
            <w:rStyle w:val="Hyperlink"/>
            <w:rFonts w:hint="eastAsia"/>
            <w:rtl/>
          </w:rPr>
          <w:t>פעולה</w:t>
        </w:r>
        <w:r w:rsidRPr="003C40C8">
          <w:rPr>
            <w:rStyle w:val="Hyperlink"/>
            <w:rtl/>
          </w:rPr>
          <w:t xml:space="preserve"> </w:t>
        </w:r>
        <w:r w:rsidRPr="003C40C8">
          <w:rPr>
            <w:rStyle w:val="Hyperlink"/>
            <w:rFonts w:hint="eastAsia"/>
            <w:rtl/>
          </w:rPr>
          <w:t>עם</w:t>
        </w:r>
        <w:r w:rsidRPr="003C40C8">
          <w:rPr>
            <w:rStyle w:val="Hyperlink"/>
            <w:rtl/>
          </w:rPr>
          <w:t xml:space="preserve"> </w:t>
        </w:r>
        <w:r w:rsidRPr="003C40C8">
          <w:rPr>
            <w:rStyle w:val="Hyperlink"/>
            <w:rFonts w:hint="eastAsia"/>
            <w:rtl/>
          </w:rPr>
          <w:t>ועדות</w:t>
        </w:r>
        <w:r w:rsidRPr="003C40C8">
          <w:rPr>
            <w:rStyle w:val="Hyperlink"/>
            <w:rtl/>
          </w:rPr>
          <w:t xml:space="preserve"> </w:t>
        </w:r>
        <w:r w:rsidRPr="003C40C8">
          <w:rPr>
            <w:rStyle w:val="Hyperlink"/>
            <w:rFonts w:hint="eastAsia"/>
            <w:rtl/>
          </w:rPr>
          <w:t>חקירה</w:t>
        </w:r>
        <w:r w:rsidRPr="003C40C8">
          <w:rPr>
            <w:rStyle w:val="Hyperlink"/>
            <w:rtl/>
          </w:rPr>
          <w:t xml:space="preserve"> </w:t>
        </w:r>
        <w:r w:rsidRPr="003C40C8">
          <w:rPr>
            <w:rStyle w:val="Hyperlink"/>
            <w:rFonts w:hint="eastAsia"/>
            <w:rtl/>
          </w:rPr>
          <w:t>בינלאומיות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Toc456027299 \h</w:instrText>
        </w:r>
        <w:r>
          <w:rPr>
            <w:webHidden/>
            <w:rtl/>
          </w:rPr>
          <w:instrText xml:space="preserve"> </w:instrText>
        </w:r>
        <w:r>
          <w:rPr>
            <w:webHidden/>
            <w:rtl/>
          </w:rPr>
        </w:r>
        <w:r>
          <w:rPr>
            <w:webHidden/>
            <w:rtl/>
          </w:rPr>
          <w:fldChar w:fldCharType="separate"/>
        </w:r>
        <w:r>
          <w:rPr>
            <w:webHidden/>
            <w:rtl/>
          </w:rPr>
          <w:t>33</w:t>
        </w:r>
        <w:r>
          <w:rPr>
            <w:webHidden/>
            <w:rtl/>
          </w:rPr>
          <w:fldChar w:fldCharType="end"/>
        </w:r>
      </w:hyperlink>
    </w:p>
    <w:p w:rsidR="00FA11B8" w:rsidRDefault="00FA11B8">
      <w:pPr>
        <w:pStyle w:val="TOC2"/>
        <w:tabs>
          <w:tab w:val="left" w:pos="1760"/>
        </w:tabs>
        <w:rPr>
          <w:rFonts w:eastAsiaTheme="minorEastAsia" w:cstheme="minorBidi"/>
          <w:b w:val="0"/>
          <w:bCs w:val="0"/>
          <w:rtl/>
        </w:rPr>
      </w:pPr>
      <w:hyperlink w:anchor="_Toc456027300" w:history="1">
        <w:r w:rsidRPr="003C40C8">
          <w:rPr>
            <w:rStyle w:val="Hyperlink"/>
            <w:rtl/>
          </w:rPr>
          <w:t>1.</w:t>
        </w:r>
        <w:r>
          <w:rPr>
            <w:rFonts w:eastAsiaTheme="minorEastAsia" w:cstheme="minorBidi"/>
            <w:b w:val="0"/>
            <w:bCs w:val="0"/>
            <w:rtl/>
          </w:rPr>
          <w:tab/>
        </w:r>
        <w:r w:rsidRPr="003C40C8">
          <w:rPr>
            <w:rStyle w:val="Hyperlink"/>
            <w:rFonts w:hint="eastAsia"/>
            <w:rtl/>
          </w:rPr>
          <w:t>שיתוף</w:t>
        </w:r>
        <w:r w:rsidRPr="003C40C8">
          <w:rPr>
            <w:rStyle w:val="Hyperlink"/>
            <w:rtl/>
          </w:rPr>
          <w:t xml:space="preserve"> </w:t>
        </w:r>
        <w:r w:rsidRPr="003C40C8">
          <w:rPr>
            <w:rStyle w:val="Hyperlink"/>
            <w:rFonts w:hint="eastAsia"/>
            <w:rtl/>
          </w:rPr>
          <w:t>הפעולה</w:t>
        </w:r>
        <w:r w:rsidRPr="003C40C8">
          <w:rPr>
            <w:rStyle w:val="Hyperlink"/>
            <w:rtl/>
          </w:rPr>
          <w:t xml:space="preserve"> </w:t>
        </w:r>
        <w:r w:rsidRPr="003C40C8">
          <w:rPr>
            <w:rStyle w:val="Hyperlink"/>
            <w:rFonts w:hint="eastAsia"/>
            <w:rtl/>
          </w:rPr>
          <w:t>עם</w:t>
        </w:r>
        <w:r w:rsidRPr="003C40C8">
          <w:rPr>
            <w:rStyle w:val="Hyperlink"/>
            <w:rtl/>
          </w:rPr>
          <w:t xml:space="preserve"> </w:t>
        </w:r>
        <w:r w:rsidRPr="003C40C8">
          <w:rPr>
            <w:rStyle w:val="Hyperlink"/>
            <w:rFonts w:hint="eastAsia"/>
            <w:rtl/>
          </w:rPr>
          <w:t>ועדות</w:t>
        </w:r>
        <w:r w:rsidRPr="003C40C8">
          <w:rPr>
            <w:rStyle w:val="Hyperlink"/>
            <w:rtl/>
          </w:rPr>
          <w:t xml:space="preserve"> </w:t>
        </w:r>
        <w:r w:rsidRPr="003C40C8">
          <w:rPr>
            <w:rStyle w:val="Hyperlink"/>
            <w:rFonts w:hint="eastAsia"/>
            <w:rtl/>
          </w:rPr>
          <w:t>החקירה</w:t>
        </w:r>
        <w:r w:rsidRPr="003C40C8">
          <w:rPr>
            <w:rStyle w:val="Hyperlink"/>
            <w:rtl/>
          </w:rPr>
          <w:t xml:space="preserve"> </w:t>
        </w:r>
        <w:r w:rsidRPr="003C40C8">
          <w:rPr>
            <w:rStyle w:val="Hyperlink"/>
            <w:rFonts w:hint="eastAsia"/>
            <w:rtl/>
          </w:rPr>
          <w:t>הבינלאומיות</w:t>
        </w:r>
        <w:r w:rsidRPr="003C40C8">
          <w:rPr>
            <w:rStyle w:val="Hyperlink"/>
            <w:rtl/>
          </w:rPr>
          <w:t xml:space="preserve"> </w:t>
        </w:r>
        <w:r w:rsidRPr="003C40C8">
          <w:rPr>
            <w:rStyle w:val="Hyperlink"/>
            <w:rFonts w:hint="eastAsia"/>
            <w:rtl/>
          </w:rPr>
          <w:t>כחלק</w:t>
        </w:r>
        <w:r w:rsidRPr="003C40C8">
          <w:rPr>
            <w:rStyle w:val="Hyperlink"/>
            <w:rtl/>
          </w:rPr>
          <w:t xml:space="preserve"> </w:t>
        </w:r>
        <w:r w:rsidRPr="003C40C8">
          <w:rPr>
            <w:rStyle w:val="Hyperlink"/>
            <w:rFonts w:hint="eastAsia"/>
            <w:rtl/>
          </w:rPr>
          <w:t>מהשתתפות</w:t>
        </w:r>
        <w:r w:rsidRPr="003C40C8">
          <w:rPr>
            <w:rStyle w:val="Hyperlink"/>
            <w:rtl/>
          </w:rPr>
          <w:t xml:space="preserve"> </w:t>
        </w:r>
        <w:r w:rsidRPr="003C40C8">
          <w:rPr>
            <w:rStyle w:val="Hyperlink"/>
            <w:rFonts w:hint="eastAsia"/>
            <w:rtl/>
          </w:rPr>
          <w:t>בקהילה</w:t>
        </w:r>
        <w:r w:rsidRPr="003C40C8">
          <w:rPr>
            <w:rStyle w:val="Hyperlink"/>
            <w:rtl/>
          </w:rPr>
          <w:t xml:space="preserve"> </w:t>
        </w:r>
        <w:r w:rsidRPr="003C40C8">
          <w:rPr>
            <w:rStyle w:val="Hyperlink"/>
            <w:rFonts w:hint="eastAsia"/>
            <w:rtl/>
          </w:rPr>
          <w:t>הבינלאומית</w:t>
        </w:r>
        <w:r w:rsidRPr="003C40C8">
          <w:rPr>
            <w:rStyle w:val="Hyperlink"/>
            <w:rtl/>
          </w:rPr>
          <w:t xml:space="preserve"> </w:t>
        </w:r>
        <w:r w:rsidRPr="003C40C8">
          <w:rPr>
            <w:rStyle w:val="Hyperlink"/>
            <w:rFonts w:hint="eastAsia"/>
            <w:rtl/>
          </w:rPr>
          <w:t>וקבלת</w:t>
        </w:r>
        <w:r w:rsidRPr="003C40C8">
          <w:rPr>
            <w:rStyle w:val="Hyperlink"/>
            <w:rtl/>
          </w:rPr>
          <w:t xml:space="preserve"> </w:t>
        </w:r>
        <w:r w:rsidRPr="003C40C8">
          <w:rPr>
            <w:rStyle w:val="Hyperlink"/>
            <w:rFonts w:hint="eastAsia"/>
            <w:rtl/>
          </w:rPr>
          <w:t>לגיטימציה</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Toc456027300 \h</w:instrText>
        </w:r>
        <w:r>
          <w:rPr>
            <w:webHidden/>
            <w:rtl/>
          </w:rPr>
          <w:instrText xml:space="preserve"> </w:instrText>
        </w:r>
        <w:r>
          <w:rPr>
            <w:webHidden/>
            <w:rtl/>
          </w:rPr>
        </w:r>
        <w:r>
          <w:rPr>
            <w:webHidden/>
            <w:rtl/>
          </w:rPr>
          <w:fldChar w:fldCharType="separate"/>
        </w:r>
        <w:r>
          <w:rPr>
            <w:webHidden/>
            <w:rtl/>
          </w:rPr>
          <w:t>33</w:t>
        </w:r>
        <w:r>
          <w:rPr>
            <w:webHidden/>
            <w:rtl/>
          </w:rPr>
          <w:fldChar w:fldCharType="end"/>
        </w:r>
      </w:hyperlink>
    </w:p>
    <w:p w:rsidR="00FA11B8" w:rsidRDefault="00FA11B8">
      <w:pPr>
        <w:pStyle w:val="TOC2"/>
        <w:tabs>
          <w:tab w:val="left" w:pos="1783"/>
        </w:tabs>
        <w:rPr>
          <w:rFonts w:eastAsiaTheme="minorEastAsia" w:cstheme="minorBidi"/>
          <w:b w:val="0"/>
          <w:bCs w:val="0"/>
          <w:rtl/>
        </w:rPr>
      </w:pPr>
      <w:hyperlink w:anchor="_Toc456027301" w:history="1">
        <w:r w:rsidRPr="003C40C8">
          <w:rPr>
            <w:rStyle w:val="Hyperlink"/>
            <w:rtl/>
          </w:rPr>
          <w:t>2.</w:t>
        </w:r>
        <w:r>
          <w:rPr>
            <w:rFonts w:eastAsiaTheme="minorEastAsia" w:cstheme="minorBidi"/>
            <w:b w:val="0"/>
            <w:bCs w:val="0"/>
            <w:rtl/>
          </w:rPr>
          <w:tab/>
        </w:r>
        <w:r w:rsidRPr="003C40C8">
          <w:rPr>
            <w:rStyle w:val="Hyperlink"/>
            <w:rFonts w:hint="eastAsia"/>
            <w:rtl/>
          </w:rPr>
          <w:t>שיתוף</w:t>
        </w:r>
        <w:r w:rsidRPr="003C40C8">
          <w:rPr>
            <w:rStyle w:val="Hyperlink"/>
            <w:rtl/>
          </w:rPr>
          <w:t xml:space="preserve"> </w:t>
        </w:r>
        <w:r w:rsidRPr="003C40C8">
          <w:rPr>
            <w:rStyle w:val="Hyperlink"/>
            <w:rFonts w:hint="eastAsia"/>
            <w:rtl/>
          </w:rPr>
          <w:t>פעולה</w:t>
        </w:r>
        <w:r w:rsidRPr="003C40C8">
          <w:rPr>
            <w:rStyle w:val="Hyperlink"/>
            <w:rtl/>
          </w:rPr>
          <w:t xml:space="preserve"> </w:t>
        </w:r>
        <w:r w:rsidRPr="003C40C8">
          <w:rPr>
            <w:rStyle w:val="Hyperlink"/>
            <w:rFonts w:hint="eastAsia"/>
            <w:rtl/>
          </w:rPr>
          <w:t>עם</w:t>
        </w:r>
        <w:r w:rsidRPr="003C40C8">
          <w:rPr>
            <w:rStyle w:val="Hyperlink"/>
            <w:rtl/>
          </w:rPr>
          <w:t xml:space="preserve"> </w:t>
        </w:r>
        <w:r w:rsidRPr="003C40C8">
          <w:rPr>
            <w:rStyle w:val="Hyperlink"/>
            <w:rFonts w:hint="eastAsia"/>
            <w:rtl/>
          </w:rPr>
          <w:t>ועדות</w:t>
        </w:r>
        <w:r w:rsidRPr="003C40C8">
          <w:rPr>
            <w:rStyle w:val="Hyperlink"/>
            <w:rtl/>
          </w:rPr>
          <w:t xml:space="preserve"> </w:t>
        </w:r>
        <w:r w:rsidRPr="003C40C8">
          <w:rPr>
            <w:rStyle w:val="Hyperlink"/>
            <w:rFonts w:hint="eastAsia"/>
            <w:rtl/>
          </w:rPr>
          <w:t>חקירה</w:t>
        </w:r>
        <w:r w:rsidRPr="003C40C8">
          <w:rPr>
            <w:rStyle w:val="Hyperlink"/>
            <w:rtl/>
          </w:rPr>
          <w:t xml:space="preserve"> </w:t>
        </w:r>
        <w:r w:rsidRPr="003C40C8">
          <w:rPr>
            <w:rStyle w:val="Hyperlink"/>
            <w:rFonts w:hint="eastAsia"/>
            <w:rtl/>
          </w:rPr>
          <w:t>בינלאומיות</w:t>
        </w:r>
        <w:r w:rsidRPr="003C40C8">
          <w:rPr>
            <w:rStyle w:val="Hyperlink"/>
            <w:rtl/>
          </w:rPr>
          <w:t xml:space="preserve"> </w:t>
        </w:r>
        <w:r w:rsidRPr="003C40C8">
          <w:rPr>
            <w:rStyle w:val="Hyperlink"/>
            <w:rFonts w:hint="eastAsia"/>
            <w:rtl/>
          </w:rPr>
          <w:t>ככלי</w:t>
        </w:r>
        <w:r w:rsidRPr="003C40C8">
          <w:rPr>
            <w:rStyle w:val="Hyperlink"/>
            <w:rtl/>
          </w:rPr>
          <w:t xml:space="preserve"> </w:t>
        </w:r>
        <w:r w:rsidRPr="003C40C8">
          <w:rPr>
            <w:rStyle w:val="Hyperlink"/>
            <w:rFonts w:hint="eastAsia"/>
            <w:rtl/>
          </w:rPr>
          <w:t>להפנמת</w:t>
        </w:r>
        <w:r w:rsidRPr="003C40C8">
          <w:rPr>
            <w:rStyle w:val="Hyperlink"/>
            <w:rtl/>
          </w:rPr>
          <w:t xml:space="preserve"> </w:t>
        </w:r>
        <w:r w:rsidRPr="003C40C8">
          <w:rPr>
            <w:rStyle w:val="Hyperlink"/>
            <w:rFonts w:hint="eastAsia"/>
            <w:rtl/>
          </w:rPr>
          <w:t>המשפט</w:t>
        </w:r>
        <w:r w:rsidRPr="003C40C8">
          <w:rPr>
            <w:rStyle w:val="Hyperlink"/>
            <w:rtl/>
          </w:rPr>
          <w:t xml:space="preserve"> </w:t>
        </w:r>
        <w:r w:rsidRPr="003C40C8">
          <w:rPr>
            <w:rStyle w:val="Hyperlink"/>
            <w:rFonts w:hint="eastAsia"/>
            <w:rtl/>
          </w:rPr>
          <w:t>הבינלאומי</w:t>
        </w:r>
        <w:r w:rsidRPr="003C40C8">
          <w:rPr>
            <w:rStyle w:val="Hyperlink"/>
            <w:rtl/>
          </w:rPr>
          <w:t xml:space="preserve"> </w:t>
        </w:r>
        <w:r w:rsidRPr="003C40C8">
          <w:rPr>
            <w:rStyle w:val="Hyperlink"/>
            <w:rFonts w:hint="eastAsia"/>
            <w:rtl/>
          </w:rPr>
          <w:t>בתוך</w:t>
        </w:r>
        <w:r w:rsidRPr="003C40C8">
          <w:rPr>
            <w:rStyle w:val="Hyperlink"/>
            <w:rtl/>
          </w:rPr>
          <w:t xml:space="preserve"> </w:t>
        </w:r>
        <w:r w:rsidRPr="003C40C8">
          <w:rPr>
            <w:rStyle w:val="Hyperlink"/>
            <w:rFonts w:hint="eastAsia"/>
            <w:rtl/>
          </w:rPr>
          <w:t>מדינת</w:t>
        </w:r>
        <w:r w:rsidRPr="003C40C8">
          <w:rPr>
            <w:rStyle w:val="Hyperlink"/>
            <w:rtl/>
          </w:rPr>
          <w:t xml:space="preserve"> </w:t>
        </w:r>
        <w:r w:rsidRPr="003C40C8">
          <w:rPr>
            <w:rStyle w:val="Hyperlink"/>
            <w:rFonts w:hint="eastAsia"/>
            <w:rtl/>
          </w:rPr>
          <w:t>ישראל</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Toc456027301 \h</w:instrText>
        </w:r>
        <w:r>
          <w:rPr>
            <w:webHidden/>
            <w:rtl/>
          </w:rPr>
          <w:instrText xml:space="preserve"> </w:instrText>
        </w:r>
        <w:r>
          <w:rPr>
            <w:webHidden/>
            <w:rtl/>
          </w:rPr>
        </w:r>
        <w:r>
          <w:rPr>
            <w:webHidden/>
            <w:rtl/>
          </w:rPr>
          <w:fldChar w:fldCharType="separate"/>
        </w:r>
        <w:r>
          <w:rPr>
            <w:webHidden/>
            <w:rtl/>
          </w:rPr>
          <w:t>40</w:t>
        </w:r>
        <w:r>
          <w:rPr>
            <w:webHidden/>
            <w:rtl/>
          </w:rPr>
          <w:fldChar w:fldCharType="end"/>
        </w:r>
      </w:hyperlink>
    </w:p>
    <w:p w:rsidR="00FA11B8" w:rsidRDefault="00FA11B8">
      <w:pPr>
        <w:pStyle w:val="TOC2"/>
        <w:tabs>
          <w:tab w:val="left" w:pos="1783"/>
        </w:tabs>
        <w:rPr>
          <w:rFonts w:eastAsiaTheme="minorEastAsia" w:cstheme="minorBidi"/>
          <w:b w:val="0"/>
          <w:bCs w:val="0"/>
          <w:rtl/>
        </w:rPr>
      </w:pPr>
      <w:hyperlink w:anchor="_Toc456027302" w:history="1">
        <w:r w:rsidRPr="003C40C8">
          <w:rPr>
            <w:rStyle w:val="Hyperlink"/>
            <w:rtl/>
          </w:rPr>
          <w:t>3.</w:t>
        </w:r>
        <w:r>
          <w:rPr>
            <w:rFonts w:eastAsiaTheme="minorEastAsia" w:cstheme="minorBidi"/>
            <w:b w:val="0"/>
            <w:bCs w:val="0"/>
            <w:rtl/>
          </w:rPr>
          <w:tab/>
        </w:r>
        <w:r w:rsidRPr="003C40C8">
          <w:rPr>
            <w:rStyle w:val="Hyperlink"/>
            <w:rFonts w:hint="eastAsia"/>
            <w:rtl/>
          </w:rPr>
          <w:t>שיתוף</w:t>
        </w:r>
        <w:r w:rsidRPr="003C40C8">
          <w:rPr>
            <w:rStyle w:val="Hyperlink"/>
            <w:rtl/>
          </w:rPr>
          <w:t xml:space="preserve"> </w:t>
        </w:r>
        <w:r w:rsidRPr="003C40C8">
          <w:rPr>
            <w:rStyle w:val="Hyperlink"/>
            <w:rFonts w:hint="eastAsia"/>
            <w:rtl/>
          </w:rPr>
          <w:t>הפעולה</w:t>
        </w:r>
        <w:r w:rsidRPr="003C40C8">
          <w:rPr>
            <w:rStyle w:val="Hyperlink"/>
            <w:rtl/>
          </w:rPr>
          <w:t xml:space="preserve"> </w:t>
        </w:r>
        <w:r w:rsidRPr="003C40C8">
          <w:rPr>
            <w:rStyle w:val="Hyperlink"/>
            <w:rFonts w:hint="eastAsia"/>
            <w:rtl/>
          </w:rPr>
          <w:t>עם</w:t>
        </w:r>
        <w:r w:rsidRPr="003C40C8">
          <w:rPr>
            <w:rStyle w:val="Hyperlink"/>
            <w:rtl/>
          </w:rPr>
          <w:t xml:space="preserve"> </w:t>
        </w:r>
        <w:r w:rsidRPr="003C40C8">
          <w:rPr>
            <w:rStyle w:val="Hyperlink"/>
            <w:rFonts w:hint="eastAsia"/>
            <w:rtl/>
          </w:rPr>
          <w:t>ועדות</w:t>
        </w:r>
        <w:r w:rsidRPr="003C40C8">
          <w:rPr>
            <w:rStyle w:val="Hyperlink"/>
            <w:rtl/>
          </w:rPr>
          <w:t xml:space="preserve"> </w:t>
        </w:r>
        <w:r w:rsidRPr="003C40C8">
          <w:rPr>
            <w:rStyle w:val="Hyperlink"/>
            <w:rFonts w:hint="eastAsia"/>
            <w:rtl/>
          </w:rPr>
          <w:t>החקירה</w:t>
        </w:r>
        <w:r w:rsidRPr="003C40C8">
          <w:rPr>
            <w:rStyle w:val="Hyperlink"/>
            <w:rtl/>
          </w:rPr>
          <w:t xml:space="preserve"> </w:t>
        </w:r>
        <w:r w:rsidRPr="003C40C8">
          <w:rPr>
            <w:rStyle w:val="Hyperlink"/>
            <w:rFonts w:hint="eastAsia"/>
            <w:rtl/>
          </w:rPr>
          <w:t>הבינלאומיות</w:t>
        </w:r>
        <w:r w:rsidRPr="003C40C8">
          <w:rPr>
            <w:rStyle w:val="Hyperlink"/>
            <w:rtl/>
          </w:rPr>
          <w:t xml:space="preserve"> </w:t>
        </w:r>
        <w:r w:rsidRPr="003C40C8">
          <w:rPr>
            <w:rStyle w:val="Hyperlink"/>
            <w:rFonts w:hint="eastAsia"/>
            <w:rtl/>
          </w:rPr>
          <w:t>כביטוי</w:t>
        </w:r>
        <w:r w:rsidRPr="003C40C8">
          <w:rPr>
            <w:rStyle w:val="Hyperlink"/>
            <w:rtl/>
          </w:rPr>
          <w:t xml:space="preserve"> </w:t>
        </w:r>
        <w:r w:rsidRPr="003C40C8">
          <w:rPr>
            <w:rStyle w:val="Hyperlink"/>
            <w:rFonts w:hint="eastAsia"/>
            <w:rtl/>
          </w:rPr>
          <w:t>לאופייה</w:t>
        </w:r>
        <w:r w:rsidRPr="003C40C8">
          <w:rPr>
            <w:rStyle w:val="Hyperlink"/>
            <w:rtl/>
          </w:rPr>
          <w:t xml:space="preserve"> </w:t>
        </w:r>
        <w:r w:rsidRPr="003C40C8">
          <w:rPr>
            <w:rStyle w:val="Hyperlink"/>
            <w:rFonts w:hint="eastAsia"/>
            <w:rtl/>
          </w:rPr>
          <w:t>הדמוקרטי</w:t>
        </w:r>
        <w:r w:rsidRPr="003C40C8">
          <w:rPr>
            <w:rStyle w:val="Hyperlink"/>
            <w:rtl/>
          </w:rPr>
          <w:t xml:space="preserve"> </w:t>
        </w:r>
        <w:r w:rsidRPr="003C40C8">
          <w:rPr>
            <w:rStyle w:val="Hyperlink"/>
            <w:rFonts w:hint="eastAsia"/>
            <w:rtl/>
          </w:rPr>
          <w:t>של</w:t>
        </w:r>
        <w:r w:rsidRPr="003C40C8">
          <w:rPr>
            <w:rStyle w:val="Hyperlink"/>
            <w:rtl/>
          </w:rPr>
          <w:t xml:space="preserve"> </w:t>
        </w:r>
        <w:r w:rsidRPr="003C40C8">
          <w:rPr>
            <w:rStyle w:val="Hyperlink"/>
            <w:rFonts w:hint="eastAsia"/>
            <w:rtl/>
          </w:rPr>
          <w:t>מדינת</w:t>
        </w:r>
        <w:r w:rsidRPr="003C40C8">
          <w:rPr>
            <w:rStyle w:val="Hyperlink"/>
            <w:rtl/>
          </w:rPr>
          <w:t xml:space="preserve"> </w:t>
        </w:r>
        <w:r w:rsidRPr="003C40C8">
          <w:rPr>
            <w:rStyle w:val="Hyperlink"/>
            <w:rFonts w:hint="eastAsia"/>
            <w:rtl/>
          </w:rPr>
          <w:t>ישראל</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Toc456027302 \h</w:instrText>
        </w:r>
        <w:r>
          <w:rPr>
            <w:webHidden/>
            <w:rtl/>
          </w:rPr>
          <w:instrText xml:space="preserve"> </w:instrText>
        </w:r>
        <w:r>
          <w:rPr>
            <w:webHidden/>
            <w:rtl/>
          </w:rPr>
        </w:r>
        <w:r>
          <w:rPr>
            <w:webHidden/>
            <w:rtl/>
          </w:rPr>
          <w:fldChar w:fldCharType="separate"/>
        </w:r>
        <w:r>
          <w:rPr>
            <w:webHidden/>
            <w:rtl/>
          </w:rPr>
          <w:t>40</w:t>
        </w:r>
        <w:r>
          <w:rPr>
            <w:webHidden/>
            <w:rtl/>
          </w:rPr>
          <w:fldChar w:fldCharType="end"/>
        </w:r>
      </w:hyperlink>
    </w:p>
    <w:p w:rsidR="00FA11B8" w:rsidRDefault="00FA11B8">
      <w:pPr>
        <w:pStyle w:val="TOC2"/>
        <w:tabs>
          <w:tab w:val="left" w:pos="1783"/>
        </w:tabs>
        <w:rPr>
          <w:rFonts w:eastAsiaTheme="minorEastAsia" w:cstheme="minorBidi"/>
          <w:b w:val="0"/>
          <w:bCs w:val="0"/>
          <w:rtl/>
        </w:rPr>
      </w:pPr>
      <w:hyperlink w:anchor="_Toc456027303" w:history="1">
        <w:r w:rsidRPr="003C40C8">
          <w:rPr>
            <w:rStyle w:val="Hyperlink"/>
            <w:rtl/>
          </w:rPr>
          <w:t>4.</w:t>
        </w:r>
        <w:r>
          <w:rPr>
            <w:rFonts w:eastAsiaTheme="minorEastAsia" w:cstheme="minorBidi"/>
            <w:b w:val="0"/>
            <w:bCs w:val="0"/>
            <w:rtl/>
          </w:rPr>
          <w:tab/>
        </w:r>
        <w:r w:rsidRPr="003C40C8">
          <w:rPr>
            <w:rStyle w:val="Hyperlink"/>
            <w:rFonts w:hint="eastAsia"/>
            <w:rtl/>
          </w:rPr>
          <w:t>הצגת</w:t>
        </w:r>
        <w:r w:rsidRPr="003C40C8">
          <w:rPr>
            <w:rStyle w:val="Hyperlink"/>
            <w:rtl/>
          </w:rPr>
          <w:t xml:space="preserve"> </w:t>
        </w:r>
        <w:r w:rsidRPr="003C40C8">
          <w:rPr>
            <w:rStyle w:val="Hyperlink"/>
            <w:rFonts w:hint="eastAsia"/>
            <w:rtl/>
          </w:rPr>
          <w:t>הנרטיב</w:t>
        </w:r>
        <w:r w:rsidRPr="003C40C8">
          <w:rPr>
            <w:rStyle w:val="Hyperlink"/>
            <w:rtl/>
          </w:rPr>
          <w:t xml:space="preserve"> </w:t>
        </w:r>
        <w:r w:rsidRPr="003C40C8">
          <w:rPr>
            <w:rStyle w:val="Hyperlink"/>
            <w:rFonts w:hint="eastAsia"/>
            <w:rtl/>
          </w:rPr>
          <w:t>העובדתי</w:t>
        </w:r>
        <w:r w:rsidRPr="003C40C8">
          <w:rPr>
            <w:rStyle w:val="Hyperlink"/>
            <w:rtl/>
          </w:rPr>
          <w:t xml:space="preserve"> </w:t>
        </w:r>
        <w:r w:rsidRPr="003C40C8">
          <w:rPr>
            <w:rStyle w:val="Hyperlink"/>
            <w:rFonts w:hint="eastAsia"/>
            <w:rtl/>
          </w:rPr>
          <w:t>והמשפטי</w:t>
        </w:r>
        <w:r w:rsidRPr="003C40C8">
          <w:rPr>
            <w:rStyle w:val="Hyperlink"/>
            <w:rtl/>
          </w:rPr>
          <w:t xml:space="preserve"> </w:t>
        </w:r>
        <w:r w:rsidRPr="003C40C8">
          <w:rPr>
            <w:rStyle w:val="Hyperlink"/>
            <w:rFonts w:hint="eastAsia"/>
            <w:rtl/>
          </w:rPr>
          <w:t>של</w:t>
        </w:r>
        <w:r w:rsidRPr="003C40C8">
          <w:rPr>
            <w:rStyle w:val="Hyperlink"/>
            <w:rtl/>
          </w:rPr>
          <w:t xml:space="preserve"> </w:t>
        </w:r>
        <w:r w:rsidRPr="003C40C8">
          <w:rPr>
            <w:rStyle w:val="Hyperlink"/>
            <w:rFonts w:hint="eastAsia"/>
            <w:rtl/>
          </w:rPr>
          <w:t>מדינת</w:t>
        </w:r>
        <w:r w:rsidRPr="003C40C8">
          <w:rPr>
            <w:rStyle w:val="Hyperlink"/>
            <w:rtl/>
          </w:rPr>
          <w:t xml:space="preserve"> </w:t>
        </w:r>
        <w:r w:rsidRPr="003C40C8">
          <w:rPr>
            <w:rStyle w:val="Hyperlink"/>
            <w:rFonts w:hint="eastAsia"/>
            <w:rtl/>
          </w:rPr>
          <w:t>ישראל</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Toc456027303 \h</w:instrText>
        </w:r>
        <w:r>
          <w:rPr>
            <w:webHidden/>
            <w:rtl/>
          </w:rPr>
          <w:instrText xml:space="preserve"> </w:instrText>
        </w:r>
        <w:r>
          <w:rPr>
            <w:webHidden/>
            <w:rtl/>
          </w:rPr>
        </w:r>
        <w:r>
          <w:rPr>
            <w:webHidden/>
            <w:rtl/>
          </w:rPr>
          <w:fldChar w:fldCharType="separate"/>
        </w:r>
        <w:r>
          <w:rPr>
            <w:webHidden/>
            <w:rtl/>
          </w:rPr>
          <w:t>42</w:t>
        </w:r>
        <w:r>
          <w:rPr>
            <w:webHidden/>
            <w:rtl/>
          </w:rPr>
          <w:fldChar w:fldCharType="end"/>
        </w:r>
      </w:hyperlink>
    </w:p>
    <w:p w:rsidR="00FA11B8" w:rsidRDefault="00FA11B8">
      <w:pPr>
        <w:pStyle w:val="TOC2"/>
        <w:tabs>
          <w:tab w:val="left" w:pos="1783"/>
        </w:tabs>
        <w:rPr>
          <w:rFonts w:eastAsiaTheme="minorEastAsia" w:cstheme="minorBidi"/>
          <w:b w:val="0"/>
          <w:bCs w:val="0"/>
          <w:rtl/>
        </w:rPr>
      </w:pPr>
      <w:hyperlink w:anchor="_Toc456027304" w:history="1">
        <w:r w:rsidRPr="003C40C8">
          <w:rPr>
            <w:rStyle w:val="Hyperlink"/>
            <w:rtl/>
          </w:rPr>
          <w:t>5.</w:t>
        </w:r>
        <w:r>
          <w:rPr>
            <w:rFonts w:eastAsiaTheme="minorEastAsia" w:cstheme="minorBidi"/>
            <w:b w:val="0"/>
            <w:bCs w:val="0"/>
            <w:rtl/>
          </w:rPr>
          <w:tab/>
        </w:r>
        <w:r w:rsidRPr="003C40C8">
          <w:rPr>
            <w:rStyle w:val="Hyperlink"/>
            <w:rFonts w:hint="eastAsia"/>
            <w:rtl/>
          </w:rPr>
          <w:t>השפעה</w:t>
        </w:r>
        <w:r w:rsidRPr="003C40C8">
          <w:rPr>
            <w:rStyle w:val="Hyperlink"/>
            <w:rtl/>
          </w:rPr>
          <w:t xml:space="preserve"> </w:t>
        </w:r>
        <w:r w:rsidRPr="003C40C8">
          <w:rPr>
            <w:rStyle w:val="Hyperlink"/>
            <w:rFonts w:hint="eastAsia"/>
            <w:rtl/>
          </w:rPr>
          <w:t>על</w:t>
        </w:r>
        <w:r w:rsidRPr="003C40C8">
          <w:rPr>
            <w:rStyle w:val="Hyperlink"/>
            <w:rtl/>
          </w:rPr>
          <w:t xml:space="preserve"> </w:t>
        </w:r>
        <w:r w:rsidRPr="003C40C8">
          <w:rPr>
            <w:rStyle w:val="Hyperlink"/>
            <w:rFonts w:hint="eastAsia"/>
            <w:rtl/>
          </w:rPr>
          <w:t>התפתחות</w:t>
        </w:r>
        <w:r w:rsidRPr="003C40C8">
          <w:rPr>
            <w:rStyle w:val="Hyperlink"/>
            <w:rtl/>
          </w:rPr>
          <w:t xml:space="preserve"> </w:t>
        </w:r>
        <w:r w:rsidRPr="003C40C8">
          <w:rPr>
            <w:rStyle w:val="Hyperlink"/>
            <w:rFonts w:hint="eastAsia"/>
            <w:rtl/>
          </w:rPr>
          <w:t>המשפט</w:t>
        </w:r>
        <w:r w:rsidRPr="003C40C8">
          <w:rPr>
            <w:rStyle w:val="Hyperlink"/>
            <w:rtl/>
          </w:rPr>
          <w:t xml:space="preserve"> </w:t>
        </w:r>
        <w:r w:rsidRPr="003C40C8">
          <w:rPr>
            <w:rStyle w:val="Hyperlink"/>
            <w:rFonts w:hint="eastAsia"/>
            <w:rtl/>
          </w:rPr>
          <w:t>הבינלאומי</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Toc456027304 \h</w:instrText>
        </w:r>
        <w:r>
          <w:rPr>
            <w:webHidden/>
            <w:rtl/>
          </w:rPr>
          <w:instrText xml:space="preserve"> </w:instrText>
        </w:r>
        <w:r>
          <w:rPr>
            <w:webHidden/>
            <w:rtl/>
          </w:rPr>
        </w:r>
        <w:r>
          <w:rPr>
            <w:webHidden/>
            <w:rtl/>
          </w:rPr>
          <w:fldChar w:fldCharType="separate"/>
        </w:r>
        <w:r>
          <w:rPr>
            <w:webHidden/>
            <w:rtl/>
          </w:rPr>
          <w:t>44</w:t>
        </w:r>
        <w:r>
          <w:rPr>
            <w:webHidden/>
            <w:rtl/>
          </w:rPr>
          <w:fldChar w:fldCharType="end"/>
        </w:r>
      </w:hyperlink>
    </w:p>
    <w:p w:rsidR="00FA11B8" w:rsidRDefault="00FA11B8">
      <w:pPr>
        <w:pStyle w:val="TOC2"/>
        <w:tabs>
          <w:tab w:val="left" w:pos="1783"/>
        </w:tabs>
        <w:rPr>
          <w:rFonts w:eastAsiaTheme="minorEastAsia" w:cstheme="minorBidi"/>
          <w:b w:val="0"/>
          <w:bCs w:val="0"/>
          <w:rtl/>
        </w:rPr>
      </w:pPr>
      <w:hyperlink w:anchor="_Toc456027305" w:history="1">
        <w:r w:rsidRPr="003C40C8">
          <w:rPr>
            <w:rStyle w:val="Hyperlink"/>
            <w:rtl/>
          </w:rPr>
          <w:t>6.</w:t>
        </w:r>
        <w:r>
          <w:rPr>
            <w:rFonts w:eastAsiaTheme="minorEastAsia" w:cstheme="minorBidi"/>
            <w:b w:val="0"/>
            <w:bCs w:val="0"/>
            <w:rtl/>
          </w:rPr>
          <w:tab/>
        </w:r>
        <w:r w:rsidRPr="003C40C8">
          <w:rPr>
            <w:rStyle w:val="Hyperlink"/>
            <w:rFonts w:hint="eastAsia"/>
            <w:rtl/>
          </w:rPr>
          <w:t>השפעת</w:t>
        </w:r>
        <w:r w:rsidRPr="003C40C8">
          <w:rPr>
            <w:rStyle w:val="Hyperlink"/>
            <w:rtl/>
          </w:rPr>
          <w:t xml:space="preserve"> </w:t>
        </w:r>
        <w:r w:rsidRPr="003C40C8">
          <w:rPr>
            <w:rStyle w:val="Hyperlink"/>
            <w:rFonts w:hint="eastAsia"/>
            <w:rtl/>
          </w:rPr>
          <w:t>דוחות</w:t>
        </w:r>
        <w:r w:rsidRPr="003C40C8">
          <w:rPr>
            <w:rStyle w:val="Hyperlink"/>
            <w:rtl/>
          </w:rPr>
          <w:t xml:space="preserve"> </w:t>
        </w:r>
        <w:r w:rsidRPr="003C40C8">
          <w:rPr>
            <w:rStyle w:val="Hyperlink"/>
            <w:rFonts w:hint="eastAsia"/>
            <w:rtl/>
          </w:rPr>
          <w:t>של</w:t>
        </w:r>
        <w:r w:rsidRPr="003C40C8">
          <w:rPr>
            <w:rStyle w:val="Hyperlink"/>
            <w:rtl/>
          </w:rPr>
          <w:t xml:space="preserve"> </w:t>
        </w:r>
        <w:r w:rsidRPr="003C40C8">
          <w:rPr>
            <w:rStyle w:val="Hyperlink"/>
            <w:rFonts w:hint="eastAsia"/>
            <w:rtl/>
          </w:rPr>
          <w:t>ועדות</w:t>
        </w:r>
        <w:r w:rsidRPr="003C40C8">
          <w:rPr>
            <w:rStyle w:val="Hyperlink"/>
            <w:rtl/>
          </w:rPr>
          <w:t xml:space="preserve"> </w:t>
        </w:r>
        <w:r w:rsidRPr="003C40C8">
          <w:rPr>
            <w:rStyle w:val="Hyperlink"/>
            <w:rFonts w:hint="eastAsia"/>
            <w:rtl/>
          </w:rPr>
          <w:t>חקירה</w:t>
        </w:r>
        <w:r w:rsidRPr="003C40C8">
          <w:rPr>
            <w:rStyle w:val="Hyperlink"/>
            <w:rtl/>
          </w:rPr>
          <w:t xml:space="preserve"> </w:t>
        </w:r>
        <w:r w:rsidRPr="003C40C8">
          <w:rPr>
            <w:rStyle w:val="Hyperlink"/>
            <w:rFonts w:hint="eastAsia"/>
            <w:rtl/>
          </w:rPr>
          <w:t>בינלאומיות</w:t>
        </w:r>
        <w:r w:rsidRPr="003C40C8">
          <w:rPr>
            <w:rStyle w:val="Hyperlink"/>
            <w:rtl/>
          </w:rPr>
          <w:t xml:space="preserve"> </w:t>
        </w:r>
        <w:r w:rsidRPr="003C40C8">
          <w:rPr>
            <w:rStyle w:val="Hyperlink"/>
            <w:rFonts w:hint="eastAsia"/>
            <w:rtl/>
          </w:rPr>
          <w:t>על</w:t>
        </w:r>
        <w:r w:rsidRPr="003C40C8">
          <w:rPr>
            <w:rStyle w:val="Hyperlink"/>
            <w:rtl/>
          </w:rPr>
          <w:t xml:space="preserve"> </w:t>
        </w:r>
        <w:r w:rsidRPr="003C40C8">
          <w:rPr>
            <w:rStyle w:val="Hyperlink"/>
            <w:rFonts w:hint="eastAsia"/>
            <w:rtl/>
          </w:rPr>
          <w:t>הליכים</w:t>
        </w:r>
        <w:r w:rsidRPr="003C40C8">
          <w:rPr>
            <w:rStyle w:val="Hyperlink"/>
            <w:rtl/>
          </w:rPr>
          <w:t xml:space="preserve"> </w:t>
        </w:r>
        <w:r w:rsidRPr="003C40C8">
          <w:rPr>
            <w:rStyle w:val="Hyperlink"/>
            <w:rFonts w:hint="eastAsia"/>
            <w:rtl/>
          </w:rPr>
          <w:t>פליליים</w:t>
        </w:r>
        <w:r w:rsidRPr="003C40C8">
          <w:rPr>
            <w:rStyle w:val="Hyperlink"/>
            <w:rtl/>
          </w:rPr>
          <w:t xml:space="preserve"> </w:t>
        </w:r>
        <w:r w:rsidRPr="003C40C8">
          <w:rPr>
            <w:rStyle w:val="Hyperlink"/>
            <w:rFonts w:hint="eastAsia"/>
            <w:rtl/>
          </w:rPr>
          <w:t>בינלאומיים</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Toc456027305 \h</w:instrText>
        </w:r>
        <w:r>
          <w:rPr>
            <w:webHidden/>
            <w:rtl/>
          </w:rPr>
          <w:instrText xml:space="preserve"> </w:instrText>
        </w:r>
        <w:r>
          <w:rPr>
            <w:webHidden/>
            <w:rtl/>
          </w:rPr>
        </w:r>
        <w:r>
          <w:rPr>
            <w:webHidden/>
            <w:rtl/>
          </w:rPr>
          <w:fldChar w:fldCharType="separate"/>
        </w:r>
        <w:r>
          <w:rPr>
            <w:webHidden/>
            <w:rtl/>
          </w:rPr>
          <w:t>48</w:t>
        </w:r>
        <w:r>
          <w:rPr>
            <w:webHidden/>
            <w:rtl/>
          </w:rPr>
          <w:fldChar w:fldCharType="end"/>
        </w:r>
      </w:hyperlink>
    </w:p>
    <w:p w:rsidR="00FA11B8" w:rsidRDefault="00FA11B8">
      <w:pPr>
        <w:pStyle w:val="TOC2"/>
        <w:tabs>
          <w:tab w:val="left" w:pos="1783"/>
        </w:tabs>
        <w:rPr>
          <w:rFonts w:eastAsiaTheme="minorEastAsia" w:cstheme="minorBidi"/>
          <w:b w:val="0"/>
          <w:bCs w:val="0"/>
          <w:rtl/>
        </w:rPr>
      </w:pPr>
      <w:hyperlink w:anchor="_Toc456027306" w:history="1">
        <w:r w:rsidRPr="003C40C8">
          <w:rPr>
            <w:rStyle w:val="Hyperlink"/>
            <w:rtl/>
          </w:rPr>
          <w:t>7.</w:t>
        </w:r>
        <w:r>
          <w:rPr>
            <w:rFonts w:eastAsiaTheme="minorEastAsia" w:cstheme="minorBidi"/>
            <w:b w:val="0"/>
            <w:bCs w:val="0"/>
            <w:rtl/>
          </w:rPr>
          <w:tab/>
        </w:r>
        <w:r w:rsidRPr="003C40C8">
          <w:rPr>
            <w:rStyle w:val="Hyperlink"/>
            <w:rFonts w:hint="eastAsia"/>
            <w:rtl/>
          </w:rPr>
          <w:t>המשאבים</w:t>
        </w:r>
        <w:r w:rsidRPr="003C40C8">
          <w:rPr>
            <w:rStyle w:val="Hyperlink"/>
            <w:rtl/>
          </w:rPr>
          <w:t xml:space="preserve"> </w:t>
        </w:r>
        <w:r w:rsidRPr="003C40C8">
          <w:rPr>
            <w:rStyle w:val="Hyperlink"/>
            <w:rFonts w:hint="eastAsia"/>
            <w:rtl/>
          </w:rPr>
          <w:t>הנדרשים</w:t>
        </w:r>
        <w:r w:rsidRPr="003C40C8">
          <w:rPr>
            <w:rStyle w:val="Hyperlink"/>
            <w:rtl/>
          </w:rPr>
          <w:t xml:space="preserve"> </w:t>
        </w:r>
        <w:r w:rsidRPr="003C40C8">
          <w:rPr>
            <w:rStyle w:val="Hyperlink"/>
            <w:rFonts w:hint="eastAsia"/>
            <w:rtl/>
          </w:rPr>
          <w:t>לשם</w:t>
        </w:r>
        <w:r w:rsidRPr="003C40C8">
          <w:rPr>
            <w:rStyle w:val="Hyperlink"/>
            <w:rtl/>
          </w:rPr>
          <w:t xml:space="preserve"> </w:t>
        </w:r>
        <w:r w:rsidRPr="003C40C8">
          <w:rPr>
            <w:rStyle w:val="Hyperlink"/>
            <w:rFonts w:hint="eastAsia"/>
            <w:rtl/>
          </w:rPr>
          <w:t>שיתוף</w:t>
        </w:r>
        <w:r w:rsidRPr="003C40C8">
          <w:rPr>
            <w:rStyle w:val="Hyperlink"/>
            <w:rtl/>
          </w:rPr>
          <w:t xml:space="preserve"> </w:t>
        </w:r>
        <w:r w:rsidRPr="003C40C8">
          <w:rPr>
            <w:rStyle w:val="Hyperlink"/>
            <w:rFonts w:hint="eastAsia"/>
            <w:rtl/>
          </w:rPr>
          <w:t>הפעולה</w:t>
        </w:r>
        <w:r w:rsidRPr="003C40C8">
          <w:rPr>
            <w:rStyle w:val="Hyperlink"/>
            <w:rtl/>
          </w:rPr>
          <w:t xml:space="preserve"> </w:t>
        </w:r>
        <w:r w:rsidRPr="003C40C8">
          <w:rPr>
            <w:rStyle w:val="Hyperlink"/>
            <w:rFonts w:hint="eastAsia"/>
            <w:rtl/>
          </w:rPr>
          <w:t>עם</w:t>
        </w:r>
        <w:r w:rsidRPr="003C40C8">
          <w:rPr>
            <w:rStyle w:val="Hyperlink"/>
            <w:rtl/>
          </w:rPr>
          <w:t xml:space="preserve"> </w:t>
        </w:r>
        <w:r w:rsidRPr="003C40C8">
          <w:rPr>
            <w:rStyle w:val="Hyperlink"/>
            <w:rFonts w:hint="eastAsia"/>
            <w:rtl/>
          </w:rPr>
          <w:t>ועדות</w:t>
        </w:r>
        <w:r w:rsidRPr="003C40C8">
          <w:rPr>
            <w:rStyle w:val="Hyperlink"/>
            <w:rtl/>
          </w:rPr>
          <w:t xml:space="preserve"> </w:t>
        </w:r>
        <w:r w:rsidRPr="003C40C8">
          <w:rPr>
            <w:rStyle w:val="Hyperlink"/>
            <w:rFonts w:hint="eastAsia"/>
            <w:rtl/>
          </w:rPr>
          <w:t>החקירה</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Toc456027306 \h</w:instrText>
        </w:r>
        <w:r>
          <w:rPr>
            <w:webHidden/>
            <w:rtl/>
          </w:rPr>
          <w:instrText xml:space="preserve"> </w:instrText>
        </w:r>
        <w:r>
          <w:rPr>
            <w:webHidden/>
            <w:rtl/>
          </w:rPr>
        </w:r>
        <w:r>
          <w:rPr>
            <w:webHidden/>
            <w:rtl/>
          </w:rPr>
          <w:fldChar w:fldCharType="separate"/>
        </w:r>
        <w:r>
          <w:rPr>
            <w:webHidden/>
            <w:rtl/>
          </w:rPr>
          <w:t>50</w:t>
        </w:r>
        <w:r>
          <w:rPr>
            <w:webHidden/>
            <w:rtl/>
          </w:rPr>
          <w:fldChar w:fldCharType="end"/>
        </w:r>
      </w:hyperlink>
    </w:p>
    <w:p w:rsidR="00FA11B8" w:rsidRDefault="00FA11B8">
      <w:pPr>
        <w:pStyle w:val="TOC2"/>
        <w:tabs>
          <w:tab w:val="left" w:pos="1783"/>
        </w:tabs>
        <w:rPr>
          <w:rFonts w:eastAsiaTheme="minorEastAsia" w:cstheme="minorBidi"/>
          <w:b w:val="0"/>
          <w:bCs w:val="0"/>
          <w:rtl/>
        </w:rPr>
      </w:pPr>
      <w:hyperlink w:anchor="_Toc456027307" w:history="1">
        <w:r w:rsidRPr="003C40C8">
          <w:rPr>
            <w:rStyle w:val="Hyperlink"/>
            <w:rtl/>
          </w:rPr>
          <w:t>8.</w:t>
        </w:r>
        <w:r>
          <w:rPr>
            <w:rFonts w:eastAsiaTheme="minorEastAsia" w:cstheme="minorBidi"/>
            <w:b w:val="0"/>
            <w:bCs w:val="0"/>
            <w:rtl/>
          </w:rPr>
          <w:tab/>
        </w:r>
        <w:r w:rsidRPr="003C40C8">
          <w:rPr>
            <w:rStyle w:val="Hyperlink"/>
            <w:rFonts w:hint="eastAsia"/>
            <w:rtl/>
          </w:rPr>
          <w:t>חשיבות</w:t>
        </w:r>
        <w:r w:rsidRPr="003C40C8">
          <w:rPr>
            <w:rStyle w:val="Hyperlink"/>
            <w:rtl/>
          </w:rPr>
          <w:t xml:space="preserve"> </w:t>
        </w:r>
        <w:r w:rsidRPr="003C40C8">
          <w:rPr>
            <w:rStyle w:val="Hyperlink"/>
            <w:rFonts w:hint="eastAsia"/>
            <w:rtl/>
          </w:rPr>
          <w:t>הקשר</w:t>
        </w:r>
        <w:r w:rsidRPr="003C40C8">
          <w:rPr>
            <w:rStyle w:val="Hyperlink"/>
            <w:rtl/>
          </w:rPr>
          <w:t xml:space="preserve"> </w:t>
        </w:r>
        <w:r w:rsidRPr="003C40C8">
          <w:rPr>
            <w:rStyle w:val="Hyperlink"/>
            <w:rFonts w:hint="eastAsia"/>
            <w:rtl/>
          </w:rPr>
          <w:t>האישי</w:t>
        </w:r>
        <w:r w:rsidRPr="003C40C8">
          <w:rPr>
            <w:rStyle w:val="Hyperlink"/>
            <w:rtl/>
          </w:rPr>
          <w:t xml:space="preserve"> </w:t>
        </w:r>
        <w:r w:rsidRPr="003C40C8">
          <w:rPr>
            <w:rStyle w:val="Hyperlink"/>
            <w:rFonts w:hint="eastAsia"/>
            <w:rtl/>
          </w:rPr>
          <w:t>בשיתוף</w:t>
        </w:r>
        <w:r w:rsidRPr="003C40C8">
          <w:rPr>
            <w:rStyle w:val="Hyperlink"/>
            <w:rtl/>
          </w:rPr>
          <w:t xml:space="preserve"> </w:t>
        </w:r>
        <w:r w:rsidRPr="003C40C8">
          <w:rPr>
            <w:rStyle w:val="Hyperlink"/>
            <w:rFonts w:hint="eastAsia"/>
            <w:rtl/>
          </w:rPr>
          <w:t>פעולה</w:t>
        </w:r>
        <w:r w:rsidRPr="003C40C8">
          <w:rPr>
            <w:rStyle w:val="Hyperlink"/>
            <w:rtl/>
          </w:rPr>
          <w:t xml:space="preserve"> </w:t>
        </w:r>
        <w:r w:rsidRPr="003C40C8">
          <w:rPr>
            <w:rStyle w:val="Hyperlink"/>
            <w:rFonts w:hint="eastAsia"/>
            <w:rtl/>
          </w:rPr>
          <w:t>עם</w:t>
        </w:r>
        <w:r w:rsidRPr="003C40C8">
          <w:rPr>
            <w:rStyle w:val="Hyperlink"/>
            <w:rtl/>
          </w:rPr>
          <w:t xml:space="preserve"> </w:t>
        </w:r>
        <w:r w:rsidRPr="003C40C8">
          <w:rPr>
            <w:rStyle w:val="Hyperlink"/>
            <w:rFonts w:hint="eastAsia"/>
            <w:rtl/>
          </w:rPr>
          <w:t>ועדות</w:t>
        </w:r>
        <w:r w:rsidRPr="003C40C8">
          <w:rPr>
            <w:rStyle w:val="Hyperlink"/>
            <w:rtl/>
          </w:rPr>
          <w:t xml:space="preserve"> </w:t>
        </w:r>
        <w:r w:rsidRPr="003C40C8">
          <w:rPr>
            <w:rStyle w:val="Hyperlink"/>
            <w:rFonts w:hint="eastAsia"/>
            <w:rtl/>
          </w:rPr>
          <w:t>חקירה</w:t>
        </w:r>
        <w:r w:rsidRPr="003C40C8">
          <w:rPr>
            <w:rStyle w:val="Hyperlink"/>
            <w:rtl/>
          </w:rPr>
          <w:t xml:space="preserve"> </w:t>
        </w:r>
        <w:r w:rsidRPr="003C40C8">
          <w:rPr>
            <w:rStyle w:val="Hyperlink"/>
            <w:rFonts w:hint="eastAsia"/>
            <w:rtl/>
          </w:rPr>
          <w:t>בינלאומיות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Toc456027307 \h</w:instrText>
        </w:r>
        <w:r>
          <w:rPr>
            <w:webHidden/>
            <w:rtl/>
          </w:rPr>
          <w:instrText xml:space="preserve"> </w:instrText>
        </w:r>
        <w:r>
          <w:rPr>
            <w:webHidden/>
            <w:rtl/>
          </w:rPr>
        </w:r>
        <w:r>
          <w:rPr>
            <w:webHidden/>
            <w:rtl/>
          </w:rPr>
          <w:fldChar w:fldCharType="separate"/>
        </w:r>
        <w:r>
          <w:rPr>
            <w:webHidden/>
            <w:rtl/>
          </w:rPr>
          <w:t>51</w:t>
        </w:r>
        <w:r>
          <w:rPr>
            <w:webHidden/>
            <w:rtl/>
          </w:rPr>
          <w:fldChar w:fldCharType="end"/>
        </w:r>
      </w:hyperlink>
    </w:p>
    <w:p w:rsidR="00FA11B8" w:rsidRDefault="00FA11B8">
      <w:pPr>
        <w:pStyle w:val="TOC2"/>
        <w:tabs>
          <w:tab w:val="left" w:pos="1783"/>
        </w:tabs>
        <w:rPr>
          <w:rFonts w:eastAsiaTheme="minorEastAsia" w:cstheme="minorBidi"/>
          <w:b w:val="0"/>
          <w:bCs w:val="0"/>
          <w:rtl/>
        </w:rPr>
      </w:pPr>
      <w:hyperlink w:anchor="_Toc456027308" w:history="1">
        <w:r w:rsidRPr="003C40C8">
          <w:rPr>
            <w:rStyle w:val="Hyperlink"/>
            <w:rtl/>
          </w:rPr>
          <w:t>9.</w:t>
        </w:r>
        <w:r>
          <w:rPr>
            <w:rFonts w:eastAsiaTheme="minorEastAsia" w:cstheme="minorBidi"/>
            <w:b w:val="0"/>
            <w:bCs w:val="0"/>
            <w:rtl/>
          </w:rPr>
          <w:tab/>
        </w:r>
        <w:r w:rsidRPr="003C40C8">
          <w:rPr>
            <w:rStyle w:val="Hyperlink"/>
            <w:rFonts w:hint="eastAsia"/>
            <w:rtl/>
          </w:rPr>
          <w:t>הקשר</w:t>
        </w:r>
        <w:r w:rsidRPr="003C40C8">
          <w:rPr>
            <w:rStyle w:val="Hyperlink"/>
            <w:rtl/>
          </w:rPr>
          <w:t xml:space="preserve"> </w:t>
        </w:r>
        <w:r w:rsidRPr="003C40C8">
          <w:rPr>
            <w:rStyle w:val="Hyperlink"/>
            <w:rFonts w:hint="eastAsia"/>
            <w:rtl/>
          </w:rPr>
          <w:t>בין</w:t>
        </w:r>
        <w:r w:rsidRPr="003C40C8">
          <w:rPr>
            <w:rStyle w:val="Hyperlink"/>
            <w:rtl/>
          </w:rPr>
          <w:t xml:space="preserve"> </w:t>
        </w:r>
        <w:r w:rsidRPr="003C40C8">
          <w:rPr>
            <w:rStyle w:val="Hyperlink"/>
            <w:rFonts w:hint="eastAsia"/>
            <w:rtl/>
          </w:rPr>
          <w:t>שיתוף</w:t>
        </w:r>
        <w:r w:rsidRPr="003C40C8">
          <w:rPr>
            <w:rStyle w:val="Hyperlink"/>
            <w:rtl/>
          </w:rPr>
          <w:t xml:space="preserve"> </w:t>
        </w:r>
        <w:r w:rsidRPr="003C40C8">
          <w:rPr>
            <w:rStyle w:val="Hyperlink"/>
            <w:rFonts w:hint="eastAsia"/>
            <w:rtl/>
          </w:rPr>
          <w:t>הפעולה</w:t>
        </w:r>
        <w:r w:rsidRPr="003C40C8">
          <w:rPr>
            <w:rStyle w:val="Hyperlink"/>
            <w:rtl/>
          </w:rPr>
          <w:t xml:space="preserve"> </w:t>
        </w:r>
        <w:r w:rsidRPr="003C40C8">
          <w:rPr>
            <w:rStyle w:val="Hyperlink"/>
            <w:rFonts w:hint="eastAsia"/>
            <w:rtl/>
          </w:rPr>
          <w:t>למידת</w:t>
        </w:r>
        <w:r w:rsidRPr="003C40C8">
          <w:rPr>
            <w:rStyle w:val="Hyperlink"/>
            <w:rtl/>
          </w:rPr>
          <w:t xml:space="preserve"> </w:t>
        </w:r>
        <w:r w:rsidRPr="003C40C8">
          <w:rPr>
            <w:rStyle w:val="Hyperlink"/>
            <w:rFonts w:hint="eastAsia"/>
            <w:rtl/>
          </w:rPr>
          <w:t>המחויבות</w:t>
        </w:r>
        <w:r w:rsidRPr="003C40C8">
          <w:rPr>
            <w:rStyle w:val="Hyperlink"/>
            <w:rtl/>
          </w:rPr>
          <w:t xml:space="preserve"> </w:t>
        </w:r>
        <w:r w:rsidRPr="003C40C8">
          <w:rPr>
            <w:rStyle w:val="Hyperlink"/>
            <w:rFonts w:hint="eastAsia"/>
            <w:rtl/>
          </w:rPr>
          <w:t>לתוצאת</w:t>
        </w:r>
        <w:r w:rsidRPr="003C40C8">
          <w:rPr>
            <w:rStyle w:val="Hyperlink"/>
            <w:rtl/>
          </w:rPr>
          <w:t xml:space="preserve"> </w:t>
        </w:r>
        <w:r w:rsidRPr="003C40C8">
          <w:rPr>
            <w:rStyle w:val="Hyperlink"/>
            <w:rFonts w:hint="eastAsia"/>
            <w:rtl/>
          </w:rPr>
          <w:t>הבדיקה</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Toc456027308 \h</w:instrText>
        </w:r>
        <w:r>
          <w:rPr>
            <w:webHidden/>
            <w:rtl/>
          </w:rPr>
          <w:instrText xml:space="preserve"> </w:instrText>
        </w:r>
        <w:r>
          <w:rPr>
            <w:webHidden/>
            <w:rtl/>
          </w:rPr>
        </w:r>
        <w:r>
          <w:rPr>
            <w:webHidden/>
            <w:rtl/>
          </w:rPr>
          <w:fldChar w:fldCharType="separate"/>
        </w:r>
        <w:r>
          <w:rPr>
            <w:webHidden/>
            <w:rtl/>
          </w:rPr>
          <w:t>53</w:t>
        </w:r>
        <w:r>
          <w:rPr>
            <w:webHidden/>
            <w:rtl/>
          </w:rPr>
          <w:fldChar w:fldCharType="end"/>
        </w:r>
      </w:hyperlink>
    </w:p>
    <w:p w:rsidR="00FA11B8" w:rsidRDefault="00FA11B8">
      <w:pPr>
        <w:pStyle w:val="TOC2"/>
        <w:tabs>
          <w:tab w:val="left" w:pos="1880"/>
        </w:tabs>
        <w:rPr>
          <w:rFonts w:eastAsiaTheme="minorEastAsia" w:cstheme="minorBidi"/>
          <w:b w:val="0"/>
          <w:bCs w:val="0"/>
          <w:rtl/>
        </w:rPr>
      </w:pPr>
      <w:hyperlink w:anchor="_Toc456027309" w:history="1">
        <w:r w:rsidRPr="003C40C8">
          <w:rPr>
            <w:rStyle w:val="Hyperlink"/>
            <w:rtl/>
          </w:rPr>
          <w:t>10.</w:t>
        </w:r>
        <w:r>
          <w:rPr>
            <w:rFonts w:eastAsiaTheme="minorEastAsia" w:cstheme="minorBidi"/>
            <w:b w:val="0"/>
            <w:bCs w:val="0"/>
            <w:rtl/>
          </w:rPr>
          <w:tab/>
        </w:r>
        <w:r w:rsidRPr="003C40C8">
          <w:rPr>
            <w:rStyle w:val="Hyperlink"/>
            <w:rFonts w:hint="eastAsia"/>
            <w:rtl/>
          </w:rPr>
          <w:t>חשש</w:t>
        </w:r>
        <w:r w:rsidRPr="003C40C8">
          <w:rPr>
            <w:rStyle w:val="Hyperlink"/>
            <w:rtl/>
          </w:rPr>
          <w:t xml:space="preserve"> </w:t>
        </w:r>
        <w:r w:rsidRPr="003C40C8">
          <w:rPr>
            <w:rStyle w:val="Hyperlink"/>
            <w:rFonts w:hint="eastAsia"/>
            <w:rtl/>
          </w:rPr>
          <w:t>מחשיפת</w:t>
        </w:r>
        <w:r w:rsidRPr="003C40C8">
          <w:rPr>
            <w:rStyle w:val="Hyperlink"/>
            <w:rtl/>
          </w:rPr>
          <w:t xml:space="preserve"> </w:t>
        </w:r>
        <w:r w:rsidRPr="003C40C8">
          <w:rPr>
            <w:rStyle w:val="Hyperlink"/>
            <w:rFonts w:hint="eastAsia"/>
            <w:rtl/>
          </w:rPr>
          <w:t>מידע</w:t>
        </w:r>
        <w:r w:rsidRPr="003C40C8">
          <w:rPr>
            <w:rStyle w:val="Hyperlink"/>
            <w:rtl/>
          </w:rPr>
          <w:t xml:space="preserve"> </w:t>
        </w:r>
        <w:r w:rsidRPr="003C40C8">
          <w:rPr>
            <w:rStyle w:val="Hyperlink"/>
            <w:rFonts w:hint="eastAsia"/>
            <w:rtl/>
          </w:rPr>
          <w:t>רגיש</w:t>
        </w:r>
        <w:r w:rsidRPr="003C40C8">
          <w:rPr>
            <w:rStyle w:val="Hyperlink"/>
            <w:rtl/>
          </w:rPr>
          <w:t xml:space="preserve"> </w:t>
        </w:r>
        <w:r w:rsidRPr="003C40C8">
          <w:rPr>
            <w:rStyle w:val="Hyperlink"/>
            <w:rFonts w:hint="eastAsia"/>
            <w:rtl/>
          </w:rPr>
          <w:t>בפני</w:t>
        </w:r>
        <w:r w:rsidRPr="003C40C8">
          <w:rPr>
            <w:rStyle w:val="Hyperlink"/>
            <w:rtl/>
          </w:rPr>
          <w:t xml:space="preserve"> </w:t>
        </w:r>
        <w:r w:rsidRPr="003C40C8">
          <w:rPr>
            <w:rStyle w:val="Hyperlink"/>
            <w:rFonts w:hint="eastAsia"/>
            <w:rtl/>
          </w:rPr>
          <w:t>ועדת</w:t>
        </w:r>
        <w:r w:rsidRPr="003C40C8">
          <w:rPr>
            <w:rStyle w:val="Hyperlink"/>
            <w:rtl/>
          </w:rPr>
          <w:t xml:space="preserve"> </w:t>
        </w:r>
        <w:r w:rsidRPr="003C40C8">
          <w:rPr>
            <w:rStyle w:val="Hyperlink"/>
            <w:rFonts w:hint="eastAsia"/>
            <w:rtl/>
          </w:rPr>
          <w:t>החקירה</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Toc456027309 \h</w:instrText>
        </w:r>
        <w:r>
          <w:rPr>
            <w:webHidden/>
            <w:rtl/>
          </w:rPr>
          <w:instrText xml:space="preserve"> </w:instrText>
        </w:r>
        <w:r>
          <w:rPr>
            <w:webHidden/>
            <w:rtl/>
          </w:rPr>
        </w:r>
        <w:r>
          <w:rPr>
            <w:webHidden/>
            <w:rtl/>
          </w:rPr>
          <w:fldChar w:fldCharType="separate"/>
        </w:r>
        <w:r>
          <w:rPr>
            <w:webHidden/>
            <w:rtl/>
          </w:rPr>
          <w:t>56</w:t>
        </w:r>
        <w:r>
          <w:rPr>
            <w:webHidden/>
            <w:rtl/>
          </w:rPr>
          <w:fldChar w:fldCharType="end"/>
        </w:r>
      </w:hyperlink>
    </w:p>
    <w:p w:rsidR="00FA11B8" w:rsidRDefault="00FA11B8">
      <w:pPr>
        <w:pStyle w:val="TOC2"/>
        <w:tabs>
          <w:tab w:val="left" w:pos="1880"/>
        </w:tabs>
        <w:rPr>
          <w:rFonts w:eastAsiaTheme="minorEastAsia" w:cstheme="minorBidi"/>
          <w:b w:val="0"/>
          <w:bCs w:val="0"/>
          <w:rtl/>
        </w:rPr>
      </w:pPr>
      <w:hyperlink w:anchor="_Toc456027310" w:history="1">
        <w:r w:rsidRPr="003C40C8">
          <w:rPr>
            <w:rStyle w:val="Hyperlink"/>
            <w:rtl/>
          </w:rPr>
          <w:t>11.</w:t>
        </w:r>
        <w:r>
          <w:rPr>
            <w:rFonts w:eastAsiaTheme="minorEastAsia" w:cstheme="minorBidi"/>
            <w:b w:val="0"/>
            <w:bCs w:val="0"/>
            <w:rtl/>
          </w:rPr>
          <w:tab/>
        </w:r>
        <w:r w:rsidRPr="003C40C8">
          <w:rPr>
            <w:rStyle w:val="Hyperlink"/>
            <w:rFonts w:hint="eastAsia"/>
            <w:rtl/>
          </w:rPr>
          <w:t>השיקול</w:t>
        </w:r>
        <w:r w:rsidRPr="003C40C8">
          <w:rPr>
            <w:rStyle w:val="Hyperlink"/>
            <w:rtl/>
          </w:rPr>
          <w:t xml:space="preserve"> </w:t>
        </w:r>
        <w:r w:rsidRPr="003C40C8">
          <w:rPr>
            <w:rStyle w:val="Hyperlink"/>
            <w:rFonts w:hint="eastAsia"/>
            <w:rtl/>
          </w:rPr>
          <w:t>הפוליטי</w:t>
        </w:r>
        <w:r w:rsidRPr="003C40C8">
          <w:rPr>
            <w:rStyle w:val="Hyperlink"/>
            <w:rtl/>
          </w:rPr>
          <w:t xml:space="preserve"> </w:t>
        </w:r>
        <w:r w:rsidRPr="003C40C8">
          <w:rPr>
            <w:rStyle w:val="Hyperlink"/>
            <w:rFonts w:hint="eastAsia"/>
            <w:rtl/>
          </w:rPr>
          <w:t>הפנימי</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Toc456027310 \h</w:instrText>
        </w:r>
        <w:r>
          <w:rPr>
            <w:webHidden/>
            <w:rtl/>
          </w:rPr>
          <w:instrText xml:space="preserve"> </w:instrText>
        </w:r>
        <w:r>
          <w:rPr>
            <w:webHidden/>
            <w:rtl/>
          </w:rPr>
        </w:r>
        <w:r>
          <w:rPr>
            <w:webHidden/>
            <w:rtl/>
          </w:rPr>
          <w:fldChar w:fldCharType="separate"/>
        </w:r>
        <w:r>
          <w:rPr>
            <w:webHidden/>
            <w:rtl/>
          </w:rPr>
          <w:t>57</w:t>
        </w:r>
        <w:r>
          <w:rPr>
            <w:webHidden/>
            <w:rtl/>
          </w:rPr>
          <w:fldChar w:fldCharType="end"/>
        </w:r>
      </w:hyperlink>
    </w:p>
    <w:p w:rsidR="00FA11B8" w:rsidRDefault="00FA11B8" w:rsidP="00FA11B8">
      <w:pPr>
        <w:pStyle w:val="TOC2"/>
        <w:tabs>
          <w:tab w:val="left" w:pos="1760"/>
        </w:tabs>
        <w:rPr>
          <w:rFonts w:eastAsiaTheme="minorEastAsia" w:cstheme="minorBidi"/>
          <w:b w:val="0"/>
          <w:bCs w:val="0"/>
          <w:rtl/>
        </w:rPr>
      </w:pPr>
      <w:hyperlink w:anchor="_Toc456027311" w:history="1">
        <w:r>
          <w:rPr>
            <w:rStyle w:val="Hyperlink"/>
            <w:rFonts w:hint="cs"/>
            <w:rtl/>
          </w:rPr>
          <w:t>12.</w:t>
        </w:r>
        <w:r>
          <w:rPr>
            <w:rFonts w:eastAsiaTheme="minorEastAsia" w:cstheme="minorBidi"/>
            <w:b w:val="0"/>
            <w:bCs w:val="0"/>
            <w:rtl/>
          </w:rPr>
          <w:tab/>
        </w:r>
        <w:r w:rsidRPr="003C40C8">
          <w:rPr>
            <w:rStyle w:val="Hyperlink"/>
            <w:rFonts w:hint="eastAsia"/>
            <w:rtl/>
          </w:rPr>
          <w:t>סיכום</w:t>
        </w:r>
        <w:r w:rsidRPr="003C40C8">
          <w:rPr>
            <w:rStyle w:val="Hyperlink"/>
            <w:rtl/>
          </w:rPr>
          <w:t xml:space="preserve"> - </w:t>
        </w:r>
        <w:r w:rsidRPr="003C40C8">
          <w:rPr>
            <w:rStyle w:val="Hyperlink"/>
            <w:rFonts w:hint="eastAsia"/>
            <w:rtl/>
          </w:rPr>
          <w:t>שיקולים</w:t>
        </w:r>
        <w:r w:rsidRPr="003C40C8">
          <w:rPr>
            <w:rStyle w:val="Hyperlink"/>
            <w:rtl/>
          </w:rPr>
          <w:t xml:space="preserve"> </w:t>
        </w:r>
        <w:r w:rsidRPr="003C40C8">
          <w:rPr>
            <w:rStyle w:val="Hyperlink"/>
            <w:rFonts w:hint="eastAsia"/>
            <w:rtl/>
          </w:rPr>
          <w:t>רחבים</w:t>
        </w:r>
        <w:r w:rsidRPr="003C40C8">
          <w:rPr>
            <w:rStyle w:val="Hyperlink"/>
            <w:rtl/>
          </w:rPr>
          <w:t>-</w:t>
        </w:r>
        <w:r w:rsidRPr="003C40C8">
          <w:rPr>
            <w:rStyle w:val="Hyperlink"/>
            <w:rFonts w:hint="eastAsia"/>
            <w:rtl/>
          </w:rPr>
          <w:t>גנריים</w:t>
        </w:r>
        <w:r w:rsidRPr="003C40C8">
          <w:rPr>
            <w:rStyle w:val="Hyperlink"/>
            <w:rtl/>
          </w:rPr>
          <w:t xml:space="preserve"> </w:t>
        </w:r>
        <w:r w:rsidRPr="003C40C8">
          <w:rPr>
            <w:rStyle w:val="Hyperlink"/>
            <w:rFonts w:hint="eastAsia"/>
            <w:rtl/>
          </w:rPr>
          <w:t>בקבלת</w:t>
        </w:r>
        <w:r w:rsidRPr="003C40C8">
          <w:rPr>
            <w:rStyle w:val="Hyperlink"/>
            <w:rtl/>
          </w:rPr>
          <w:t xml:space="preserve"> </w:t>
        </w:r>
        <w:r w:rsidRPr="003C40C8">
          <w:rPr>
            <w:rStyle w:val="Hyperlink"/>
            <w:rFonts w:hint="eastAsia"/>
            <w:rtl/>
          </w:rPr>
          <w:t>החלטה</w:t>
        </w:r>
        <w:r w:rsidRPr="003C40C8">
          <w:rPr>
            <w:rStyle w:val="Hyperlink"/>
            <w:rtl/>
          </w:rPr>
          <w:t xml:space="preserve"> </w:t>
        </w:r>
        <w:r w:rsidRPr="003C40C8">
          <w:rPr>
            <w:rStyle w:val="Hyperlink"/>
            <w:rFonts w:hint="eastAsia"/>
            <w:rtl/>
          </w:rPr>
          <w:t>על</w:t>
        </w:r>
        <w:r w:rsidRPr="003C40C8">
          <w:rPr>
            <w:rStyle w:val="Hyperlink"/>
            <w:rtl/>
          </w:rPr>
          <w:t xml:space="preserve"> </w:t>
        </w:r>
        <w:r w:rsidRPr="003C40C8">
          <w:rPr>
            <w:rStyle w:val="Hyperlink"/>
            <w:rFonts w:hint="eastAsia"/>
            <w:rtl/>
          </w:rPr>
          <w:t>שיתוף</w:t>
        </w:r>
        <w:r w:rsidRPr="003C40C8">
          <w:rPr>
            <w:rStyle w:val="Hyperlink"/>
            <w:rtl/>
          </w:rPr>
          <w:t xml:space="preserve"> </w:t>
        </w:r>
        <w:r w:rsidRPr="003C40C8">
          <w:rPr>
            <w:rStyle w:val="Hyperlink"/>
            <w:rFonts w:hint="eastAsia"/>
            <w:rtl/>
          </w:rPr>
          <w:t>פעולה</w:t>
        </w:r>
        <w:r w:rsidRPr="003C40C8">
          <w:rPr>
            <w:rStyle w:val="Hyperlink"/>
            <w:rtl/>
          </w:rPr>
          <w:t xml:space="preserve"> </w:t>
        </w:r>
        <w:r w:rsidRPr="003C40C8">
          <w:rPr>
            <w:rStyle w:val="Hyperlink"/>
            <w:rFonts w:hint="eastAsia"/>
            <w:rtl/>
          </w:rPr>
          <w:t>עם</w:t>
        </w:r>
        <w:r w:rsidRPr="003C40C8">
          <w:rPr>
            <w:rStyle w:val="Hyperlink"/>
            <w:rtl/>
          </w:rPr>
          <w:t xml:space="preserve"> </w:t>
        </w:r>
        <w:r w:rsidRPr="003C40C8">
          <w:rPr>
            <w:rStyle w:val="Hyperlink"/>
            <w:rFonts w:hint="eastAsia"/>
            <w:rtl/>
          </w:rPr>
          <w:t>ועדות</w:t>
        </w:r>
        <w:r w:rsidRPr="003C40C8">
          <w:rPr>
            <w:rStyle w:val="Hyperlink"/>
            <w:rtl/>
          </w:rPr>
          <w:t xml:space="preserve"> </w:t>
        </w:r>
        <w:r w:rsidRPr="003C40C8">
          <w:rPr>
            <w:rStyle w:val="Hyperlink"/>
            <w:rFonts w:hint="eastAsia"/>
            <w:rtl/>
          </w:rPr>
          <w:t>חקירה</w:t>
        </w:r>
        <w:r w:rsidRPr="003C40C8">
          <w:rPr>
            <w:rStyle w:val="Hyperlink"/>
            <w:rtl/>
          </w:rPr>
          <w:t xml:space="preserve"> </w:t>
        </w:r>
        <w:r w:rsidRPr="003C40C8">
          <w:rPr>
            <w:rStyle w:val="Hyperlink"/>
            <w:rFonts w:hint="eastAsia"/>
            <w:rtl/>
          </w:rPr>
          <w:t>בינלאומיות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Toc456027311 \h</w:instrText>
        </w:r>
        <w:r>
          <w:rPr>
            <w:webHidden/>
            <w:rtl/>
          </w:rPr>
          <w:instrText xml:space="preserve"> </w:instrText>
        </w:r>
        <w:r>
          <w:rPr>
            <w:webHidden/>
            <w:rtl/>
          </w:rPr>
        </w:r>
        <w:r>
          <w:rPr>
            <w:webHidden/>
            <w:rtl/>
          </w:rPr>
          <w:fldChar w:fldCharType="separate"/>
        </w:r>
        <w:r>
          <w:rPr>
            <w:webHidden/>
            <w:rtl/>
          </w:rPr>
          <w:t>57</w:t>
        </w:r>
        <w:r>
          <w:rPr>
            <w:webHidden/>
            <w:rtl/>
          </w:rPr>
          <w:fldChar w:fldCharType="end"/>
        </w:r>
      </w:hyperlink>
    </w:p>
    <w:p w:rsidR="00FA11B8" w:rsidRDefault="00FA11B8">
      <w:pPr>
        <w:pStyle w:val="TOC1"/>
        <w:rPr>
          <w:rFonts w:eastAsiaTheme="minorEastAsia" w:cstheme="minorBidi"/>
          <w:b w:val="0"/>
          <w:bCs w:val="0"/>
          <w:sz w:val="22"/>
          <w:szCs w:val="22"/>
          <w:rtl/>
        </w:rPr>
      </w:pPr>
      <w:hyperlink w:anchor="_Toc456027312" w:history="1">
        <w:r w:rsidRPr="003C40C8">
          <w:rPr>
            <w:rStyle w:val="Hyperlink"/>
            <w:rFonts w:hint="eastAsia"/>
            <w:rtl/>
          </w:rPr>
          <w:t>פרק</w:t>
        </w:r>
        <w:r w:rsidRPr="003C40C8">
          <w:rPr>
            <w:rStyle w:val="Hyperlink"/>
            <w:rtl/>
          </w:rPr>
          <w:t xml:space="preserve"> </w:t>
        </w:r>
        <w:r w:rsidRPr="003C40C8">
          <w:rPr>
            <w:rStyle w:val="Hyperlink"/>
            <w:rFonts w:hint="eastAsia"/>
            <w:rtl/>
          </w:rPr>
          <w:t>ד</w:t>
        </w:r>
        <w:r w:rsidRPr="003C40C8">
          <w:rPr>
            <w:rStyle w:val="Hyperlink"/>
            <w:rtl/>
          </w:rPr>
          <w:t xml:space="preserve">' - </w:t>
        </w:r>
        <w:r w:rsidRPr="003C40C8">
          <w:rPr>
            <w:rStyle w:val="Hyperlink"/>
            <w:rFonts w:hint="eastAsia"/>
            <w:rtl/>
          </w:rPr>
          <w:t>שיקולים</w:t>
        </w:r>
        <w:r w:rsidRPr="003C40C8">
          <w:rPr>
            <w:rStyle w:val="Hyperlink"/>
            <w:rtl/>
          </w:rPr>
          <w:t xml:space="preserve"> </w:t>
        </w:r>
        <w:r w:rsidRPr="003C40C8">
          <w:rPr>
            <w:rStyle w:val="Hyperlink"/>
            <w:rFonts w:hint="eastAsia"/>
            <w:rtl/>
          </w:rPr>
          <w:t>פרטניים</w:t>
        </w:r>
        <w:r w:rsidRPr="003C40C8">
          <w:rPr>
            <w:rStyle w:val="Hyperlink"/>
            <w:rtl/>
          </w:rPr>
          <w:t xml:space="preserve"> </w:t>
        </w:r>
        <w:r w:rsidRPr="003C40C8">
          <w:rPr>
            <w:rStyle w:val="Hyperlink"/>
            <w:rFonts w:hint="eastAsia"/>
            <w:rtl/>
          </w:rPr>
          <w:t>בקבלת</w:t>
        </w:r>
        <w:r w:rsidRPr="003C40C8">
          <w:rPr>
            <w:rStyle w:val="Hyperlink"/>
            <w:rtl/>
          </w:rPr>
          <w:t xml:space="preserve"> </w:t>
        </w:r>
        <w:r w:rsidRPr="003C40C8">
          <w:rPr>
            <w:rStyle w:val="Hyperlink"/>
            <w:rFonts w:hint="eastAsia"/>
            <w:rtl/>
          </w:rPr>
          <w:t>החלטה</w:t>
        </w:r>
        <w:r w:rsidRPr="003C40C8">
          <w:rPr>
            <w:rStyle w:val="Hyperlink"/>
            <w:rtl/>
          </w:rPr>
          <w:t xml:space="preserve"> </w:t>
        </w:r>
        <w:r w:rsidRPr="003C40C8">
          <w:rPr>
            <w:rStyle w:val="Hyperlink"/>
            <w:rFonts w:hint="eastAsia"/>
            <w:rtl/>
          </w:rPr>
          <w:t>על</w:t>
        </w:r>
        <w:r w:rsidRPr="003C40C8">
          <w:rPr>
            <w:rStyle w:val="Hyperlink"/>
            <w:rtl/>
          </w:rPr>
          <w:t xml:space="preserve"> </w:t>
        </w:r>
        <w:r w:rsidRPr="003C40C8">
          <w:rPr>
            <w:rStyle w:val="Hyperlink"/>
            <w:rFonts w:hint="eastAsia"/>
            <w:rtl/>
          </w:rPr>
          <w:t>שיתוף</w:t>
        </w:r>
        <w:r w:rsidRPr="003C40C8">
          <w:rPr>
            <w:rStyle w:val="Hyperlink"/>
            <w:rtl/>
          </w:rPr>
          <w:t xml:space="preserve"> </w:t>
        </w:r>
        <w:r w:rsidRPr="003C40C8">
          <w:rPr>
            <w:rStyle w:val="Hyperlink"/>
            <w:rFonts w:hint="eastAsia"/>
            <w:rtl/>
          </w:rPr>
          <w:t>פעולה</w:t>
        </w:r>
        <w:r w:rsidRPr="003C40C8">
          <w:rPr>
            <w:rStyle w:val="Hyperlink"/>
            <w:rtl/>
          </w:rPr>
          <w:t xml:space="preserve"> </w:t>
        </w:r>
        <w:r w:rsidRPr="003C40C8">
          <w:rPr>
            <w:rStyle w:val="Hyperlink"/>
            <w:rFonts w:hint="eastAsia"/>
            <w:rtl/>
          </w:rPr>
          <w:t>עם</w:t>
        </w:r>
        <w:r w:rsidRPr="003C40C8">
          <w:rPr>
            <w:rStyle w:val="Hyperlink"/>
            <w:rtl/>
          </w:rPr>
          <w:t xml:space="preserve"> </w:t>
        </w:r>
        <w:r w:rsidRPr="003C40C8">
          <w:rPr>
            <w:rStyle w:val="Hyperlink"/>
            <w:rFonts w:hint="eastAsia"/>
            <w:rtl/>
          </w:rPr>
          <w:t>ועדות</w:t>
        </w:r>
        <w:r w:rsidRPr="003C40C8">
          <w:rPr>
            <w:rStyle w:val="Hyperlink"/>
            <w:rtl/>
          </w:rPr>
          <w:t xml:space="preserve"> </w:t>
        </w:r>
        <w:r w:rsidRPr="003C40C8">
          <w:rPr>
            <w:rStyle w:val="Hyperlink"/>
            <w:rFonts w:hint="eastAsia"/>
            <w:rtl/>
          </w:rPr>
          <w:t>חקירה</w:t>
        </w:r>
        <w:r w:rsidRPr="003C40C8">
          <w:rPr>
            <w:rStyle w:val="Hyperlink"/>
            <w:rtl/>
          </w:rPr>
          <w:t xml:space="preserve"> </w:t>
        </w:r>
        <w:r w:rsidRPr="003C40C8">
          <w:rPr>
            <w:rStyle w:val="Hyperlink"/>
            <w:rFonts w:hint="eastAsia"/>
            <w:rtl/>
          </w:rPr>
          <w:t>בינלאומיות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Toc456027312 \h</w:instrText>
        </w:r>
        <w:r>
          <w:rPr>
            <w:webHidden/>
            <w:rtl/>
          </w:rPr>
          <w:instrText xml:space="preserve"> </w:instrText>
        </w:r>
        <w:r>
          <w:rPr>
            <w:webHidden/>
            <w:rtl/>
          </w:rPr>
        </w:r>
        <w:r>
          <w:rPr>
            <w:webHidden/>
            <w:rtl/>
          </w:rPr>
          <w:fldChar w:fldCharType="separate"/>
        </w:r>
        <w:r>
          <w:rPr>
            <w:webHidden/>
            <w:rtl/>
          </w:rPr>
          <w:t>60</w:t>
        </w:r>
        <w:r>
          <w:rPr>
            <w:webHidden/>
            <w:rtl/>
          </w:rPr>
          <w:fldChar w:fldCharType="end"/>
        </w:r>
      </w:hyperlink>
    </w:p>
    <w:p w:rsidR="00FA11B8" w:rsidRDefault="00FA11B8">
      <w:pPr>
        <w:pStyle w:val="TOC2"/>
        <w:tabs>
          <w:tab w:val="left" w:pos="1783"/>
        </w:tabs>
        <w:rPr>
          <w:rFonts w:eastAsiaTheme="minorEastAsia" w:cstheme="minorBidi"/>
          <w:b w:val="0"/>
          <w:bCs w:val="0"/>
          <w:rtl/>
        </w:rPr>
      </w:pPr>
      <w:hyperlink w:anchor="_Toc456027313" w:history="1">
        <w:r w:rsidRPr="003C40C8">
          <w:rPr>
            <w:rStyle w:val="Hyperlink"/>
            <w:rtl/>
          </w:rPr>
          <w:t>1.</w:t>
        </w:r>
        <w:r>
          <w:rPr>
            <w:rFonts w:eastAsiaTheme="minorEastAsia" w:cstheme="minorBidi"/>
            <w:b w:val="0"/>
            <w:bCs w:val="0"/>
            <w:rtl/>
          </w:rPr>
          <w:tab/>
        </w:r>
        <w:r w:rsidRPr="003C40C8">
          <w:rPr>
            <w:rStyle w:val="Hyperlink"/>
            <w:rFonts w:hint="eastAsia"/>
            <w:rtl/>
          </w:rPr>
          <w:t>הגוף</w:t>
        </w:r>
        <w:r w:rsidRPr="003C40C8">
          <w:rPr>
            <w:rStyle w:val="Hyperlink"/>
            <w:rtl/>
          </w:rPr>
          <w:t xml:space="preserve"> </w:t>
        </w:r>
        <w:r w:rsidRPr="003C40C8">
          <w:rPr>
            <w:rStyle w:val="Hyperlink"/>
            <w:rFonts w:hint="eastAsia"/>
            <w:rtl/>
          </w:rPr>
          <w:t>הממנה</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Toc456027313 \h</w:instrText>
        </w:r>
        <w:r>
          <w:rPr>
            <w:webHidden/>
            <w:rtl/>
          </w:rPr>
          <w:instrText xml:space="preserve"> </w:instrText>
        </w:r>
        <w:r>
          <w:rPr>
            <w:webHidden/>
            <w:rtl/>
          </w:rPr>
        </w:r>
        <w:r>
          <w:rPr>
            <w:webHidden/>
            <w:rtl/>
          </w:rPr>
          <w:fldChar w:fldCharType="separate"/>
        </w:r>
        <w:r>
          <w:rPr>
            <w:webHidden/>
            <w:rtl/>
          </w:rPr>
          <w:t>60</w:t>
        </w:r>
        <w:r>
          <w:rPr>
            <w:webHidden/>
            <w:rtl/>
          </w:rPr>
          <w:fldChar w:fldCharType="end"/>
        </w:r>
      </w:hyperlink>
    </w:p>
    <w:p w:rsidR="00FA11B8" w:rsidRDefault="00FA11B8">
      <w:pPr>
        <w:pStyle w:val="TOC3"/>
        <w:tabs>
          <w:tab w:val="left" w:pos="2327"/>
        </w:tabs>
        <w:rPr>
          <w:rFonts w:eastAsiaTheme="minorEastAsia" w:cstheme="minorBidi"/>
          <w:sz w:val="22"/>
          <w:szCs w:val="22"/>
          <w:rtl/>
        </w:rPr>
      </w:pPr>
      <w:hyperlink w:anchor="_Toc456027314" w:history="1">
        <w:r w:rsidRPr="003C40C8">
          <w:rPr>
            <w:rStyle w:val="Hyperlink"/>
            <w:rFonts w:hint="eastAsia"/>
            <w:rtl/>
          </w:rPr>
          <w:t>א</w:t>
        </w:r>
        <w:r w:rsidRPr="003C40C8">
          <w:rPr>
            <w:rStyle w:val="Hyperlink"/>
            <w:rtl/>
          </w:rPr>
          <w:t>.</w:t>
        </w:r>
        <w:r>
          <w:rPr>
            <w:rFonts w:eastAsiaTheme="minorEastAsia" w:cstheme="minorBidi"/>
            <w:sz w:val="22"/>
            <w:szCs w:val="22"/>
            <w:rtl/>
          </w:rPr>
          <w:tab/>
        </w:r>
        <w:r w:rsidRPr="003C40C8">
          <w:rPr>
            <w:rStyle w:val="Hyperlink"/>
            <w:rFonts w:hint="eastAsia"/>
            <w:rtl/>
          </w:rPr>
          <w:t>זהות</w:t>
        </w:r>
        <w:r w:rsidRPr="003C40C8">
          <w:rPr>
            <w:rStyle w:val="Hyperlink"/>
            <w:rtl/>
          </w:rPr>
          <w:t xml:space="preserve"> </w:t>
        </w:r>
        <w:r w:rsidRPr="003C40C8">
          <w:rPr>
            <w:rStyle w:val="Hyperlink"/>
            <w:rFonts w:hint="eastAsia"/>
            <w:rtl/>
          </w:rPr>
          <w:t>הגוף</w:t>
        </w:r>
        <w:r w:rsidRPr="003C40C8">
          <w:rPr>
            <w:rStyle w:val="Hyperlink"/>
            <w:rtl/>
          </w:rPr>
          <w:t xml:space="preserve"> </w:t>
        </w:r>
        <w:r w:rsidRPr="003C40C8">
          <w:rPr>
            <w:rStyle w:val="Hyperlink"/>
            <w:rFonts w:hint="eastAsia"/>
            <w:rtl/>
          </w:rPr>
          <w:t>הממנה</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Toc456027314 \h</w:instrText>
        </w:r>
        <w:r>
          <w:rPr>
            <w:webHidden/>
            <w:rtl/>
          </w:rPr>
          <w:instrText xml:space="preserve"> </w:instrText>
        </w:r>
        <w:r>
          <w:rPr>
            <w:webHidden/>
            <w:rtl/>
          </w:rPr>
        </w:r>
        <w:r>
          <w:rPr>
            <w:webHidden/>
            <w:rtl/>
          </w:rPr>
          <w:fldChar w:fldCharType="separate"/>
        </w:r>
        <w:r>
          <w:rPr>
            <w:webHidden/>
            <w:rtl/>
          </w:rPr>
          <w:t>60</w:t>
        </w:r>
        <w:r>
          <w:rPr>
            <w:webHidden/>
            <w:rtl/>
          </w:rPr>
          <w:fldChar w:fldCharType="end"/>
        </w:r>
      </w:hyperlink>
    </w:p>
    <w:p w:rsidR="00FA11B8" w:rsidRDefault="00FA11B8">
      <w:pPr>
        <w:pStyle w:val="TOC3"/>
        <w:tabs>
          <w:tab w:val="left" w:pos="2301"/>
        </w:tabs>
        <w:rPr>
          <w:rFonts w:eastAsiaTheme="minorEastAsia" w:cstheme="minorBidi"/>
          <w:sz w:val="22"/>
          <w:szCs w:val="22"/>
          <w:rtl/>
        </w:rPr>
      </w:pPr>
      <w:hyperlink w:anchor="_Toc456027315" w:history="1">
        <w:r w:rsidRPr="003C40C8">
          <w:rPr>
            <w:rStyle w:val="Hyperlink"/>
            <w:rFonts w:hint="eastAsia"/>
            <w:rtl/>
          </w:rPr>
          <w:t>ב</w:t>
        </w:r>
        <w:r w:rsidRPr="003C40C8">
          <w:rPr>
            <w:rStyle w:val="Hyperlink"/>
            <w:rtl/>
          </w:rPr>
          <w:t>.</w:t>
        </w:r>
        <w:r>
          <w:rPr>
            <w:rFonts w:eastAsiaTheme="minorEastAsia" w:cstheme="minorBidi"/>
            <w:sz w:val="22"/>
            <w:szCs w:val="22"/>
            <w:rtl/>
          </w:rPr>
          <w:tab/>
        </w:r>
        <w:r w:rsidRPr="003C40C8">
          <w:rPr>
            <w:rStyle w:val="Hyperlink"/>
            <w:rFonts w:hint="eastAsia"/>
            <w:rtl/>
          </w:rPr>
          <w:t>כוחו</w:t>
        </w:r>
        <w:r w:rsidRPr="003C40C8">
          <w:rPr>
            <w:rStyle w:val="Hyperlink"/>
            <w:rtl/>
          </w:rPr>
          <w:t xml:space="preserve"> </w:t>
        </w:r>
        <w:r w:rsidRPr="003C40C8">
          <w:rPr>
            <w:rStyle w:val="Hyperlink"/>
            <w:rFonts w:hint="eastAsia"/>
            <w:rtl/>
          </w:rPr>
          <w:t>וסמכויותיו</w:t>
        </w:r>
        <w:r w:rsidRPr="003C40C8">
          <w:rPr>
            <w:rStyle w:val="Hyperlink"/>
            <w:rtl/>
          </w:rPr>
          <w:t xml:space="preserve"> </w:t>
        </w:r>
        <w:r w:rsidRPr="003C40C8">
          <w:rPr>
            <w:rStyle w:val="Hyperlink"/>
            <w:rFonts w:hint="eastAsia"/>
            <w:rtl/>
          </w:rPr>
          <w:t>של</w:t>
        </w:r>
        <w:r w:rsidRPr="003C40C8">
          <w:rPr>
            <w:rStyle w:val="Hyperlink"/>
            <w:rtl/>
          </w:rPr>
          <w:t xml:space="preserve"> </w:t>
        </w:r>
        <w:r w:rsidRPr="003C40C8">
          <w:rPr>
            <w:rStyle w:val="Hyperlink"/>
            <w:rFonts w:hint="eastAsia"/>
            <w:rtl/>
          </w:rPr>
          <w:t>הגוף</w:t>
        </w:r>
        <w:r w:rsidRPr="003C40C8">
          <w:rPr>
            <w:rStyle w:val="Hyperlink"/>
            <w:rtl/>
          </w:rPr>
          <w:t xml:space="preserve"> </w:t>
        </w:r>
        <w:r w:rsidRPr="003C40C8">
          <w:rPr>
            <w:rStyle w:val="Hyperlink"/>
            <w:rFonts w:hint="eastAsia"/>
            <w:rtl/>
          </w:rPr>
          <w:t>שממנה</w:t>
        </w:r>
        <w:r w:rsidRPr="003C40C8">
          <w:rPr>
            <w:rStyle w:val="Hyperlink"/>
            <w:rtl/>
          </w:rPr>
          <w:t xml:space="preserve"> </w:t>
        </w:r>
        <w:r w:rsidRPr="003C40C8">
          <w:rPr>
            <w:rStyle w:val="Hyperlink"/>
            <w:rFonts w:hint="eastAsia"/>
            <w:rtl/>
          </w:rPr>
          <w:t>את</w:t>
        </w:r>
        <w:r w:rsidRPr="003C40C8">
          <w:rPr>
            <w:rStyle w:val="Hyperlink"/>
            <w:rtl/>
          </w:rPr>
          <w:t xml:space="preserve"> </w:t>
        </w:r>
        <w:r w:rsidRPr="003C40C8">
          <w:rPr>
            <w:rStyle w:val="Hyperlink"/>
            <w:rFonts w:hint="eastAsia"/>
            <w:rtl/>
          </w:rPr>
          <w:t>ועדת</w:t>
        </w:r>
        <w:r w:rsidRPr="003C40C8">
          <w:rPr>
            <w:rStyle w:val="Hyperlink"/>
            <w:rtl/>
          </w:rPr>
          <w:t xml:space="preserve"> </w:t>
        </w:r>
        <w:r w:rsidRPr="003C40C8">
          <w:rPr>
            <w:rStyle w:val="Hyperlink"/>
            <w:rFonts w:hint="eastAsia"/>
            <w:rtl/>
          </w:rPr>
          <w:t>החקירה</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Toc456027315 \h</w:instrText>
        </w:r>
        <w:r>
          <w:rPr>
            <w:webHidden/>
            <w:rtl/>
          </w:rPr>
          <w:instrText xml:space="preserve"> </w:instrText>
        </w:r>
        <w:r>
          <w:rPr>
            <w:webHidden/>
            <w:rtl/>
          </w:rPr>
        </w:r>
        <w:r>
          <w:rPr>
            <w:webHidden/>
            <w:rtl/>
          </w:rPr>
          <w:fldChar w:fldCharType="separate"/>
        </w:r>
        <w:r>
          <w:rPr>
            <w:webHidden/>
            <w:rtl/>
          </w:rPr>
          <w:t>67</w:t>
        </w:r>
        <w:r>
          <w:rPr>
            <w:webHidden/>
            <w:rtl/>
          </w:rPr>
          <w:fldChar w:fldCharType="end"/>
        </w:r>
      </w:hyperlink>
    </w:p>
    <w:p w:rsidR="00FA11B8" w:rsidRDefault="00FA11B8">
      <w:pPr>
        <w:pStyle w:val="TOC3"/>
        <w:tabs>
          <w:tab w:val="left" w:pos="2268"/>
        </w:tabs>
        <w:rPr>
          <w:rFonts w:eastAsiaTheme="minorEastAsia" w:cstheme="minorBidi"/>
          <w:sz w:val="22"/>
          <w:szCs w:val="22"/>
          <w:rtl/>
        </w:rPr>
      </w:pPr>
      <w:hyperlink w:anchor="_Toc456027316" w:history="1">
        <w:r w:rsidRPr="003C40C8">
          <w:rPr>
            <w:rStyle w:val="Hyperlink"/>
            <w:rFonts w:hint="eastAsia"/>
            <w:rtl/>
          </w:rPr>
          <w:t>ג</w:t>
        </w:r>
        <w:r w:rsidRPr="003C40C8">
          <w:rPr>
            <w:rStyle w:val="Hyperlink"/>
            <w:rtl/>
          </w:rPr>
          <w:t>.</w:t>
        </w:r>
        <w:r>
          <w:rPr>
            <w:rFonts w:eastAsiaTheme="minorEastAsia" w:cstheme="minorBidi"/>
            <w:sz w:val="22"/>
            <w:szCs w:val="22"/>
            <w:rtl/>
          </w:rPr>
          <w:tab/>
        </w:r>
        <w:r w:rsidRPr="003C40C8">
          <w:rPr>
            <w:rStyle w:val="Hyperlink"/>
            <w:rFonts w:hint="eastAsia"/>
            <w:rtl/>
          </w:rPr>
          <w:t>מינוי</w:t>
        </w:r>
        <w:r w:rsidRPr="003C40C8">
          <w:rPr>
            <w:rStyle w:val="Hyperlink"/>
            <w:rtl/>
          </w:rPr>
          <w:t xml:space="preserve"> </w:t>
        </w:r>
        <w:r w:rsidRPr="003C40C8">
          <w:rPr>
            <w:rStyle w:val="Hyperlink"/>
            <w:rFonts w:hint="eastAsia"/>
            <w:rtl/>
          </w:rPr>
          <w:t>ועדה</w:t>
        </w:r>
        <w:r w:rsidRPr="003C40C8">
          <w:rPr>
            <w:rStyle w:val="Hyperlink"/>
            <w:rtl/>
          </w:rPr>
          <w:t xml:space="preserve"> </w:t>
        </w:r>
        <w:r w:rsidRPr="003C40C8">
          <w:rPr>
            <w:rStyle w:val="Hyperlink"/>
            <w:rFonts w:hint="eastAsia"/>
            <w:rtl/>
          </w:rPr>
          <w:t>חלופית</w:t>
        </w:r>
        <w:r w:rsidRPr="003C40C8">
          <w:rPr>
            <w:rStyle w:val="Hyperlink"/>
            <w:rtl/>
          </w:rPr>
          <w:t xml:space="preserve"> </w:t>
        </w:r>
        <w:r w:rsidRPr="003C40C8">
          <w:rPr>
            <w:rStyle w:val="Hyperlink"/>
            <w:rFonts w:hint="eastAsia"/>
            <w:rtl/>
          </w:rPr>
          <w:t>או</w:t>
        </w:r>
        <w:r w:rsidRPr="003C40C8">
          <w:rPr>
            <w:rStyle w:val="Hyperlink"/>
            <w:rtl/>
          </w:rPr>
          <w:t xml:space="preserve"> </w:t>
        </w:r>
        <w:r w:rsidRPr="003C40C8">
          <w:rPr>
            <w:rStyle w:val="Hyperlink"/>
            <w:rFonts w:hint="eastAsia"/>
            <w:rtl/>
          </w:rPr>
          <w:t>פעולה</w:t>
        </w:r>
        <w:r w:rsidRPr="003C40C8">
          <w:rPr>
            <w:rStyle w:val="Hyperlink"/>
            <w:rtl/>
          </w:rPr>
          <w:t xml:space="preserve"> </w:t>
        </w:r>
        <w:r w:rsidRPr="003C40C8">
          <w:rPr>
            <w:rStyle w:val="Hyperlink"/>
            <w:rFonts w:hint="eastAsia"/>
            <w:rtl/>
          </w:rPr>
          <w:t>של</w:t>
        </w:r>
        <w:r w:rsidRPr="003C40C8">
          <w:rPr>
            <w:rStyle w:val="Hyperlink"/>
            <w:rtl/>
          </w:rPr>
          <w:t xml:space="preserve"> </w:t>
        </w:r>
        <w:r w:rsidRPr="003C40C8">
          <w:rPr>
            <w:rStyle w:val="Hyperlink"/>
            <w:rFonts w:hint="eastAsia"/>
            <w:rtl/>
          </w:rPr>
          <w:t>כמה</w:t>
        </w:r>
        <w:r w:rsidRPr="003C40C8">
          <w:rPr>
            <w:rStyle w:val="Hyperlink"/>
            <w:rtl/>
          </w:rPr>
          <w:t xml:space="preserve"> </w:t>
        </w:r>
        <w:r w:rsidRPr="003C40C8">
          <w:rPr>
            <w:rStyle w:val="Hyperlink"/>
            <w:rFonts w:hint="eastAsia"/>
            <w:rtl/>
          </w:rPr>
          <w:t>ועדות</w:t>
        </w:r>
        <w:r w:rsidRPr="003C40C8">
          <w:rPr>
            <w:rStyle w:val="Hyperlink"/>
            <w:rtl/>
          </w:rPr>
          <w:t xml:space="preserve"> </w:t>
        </w:r>
        <w:r w:rsidRPr="003C40C8">
          <w:rPr>
            <w:rStyle w:val="Hyperlink"/>
            <w:rFonts w:hint="eastAsia"/>
            <w:rtl/>
          </w:rPr>
          <w:t>במקביל</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Toc456027316 \h</w:instrText>
        </w:r>
        <w:r>
          <w:rPr>
            <w:webHidden/>
            <w:rtl/>
          </w:rPr>
          <w:instrText xml:space="preserve"> </w:instrText>
        </w:r>
        <w:r>
          <w:rPr>
            <w:webHidden/>
            <w:rtl/>
          </w:rPr>
        </w:r>
        <w:r>
          <w:rPr>
            <w:webHidden/>
            <w:rtl/>
          </w:rPr>
          <w:fldChar w:fldCharType="separate"/>
        </w:r>
        <w:r>
          <w:rPr>
            <w:webHidden/>
            <w:rtl/>
          </w:rPr>
          <w:t>68</w:t>
        </w:r>
        <w:r>
          <w:rPr>
            <w:webHidden/>
            <w:rtl/>
          </w:rPr>
          <w:fldChar w:fldCharType="end"/>
        </w:r>
      </w:hyperlink>
    </w:p>
    <w:p w:rsidR="00FA11B8" w:rsidRDefault="00FA11B8">
      <w:pPr>
        <w:pStyle w:val="TOC2"/>
        <w:tabs>
          <w:tab w:val="left" w:pos="1783"/>
        </w:tabs>
        <w:rPr>
          <w:rFonts w:eastAsiaTheme="minorEastAsia" w:cstheme="minorBidi"/>
          <w:b w:val="0"/>
          <w:bCs w:val="0"/>
          <w:rtl/>
        </w:rPr>
      </w:pPr>
      <w:hyperlink w:anchor="_Toc456027317" w:history="1">
        <w:r w:rsidRPr="003C40C8">
          <w:rPr>
            <w:rStyle w:val="Hyperlink"/>
            <w:rtl/>
          </w:rPr>
          <w:t>2.</w:t>
        </w:r>
        <w:r>
          <w:rPr>
            <w:rFonts w:eastAsiaTheme="minorEastAsia" w:cstheme="minorBidi"/>
            <w:b w:val="0"/>
            <w:bCs w:val="0"/>
            <w:rtl/>
          </w:rPr>
          <w:tab/>
        </w:r>
        <w:r w:rsidRPr="003C40C8">
          <w:rPr>
            <w:rStyle w:val="Hyperlink"/>
            <w:rFonts w:hint="eastAsia"/>
            <w:rtl/>
          </w:rPr>
          <w:t>נוסח</w:t>
        </w:r>
        <w:r w:rsidRPr="003C40C8">
          <w:rPr>
            <w:rStyle w:val="Hyperlink"/>
            <w:rtl/>
          </w:rPr>
          <w:t xml:space="preserve"> </w:t>
        </w:r>
        <w:r w:rsidRPr="003C40C8">
          <w:rPr>
            <w:rStyle w:val="Hyperlink"/>
            <w:rFonts w:hint="eastAsia"/>
            <w:rtl/>
          </w:rPr>
          <w:t>מנדט</w:t>
        </w:r>
        <w:r w:rsidRPr="003C40C8">
          <w:rPr>
            <w:rStyle w:val="Hyperlink"/>
            <w:rtl/>
          </w:rPr>
          <w:t xml:space="preserve"> </w:t>
        </w:r>
        <w:r w:rsidRPr="003C40C8">
          <w:rPr>
            <w:rStyle w:val="Hyperlink"/>
            <w:rFonts w:hint="eastAsia"/>
            <w:rtl/>
          </w:rPr>
          <w:t>ועדת</w:t>
        </w:r>
        <w:r w:rsidRPr="003C40C8">
          <w:rPr>
            <w:rStyle w:val="Hyperlink"/>
            <w:rtl/>
          </w:rPr>
          <w:t xml:space="preserve"> </w:t>
        </w:r>
        <w:r w:rsidRPr="003C40C8">
          <w:rPr>
            <w:rStyle w:val="Hyperlink"/>
            <w:rFonts w:hint="eastAsia"/>
            <w:rtl/>
          </w:rPr>
          <w:t>החקירה</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Toc456027317 \h</w:instrText>
        </w:r>
        <w:r>
          <w:rPr>
            <w:webHidden/>
            <w:rtl/>
          </w:rPr>
          <w:instrText xml:space="preserve"> </w:instrText>
        </w:r>
        <w:r>
          <w:rPr>
            <w:webHidden/>
            <w:rtl/>
          </w:rPr>
        </w:r>
        <w:r>
          <w:rPr>
            <w:webHidden/>
            <w:rtl/>
          </w:rPr>
          <w:fldChar w:fldCharType="separate"/>
        </w:r>
        <w:r>
          <w:rPr>
            <w:webHidden/>
            <w:rtl/>
          </w:rPr>
          <w:t>71</w:t>
        </w:r>
        <w:r>
          <w:rPr>
            <w:webHidden/>
            <w:rtl/>
          </w:rPr>
          <w:fldChar w:fldCharType="end"/>
        </w:r>
      </w:hyperlink>
    </w:p>
    <w:p w:rsidR="00FA11B8" w:rsidRDefault="00FA11B8">
      <w:pPr>
        <w:pStyle w:val="TOC3"/>
        <w:tabs>
          <w:tab w:val="left" w:pos="2327"/>
        </w:tabs>
        <w:rPr>
          <w:rFonts w:eastAsiaTheme="minorEastAsia" w:cstheme="minorBidi"/>
          <w:sz w:val="22"/>
          <w:szCs w:val="22"/>
          <w:rtl/>
        </w:rPr>
      </w:pPr>
      <w:hyperlink w:anchor="_Toc456027318" w:history="1">
        <w:r w:rsidRPr="003C40C8">
          <w:rPr>
            <w:rStyle w:val="Hyperlink"/>
            <w:rFonts w:hint="eastAsia"/>
            <w:rtl/>
          </w:rPr>
          <w:t>א</w:t>
        </w:r>
        <w:r w:rsidRPr="003C40C8">
          <w:rPr>
            <w:rStyle w:val="Hyperlink"/>
            <w:rtl/>
          </w:rPr>
          <w:t>.</w:t>
        </w:r>
        <w:r>
          <w:rPr>
            <w:rFonts w:eastAsiaTheme="minorEastAsia" w:cstheme="minorBidi"/>
            <w:sz w:val="22"/>
            <w:szCs w:val="22"/>
            <w:rtl/>
          </w:rPr>
          <w:tab/>
        </w:r>
        <w:r w:rsidRPr="003C40C8">
          <w:rPr>
            <w:rStyle w:val="Hyperlink"/>
            <w:rFonts w:hint="eastAsia"/>
            <w:rtl/>
          </w:rPr>
          <w:t>קביעת</w:t>
        </w:r>
        <w:r w:rsidRPr="003C40C8">
          <w:rPr>
            <w:rStyle w:val="Hyperlink"/>
            <w:rtl/>
          </w:rPr>
          <w:t xml:space="preserve"> </w:t>
        </w:r>
        <w:r w:rsidRPr="003C40C8">
          <w:rPr>
            <w:rStyle w:val="Hyperlink"/>
            <w:rFonts w:hint="eastAsia"/>
            <w:rtl/>
          </w:rPr>
          <w:t>התוצאות</w:t>
        </w:r>
        <w:r w:rsidRPr="003C40C8">
          <w:rPr>
            <w:rStyle w:val="Hyperlink"/>
            <w:rtl/>
          </w:rPr>
          <w:t xml:space="preserve"> </w:t>
        </w:r>
        <w:r w:rsidRPr="003C40C8">
          <w:rPr>
            <w:rStyle w:val="Hyperlink"/>
            <w:rFonts w:hint="eastAsia"/>
            <w:rtl/>
          </w:rPr>
          <w:t>מראש</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Toc456027318 \h</w:instrText>
        </w:r>
        <w:r>
          <w:rPr>
            <w:webHidden/>
            <w:rtl/>
          </w:rPr>
          <w:instrText xml:space="preserve"> </w:instrText>
        </w:r>
        <w:r>
          <w:rPr>
            <w:webHidden/>
            <w:rtl/>
          </w:rPr>
        </w:r>
        <w:r>
          <w:rPr>
            <w:webHidden/>
            <w:rtl/>
          </w:rPr>
          <w:fldChar w:fldCharType="separate"/>
        </w:r>
        <w:r>
          <w:rPr>
            <w:webHidden/>
            <w:rtl/>
          </w:rPr>
          <w:t>71</w:t>
        </w:r>
        <w:r>
          <w:rPr>
            <w:webHidden/>
            <w:rtl/>
          </w:rPr>
          <w:fldChar w:fldCharType="end"/>
        </w:r>
      </w:hyperlink>
    </w:p>
    <w:p w:rsidR="00FA11B8" w:rsidRDefault="00FA11B8">
      <w:pPr>
        <w:pStyle w:val="TOC3"/>
        <w:tabs>
          <w:tab w:val="left" w:pos="2301"/>
        </w:tabs>
        <w:rPr>
          <w:rFonts w:eastAsiaTheme="minorEastAsia" w:cstheme="minorBidi"/>
          <w:sz w:val="22"/>
          <w:szCs w:val="22"/>
          <w:rtl/>
        </w:rPr>
      </w:pPr>
      <w:hyperlink w:anchor="_Toc456027319" w:history="1">
        <w:r w:rsidRPr="003C40C8">
          <w:rPr>
            <w:rStyle w:val="Hyperlink"/>
            <w:rFonts w:hint="eastAsia"/>
            <w:rtl/>
          </w:rPr>
          <w:t>ב</w:t>
        </w:r>
        <w:r w:rsidRPr="003C40C8">
          <w:rPr>
            <w:rStyle w:val="Hyperlink"/>
            <w:rtl/>
          </w:rPr>
          <w:t>.</w:t>
        </w:r>
        <w:r>
          <w:rPr>
            <w:rFonts w:eastAsiaTheme="minorEastAsia" w:cstheme="minorBidi"/>
            <w:sz w:val="22"/>
            <w:szCs w:val="22"/>
            <w:rtl/>
          </w:rPr>
          <w:tab/>
        </w:r>
        <w:r w:rsidRPr="003C40C8">
          <w:rPr>
            <w:rStyle w:val="Hyperlink"/>
            <w:rFonts w:hint="eastAsia"/>
            <w:rtl/>
          </w:rPr>
          <w:t>מנדטים</w:t>
        </w:r>
        <w:r w:rsidRPr="003C40C8">
          <w:rPr>
            <w:rStyle w:val="Hyperlink"/>
            <w:rtl/>
          </w:rPr>
          <w:t xml:space="preserve"> </w:t>
        </w:r>
        <w:r w:rsidRPr="003C40C8">
          <w:rPr>
            <w:rStyle w:val="Hyperlink"/>
            <w:rFonts w:hint="eastAsia"/>
            <w:rtl/>
          </w:rPr>
          <w:t>חד</w:t>
        </w:r>
        <w:r w:rsidRPr="003C40C8">
          <w:rPr>
            <w:rStyle w:val="Hyperlink"/>
            <w:rtl/>
          </w:rPr>
          <w:t>-</w:t>
        </w:r>
        <w:r w:rsidRPr="003C40C8">
          <w:rPr>
            <w:rStyle w:val="Hyperlink"/>
            <w:rFonts w:hint="eastAsia"/>
            <w:rtl/>
          </w:rPr>
          <w:t>צדדיים</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Toc456027319 \h</w:instrText>
        </w:r>
        <w:r>
          <w:rPr>
            <w:webHidden/>
            <w:rtl/>
          </w:rPr>
          <w:instrText xml:space="preserve"> </w:instrText>
        </w:r>
        <w:r>
          <w:rPr>
            <w:webHidden/>
            <w:rtl/>
          </w:rPr>
        </w:r>
        <w:r>
          <w:rPr>
            <w:webHidden/>
            <w:rtl/>
          </w:rPr>
          <w:fldChar w:fldCharType="separate"/>
        </w:r>
        <w:r>
          <w:rPr>
            <w:webHidden/>
            <w:rtl/>
          </w:rPr>
          <w:t>74</w:t>
        </w:r>
        <w:r>
          <w:rPr>
            <w:webHidden/>
            <w:rtl/>
          </w:rPr>
          <w:fldChar w:fldCharType="end"/>
        </w:r>
      </w:hyperlink>
    </w:p>
    <w:p w:rsidR="00FA11B8" w:rsidRDefault="00FA11B8">
      <w:pPr>
        <w:pStyle w:val="TOC3"/>
        <w:tabs>
          <w:tab w:val="left" w:pos="2268"/>
        </w:tabs>
        <w:rPr>
          <w:rFonts w:eastAsiaTheme="minorEastAsia" w:cstheme="minorBidi"/>
          <w:sz w:val="22"/>
          <w:szCs w:val="22"/>
          <w:rtl/>
        </w:rPr>
      </w:pPr>
      <w:hyperlink w:anchor="_Toc456027320" w:history="1">
        <w:r w:rsidRPr="003C40C8">
          <w:rPr>
            <w:rStyle w:val="Hyperlink"/>
            <w:rFonts w:hint="eastAsia"/>
            <w:rtl/>
          </w:rPr>
          <w:t>ג</w:t>
        </w:r>
        <w:r w:rsidRPr="003C40C8">
          <w:rPr>
            <w:rStyle w:val="Hyperlink"/>
            <w:rtl/>
          </w:rPr>
          <w:t>.</w:t>
        </w:r>
        <w:r>
          <w:rPr>
            <w:rFonts w:eastAsiaTheme="minorEastAsia" w:cstheme="minorBidi"/>
            <w:sz w:val="22"/>
            <w:szCs w:val="22"/>
            <w:rtl/>
          </w:rPr>
          <w:tab/>
        </w:r>
        <w:r w:rsidRPr="003C40C8">
          <w:rPr>
            <w:rStyle w:val="Hyperlink"/>
            <w:rFonts w:hint="eastAsia"/>
            <w:rtl/>
          </w:rPr>
          <w:t>תיחום</w:t>
        </w:r>
        <w:r w:rsidRPr="003C40C8">
          <w:rPr>
            <w:rStyle w:val="Hyperlink"/>
            <w:rtl/>
          </w:rPr>
          <w:t xml:space="preserve"> </w:t>
        </w:r>
        <w:r w:rsidRPr="003C40C8">
          <w:rPr>
            <w:rStyle w:val="Hyperlink"/>
            <w:rFonts w:hint="eastAsia"/>
            <w:rtl/>
          </w:rPr>
          <w:t>הזמן</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Toc456027320 \h</w:instrText>
        </w:r>
        <w:r>
          <w:rPr>
            <w:webHidden/>
            <w:rtl/>
          </w:rPr>
          <w:instrText xml:space="preserve"> </w:instrText>
        </w:r>
        <w:r>
          <w:rPr>
            <w:webHidden/>
            <w:rtl/>
          </w:rPr>
        </w:r>
        <w:r>
          <w:rPr>
            <w:webHidden/>
            <w:rtl/>
          </w:rPr>
          <w:fldChar w:fldCharType="separate"/>
        </w:r>
        <w:r>
          <w:rPr>
            <w:webHidden/>
            <w:rtl/>
          </w:rPr>
          <w:t>77</w:t>
        </w:r>
        <w:r>
          <w:rPr>
            <w:webHidden/>
            <w:rtl/>
          </w:rPr>
          <w:fldChar w:fldCharType="end"/>
        </w:r>
      </w:hyperlink>
    </w:p>
    <w:p w:rsidR="00FA11B8" w:rsidRDefault="00FA11B8">
      <w:pPr>
        <w:pStyle w:val="TOC3"/>
        <w:tabs>
          <w:tab w:val="left" w:pos="2301"/>
        </w:tabs>
        <w:rPr>
          <w:rFonts w:eastAsiaTheme="minorEastAsia" w:cstheme="minorBidi"/>
          <w:sz w:val="22"/>
          <w:szCs w:val="22"/>
          <w:rtl/>
        </w:rPr>
      </w:pPr>
      <w:hyperlink w:anchor="_Toc456027321" w:history="1">
        <w:r w:rsidRPr="003C40C8">
          <w:rPr>
            <w:rStyle w:val="Hyperlink"/>
            <w:rFonts w:hint="eastAsia"/>
            <w:rtl/>
          </w:rPr>
          <w:t>ד</w:t>
        </w:r>
        <w:r w:rsidRPr="003C40C8">
          <w:rPr>
            <w:rStyle w:val="Hyperlink"/>
            <w:rtl/>
          </w:rPr>
          <w:t>.</w:t>
        </w:r>
        <w:r>
          <w:rPr>
            <w:rFonts w:eastAsiaTheme="minorEastAsia" w:cstheme="minorBidi"/>
            <w:sz w:val="22"/>
            <w:szCs w:val="22"/>
            <w:rtl/>
          </w:rPr>
          <w:tab/>
        </w:r>
        <w:r w:rsidRPr="003C40C8">
          <w:rPr>
            <w:rStyle w:val="Hyperlink"/>
            <w:rFonts w:hint="eastAsia"/>
            <w:rtl/>
          </w:rPr>
          <w:t>התיחום</w:t>
        </w:r>
        <w:r w:rsidRPr="003C40C8">
          <w:rPr>
            <w:rStyle w:val="Hyperlink"/>
            <w:rtl/>
          </w:rPr>
          <w:t xml:space="preserve"> </w:t>
        </w:r>
        <w:r w:rsidRPr="003C40C8">
          <w:rPr>
            <w:rStyle w:val="Hyperlink"/>
            <w:rFonts w:hint="eastAsia"/>
            <w:rtl/>
          </w:rPr>
          <w:t>הגיאוגרפי</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Toc456027321 \h</w:instrText>
        </w:r>
        <w:r>
          <w:rPr>
            <w:webHidden/>
            <w:rtl/>
          </w:rPr>
          <w:instrText xml:space="preserve"> </w:instrText>
        </w:r>
        <w:r>
          <w:rPr>
            <w:webHidden/>
            <w:rtl/>
          </w:rPr>
        </w:r>
        <w:r>
          <w:rPr>
            <w:webHidden/>
            <w:rtl/>
          </w:rPr>
          <w:fldChar w:fldCharType="separate"/>
        </w:r>
        <w:r>
          <w:rPr>
            <w:webHidden/>
            <w:rtl/>
          </w:rPr>
          <w:t>77</w:t>
        </w:r>
        <w:r>
          <w:rPr>
            <w:webHidden/>
            <w:rtl/>
          </w:rPr>
          <w:fldChar w:fldCharType="end"/>
        </w:r>
      </w:hyperlink>
    </w:p>
    <w:p w:rsidR="00FA11B8" w:rsidRDefault="00FA11B8">
      <w:pPr>
        <w:pStyle w:val="TOC3"/>
        <w:tabs>
          <w:tab w:val="left" w:pos="2321"/>
        </w:tabs>
        <w:rPr>
          <w:rFonts w:eastAsiaTheme="minorEastAsia" w:cstheme="minorBidi"/>
          <w:sz w:val="22"/>
          <w:szCs w:val="22"/>
          <w:rtl/>
        </w:rPr>
      </w:pPr>
      <w:hyperlink w:anchor="_Toc456027322" w:history="1">
        <w:r w:rsidRPr="003C40C8">
          <w:rPr>
            <w:rStyle w:val="Hyperlink"/>
            <w:rFonts w:hint="eastAsia"/>
            <w:rtl/>
          </w:rPr>
          <w:t>ה</w:t>
        </w:r>
        <w:r w:rsidRPr="003C40C8">
          <w:rPr>
            <w:rStyle w:val="Hyperlink"/>
            <w:rtl/>
          </w:rPr>
          <w:t>.</w:t>
        </w:r>
        <w:r>
          <w:rPr>
            <w:rFonts w:eastAsiaTheme="minorEastAsia" w:cstheme="minorBidi"/>
            <w:sz w:val="22"/>
            <w:szCs w:val="22"/>
            <w:rtl/>
          </w:rPr>
          <w:tab/>
        </w:r>
        <w:r w:rsidRPr="003C40C8">
          <w:rPr>
            <w:rStyle w:val="Hyperlink"/>
            <w:rFonts w:hint="eastAsia"/>
            <w:rtl/>
          </w:rPr>
          <w:t>התייחסות</w:t>
        </w:r>
        <w:r w:rsidRPr="003C40C8">
          <w:rPr>
            <w:rStyle w:val="Hyperlink"/>
            <w:rtl/>
          </w:rPr>
          <w:t xml:space="preserve"> </w:t>
        </w:r>
        <w:r w:rsidRPr="003C40C8">
          <w:rPr>
            <w:rStyle w:val="Hyperlink"/>
            <w:rFonts w:hint="eastAsia"/>
            <w:rtl/>
          </w:rPr>
          <w:t>מדריך</w:t>
        </w:r>
        <w:r w:rsidRPr="003C40C8">
          <w:rPr>
            <w:rStyle w:val="Hyperlink"/>
            <w:rtl/>
          </w:rPr>
          <w:t xml:space="preserve"> </w:t>
        </w:r>
        <w:r w:rsidRPr="003C40C8">
          <w:rPr>
            <w:rStyle w:val="Hyperlink"/>
            <w:rFonts w:hint="eastAsia"/>
            <w:rtl/>
          </w:rPr>
          <w:t>נציבות</w:t>
        </w:r>
        <w:r w:rsidRPr="003C40C8">
          <w:rPr>
            <w:rStyle w:val="Hyperlink"/>
            <w:rtl/>
          </w:rPr>
          <w:t xml:space="preserve"> </w:t>
        </w:r>
        <w:r w:rsidRPr="003C40C8">
          <w:rPr>
            <w:rStyle w:val="Hyperlink"/>
            <w:rFonts w:hint="eastAsia"/>
            <w:rtl/>
          </w:rPr>
          <w:t>זכויות</w:t>
        </w:r>
        <w:r w:rsidRPr="003C40C8">
          <w:rPr>
            <w:rStyle w:val="Hyperlink"/>
            <w:rtl/>
          </w:rPr>
          <w:t xml:space="preserve"> </w:t>
        </w:r>
        <w:r w:rsidRPr="003C40C8">
          <w:rPr>
            <w:rStyle w:val="Hyperlink"/>
            <w:rFonts w:hint="eastAsia"/>
            <w:rtl/>
          </w:rPr>
          <w:t>האדם</w:t>
        </w:r>
        <w:r w:rsidRPr="003C40C8">
          <w:rPr>
            <w:rStyle w:val="Hyperlink"/>
            <w:rtl/>
          </w:rPr>
          <w:t xml:space="preserve"> </w:t>
        </w:r>
        <w:r w:rsidRPr="003C40C8">
          <w:rPr>
            <w:rStyle w:val="Hyperlink"/>
            <w:rFonts w:hint="eastAsia"/>
            <w:rtl/>
          </w:rPr>
          <w:t>לוועדות</w:t>
        </w:r>
        <w:r w:rsidRPr="003C40C8">
          <w:rPr>
            <w:rStyle w:val="Hyperlink"/>
            <w:rtl/>
          </w:rPr>
          <w:t xml:space="preserve"> </w:t>
        </w:r>
        <w:r w:rsidRPr="003C40C8">
          <w:rPr>
            <w:rStyle w:val="Hyperlink"/>
            <w:rFonts w:hint="eastAsia"/>
            <w:rtl/>
          </w:rPr>
          <w:t>החקירה</w:t>
        </w:r>
        <w:r w:rsidRPr="003C40C8">
          <w:rPr>
            <w:rStyle w:val="Hyperlink"/>
            <w:rtl/>
          </w:rPr>
          <w:t xml:space="preserve"> </w:t>
        </w:r>
        <w:r w:rsidRPr="003C40C8">
          <w:rPr>
            <w:rStyle w:val="Hyperlink"/>
            <w:rFonts w:hint="eastAsia"/>
            <w:rtl/>
          </w:rPr>
          <w:t>לנושא</w:t>
        </w:r>
        <w:r w:rsidRPr="003C40C8">
          <w:rPr>
            <w:rStyle w:val="Hyperlink"/>
            <w:rtl/>
          </w:rPr>
          <w:t xml:space="preserve"> </w:t>
        </w:r>
        <w:r w:rsidRPr="003C40C8">
          <w:rPr>
            <w:rStyle w:val="Hyperlink"/>
            <w:rFonts w:hint="eastAsia"/>
            <w:rtl/>
          </w:rPr>
          <w:t>מנדט</w:t>
        </w:r>
        <w:r w:rsidRPr="003C40C8">
          <w:rPr>
            <w:rStyle w:val="Hyperlink"/>
            <w:rtl/>
          </w:rPr>
          <w:t xml:space="preserve"> </w:t>
        </w:r>
        <w:r w:rsidRPr="003C40C8">
          <w:rPr>
            <w:rStyle w:val="Hyperlink"/>
            <w:rFonts w:hint="eastAsia"/>
            <w:rtl/>
          </w:rPr>
          <w:t>ועדות</w:t>
        </w:r>
        <w:r w:rsidRPr="003C40C8">
          <w:rPr>
            <w:rStyle w:val="Hyperlink"/>
            <w:rtl/>
          </w:rPr>
          <w:t xml:space="preserve"> </w:t>
        </w:r>
        <w:r w:rsidRPr="003C40C8">
          <w:rPr>
            <w:rStyle w:val="Hyperlink"/>
            <w:rFonts w:hint="eastAsia"/>
            <w:rtl/>
          </w:rPr>
          <w:t>החקירה</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Toc456027322 \h</w:instrText>
        </w:r>
        <w:r>
          <w:rPr>
            <w:webHidden/>
            <w:rtl/>
          </w:rPr>
          <w:instrText xml:space="preserve"> </w:instrText>
        </w:r>
        <w:r>
          <w:rPr>
            <w:webHidden/>
            <w:rtl/>
          </w:rPr>
        </w:r>
        <w:r>
          <w:rPr>
            <w:webHidden/>
            <w:rtl/>
          </w:rPr>
          <w:fldChar w:fldCharType="separate"/>
        </w:r>
        <w:r>
          <w:rPr>
            <w:webHidden/>
            <w:rtl/>
          </w:rPr>
          <w:t>78</w:t>
        </w:r>
        <w:r>
          <w:rPr>
            <w:webHidden/>
            <w:rtl/>
          </w:rPr>
          <w:fldChar w:fldCharType="end"/>
        </w:r>
      </w:hyperlink>
    </w:p>
    <w:p w:rsidR="00FA11B8" w:rsidRDefault="00FA11B8">
      <w:pPr>
        <w:pStyle w:val="TOC3"/>
        <w:tabs>
          <w:tab w:val="left" w:pos="2261"/>
        </w:tabs>
        <w:rPr>
          <w:rFonts w:eastAsiaTheme="minorEastAsia" w:cstheme="minorBidi"/>
          <w:sz w:val="22"/>
          <w:szCs w:val="22"/>
          <w:rtl/>
        </w:rPr>
      </w:pPr>
      <w:hyperlink w:anchor="_Toc456027323" w:history="1">
        <w:r w:rsidRPr="003C40C8">
          <w:rPr>
            <w:rStyle w:val="Hyperlink"/>
            <w:rFonts w:hint="eastAsia"/>
            <w:rtl/>
          </w:rPr>
          <w:t>ו</w:t>
        </w:r>
        <w:r w:rsidRPr="003C40C8">
          <w:rPr>
            <w:rStyle w:val="Hyperlink"/>
            <w:rtl/>
          </w:rPr>
          <w:t>.</w:t>
        </w:r>
        <w:r>
          <w:rPr>
            <w:rFonts w:eastAsiaTheme="minorEastAsia" w:cstheme="minorBidi"/>
            <w:sz w:val="22"/>
            <w:szCs w:val="22"/>
            <w:rtl/>
          </w:rPr>
          <w:tab/>
        </w:r>
        <w:r w:rsidRPr="003C40C8">
          <w:rPr>
            <w:rStyle w:val="Hyperlink"/>
            <w:rFonts w:hint="eastAsia"/>
            <w:rtl/>
          </w:rPr>
          <w:t>סיכום</w:t>
        </w:r>
        <w:r w:rsidRPr="003C40C8">
          <w:rPr>
            <w:rStyle w:val="Hyperlink"/>
            <w:rtl/>
          </w:rPr>
          <w:t xml:space="preserve"> – </w:t>
        </w:r>
        <w:r w:rsidRPr="003C40C8">
          <w:rPr>
            <w:rStyle w:val="Hyperlink"/>
            <w:rFonts w:hint="eastAsia"/>
            <w:rtl/>
          </w:rPr>
          <w:t>נוסח</w:t>
        </w:r>
        <w:r w:rsidRPr="003C40C8">
          <w:rPr>
            <w:rStyle w:val="Hyperlink"/>
            <w:rtl/>
          </w:rPr>
          <w:t xml:space="preserve"> </w:t>
        </w:r>
        <w:r w:rsidRPr="003C40C8">
          <w:rPr>
            <w:rStyle w:val="Hyperlink"/>
            <w:rFonts w:hint="eastAsia"/>
            <w:rtl/>
          </w:rPr>
          <w:t>המנדט</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Toc456027323 \h</w:instrText>
        </w:r>
        <w:r>
          <w:rPr>
            <w:webHidden/>
            <w:rtl/>
          </w:rPr>
          <w:instrText xml:space="preserve"> </w:instrText>
        </w:r>
        <w:r>
          <w:rPr>
            <w:webHidden/>
            <w:rtl/>
          </w:rPr>
        </w:r>
        <w:r>
          <w:rPr>
            <w:webHidden/>
            <w:rtl/>
          </w:rPr>
          <w:fldChar w:fldCharType="separate"/>
        </w:r>
        <w:r>
          <w:rPr>
            <w:webHidden/>
            <w:rtl/>
          </w:rPr>
          <w:t>81</w:t>
        </w:r>
        <w:r>
          <w:rPr>
            <w:webHidden/>
            <w:rtl/>
          </w:rPr>
          <w:fldChar w:fldCharType="end"/>
        </w:r>
      </w:hyperlink>
    </w:p>
    <w:p w:rsidR="00FA11B8" w:rsidRDefault="00FA11B8">
      <w:pPr>
        <w:pStyle w:val="TOC2"/>
        <w:tabs>
          <w:tab w:val="left" w:pos="1783"/>
        </w:tabs>
        <w:rPr>
          <w:rFonts w:eastAsiaTheme="minorEastAsia" w:cstheme="minorBidi"/>
          <w:b w:val="0"/>
          <w:bCs w:val="0"/>
          <w:rtl/>
        </w:rPr>
      </w:pPr>
      <w:hyperlink w:anchor="_Toc456027324" w:history="1">
        <w:r w:rsidRPr="003C40C8">
          <w:rPr>
            <w:rStyle w:val="Hyperlink"/>
            <w:rtl/>
          </w:rPr>
          <w:t>3.</w:t>
        </w:r>
        <w:r>
          <w:rPr>
            <w:rFonts w:eastAsiaTheme="minorEastAsia" w:cstheme="minorBidi"/>
            <w:b w:val="0"/>
            <w:bCs w:val="0"/>
            <w:rtl/>
          </w:rPr>
          <w:tab/>
        </w:r>
        <w:r w:rsidRPr="003C40C8">
          <w:rPr>
            <w:rStyle w:val="Hyperlink"/>
            <w:rFonts w:hint="eastAsia"/>
            <w:rtl/>
          </w:rPr>
          <w:t>הרכב</w:t>
        </w:r>
        <w:r w:rsidRPr="003C40C8">
          <w:rPr>
            <w:rStyle w:val="Hyperlink"/>
            <w:rtl/>
          </w:rPr>
          <w:t xml:space="preserve"> </w:t>
        </w:r>
        <w:r w:rsidRPr="003C40C8">
          <w:rPr>
            <w:rStyle w:val="Hyperlink"/>
            <w:rFonts w:hint="eastAsia"/>
            <w:rtl/>
          </w:rPr>
          <w:t>ועדת</w:t>
        </w:r>
        <w:r w:rsidRPr="003C40C8">
          <w:rPr>
            <w:rStyle w:val="Hyperlink"/>
            <w:rtl/>
          </w:rPr>
          <w:t xml:space="preserve"> </w:t>
        </w:r>
        <w:r w:rsidRPr="003C40C8">
          <w:rPr>
            <w:rStyle w:val="Hyperlink"/>
            <w:rFonts w:hint="eastAsia"/>
            <w:rtl/>
          </w:rPr>
          <w:t>החקירה</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Toc456027324 \h</w:instrText>
        </w:r>
        <w:r>
          <w:rPr>
            <w:webHidden/>
            <w:rtl/>
          </w:rPr>
          <w:instrText xml:space="preserve"> </w:instrText>
        </w:r>
        <w:r>
          <w:rPr>
            <w:webHidden/>
            <w:rtl/>
          </w:rPr>
        </w:r>
        <w:r>
          <w:rPr>
            <w:webHidden/>
            <w:rtl/>
          </w:rPr>
          <w:fldChar w:fldCharType="separate"/>
        </w:r>
        <w:r>
          <w:rPr>
            <w:webHidden/>
            <w:rtl/>
          </w:rPr>
          <w:t>82</w:t>
        </w:r>
        <w:r>
          <w:rPr>
            <w:webHidden/>
            <w:rtl/>
          </w:rPr>
          <w:fldChar w:fldCharType="end"/>
        </w:r>
      </w:hyperlink>
    </w:p>
    <w:p w:rsidR="00FA11B8" w:rsidRDefault="00FA11B8">
      <w:pPr>
        <w:pStyle w:val="TOC3"/>
        <w:tabs>
          <w:tab w:val="left" w:pos="2327"/>
        </w:tabs>
        <w:rPr>
          <w:rFonts w:eastAsiaTheme="minorEastAsia" w:cstheme="minorBidi"/>
          <w:sz w:val="22"/>
          <w:szCs w:val="22"/>
          <w:rtl/>
        </w:rPr>
      </w:pPr>
      <w:hyperlink w:anchor="_Toc456027325" w:history="1">
        <w:r w:rsidRPr="003C40C8">
          <w:rPr>
            <w:rStyle w:val="Hyperlink"/>
            <w:rFonts w:hint="eastAsia"/>
            <w:rtl/>
          </w:rPr>
          <w:t>א</w:t>
        </w:r>
        <w:r w:rsidRPr="003C40C8">
          <w:rPr>
            <w:rStyle w:val="Hyperlink"/>
            <w:rtl/>
          </w:rPr>
          <w:t>.</w:t>
        </w:r>
        <w:r>
          <w:rPr>
            <w:rFonts w:eastAsiaTheme="minorEastAsia" w:cstheme="minorBidi"/>
            <w:sz w:val="22"/>
            <w:szCs w:val="22"/>
            <w:rtl/>
          </w:rPr>
          <w:tab/>
        </w:r>
        <w:r w:rsidRPr="003C40C8">
          <w:rPr>
            <w:rStyle w:val="Hyperlink"/>
            <w:rFonts w:hint="eastAsia"/>
            <w:rtl/>
          </w:rPr>
          <w:t>כללים</w:t>
        </w:r>
        <w:r w:rsidRPr="003C40C8">
          <w:rPr>
            <w:rStyle w:val="Hyperlink"/>
            <w:rtl/>
          </w:rPr>
          <w:t xml:space="preserve"> </w:t>
        </w:r>
        <w:r w:rsidRPr="003C40C8">
          <w:rPr>
            <w:rStyle w:val="Hyperlink"/>
            <w:rFonts w:hint="eastAsia"/>
            <w:rtl/>
          </w:rPr>
          <w:t>ראויים</w:t>
        </w:r>
        <w:r w:rsidRPr="003C40C8">
          <w:rPr>
            <w:rStyle w:val="Hyperlink"/>
            <w:rtl/>
          </w:rPr>
          <w:t xml:space="preserve"> </w:t>
        </w:r>
        <w:r w:rsidRPr="003C40C8">
          <w:rPr>
            <w:rStyle w:val="Hyperlink"/>
            <w:rFonts w:hint="eastAsia"/>
            <w:rtl/>
          </w:rPr>
          <w:t>למינוי</w:t>
        </w:r>
        <w:r w:rsidRPr="003C40C8">
          <w:rPr>
            <w:rStyle w:val="Hyperlink"/>
            <w:rtl/>
          </w:rPr>
          <w:t xml:space="preserve"> </w:t>
        </w:r>
        <w:r w:rsidRPr="003C40C8">
          <w:rPr>
            <w:rStyle w:val="Hyperlink"/>
            <w:rFonts w:hint="eastAsia"/>
            <w:rtl/>
          </w:rPr>
          <w:t>חברי</w:t>
        </w:r>
        <w:r w:rsidRPr="003C40C8">
          <w:rPr>
            <w:rStyle w:val="Hyperlink"/>
            <w:rtl/>
          </w:rPr>
          <w:t xml:space="preserve"> </w:t>
        </w:r>
        <w:r w:rsidRPr="003C40C8">
          <w:rPr>
            <w:rStyle w:val="Hyperlink"/>
            <w:rFonts w:hint="eastAsia"/>
            <w:rtl/>
          </w:rPr>
          <w:t>ועדת</w:t>
        </w:r>
        <w:r w:rsidRPr="003C40C8">
          <w:rPr>
            <w:rStyle w:val="Hyperlink"/>
            <w:rtl/>
          </w:rPr>
          <w:t xml:space="preserve"> </w:t>
        </w:r>
        <w:r w:rsidRPr="003C40C8">
          <w:rPr>
            <w:rStyle w:val="Hyperlink"/>
            <w:rFonts w:hint="eastAsia"/>
            <w:rtl/>
          </w:rPr>
          <w:t>החקירה</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Toc456027325 \h</w:instrText>
        </w:r>
        <w:r>
          <w:rPr>
            <w:webHidden/>
            <w:rtl/>
          </w:rPr>
          <w:instrText xml:space="preserve"> </w:instrText>
        </w:r>
        <w:r>
          <w:rPr>
            <w:webHidden/>
            <w:rtl/>
          </w:rPr>
        </w:r>
        <w:r>
          <w:rPr>
            <w:webHidden/>
            <w:rtl/>
          </w:rPr>
          <w:fldChar w:fldCharType="separate"/>
        </w:r>
        <w:r>
          <w:rPr>
            <w:webHidden/>
            <w:rtl/>
          </w:rPr>
          <w:t>82</w:t>
        </w:r>
        <w:r>
          <w:rPr>
            <w:webHidden/>
            <w:rtl/>
          </w:rPr>
          <w:fldChar w:fldCharType="end"/>
        </w:r>
      </w:hyperlink>
    </w:p>
    <w:p w:rsidR="00FA11B8" w:rsidRDefault="00FA11B8">
      <w:pPr>
        <w:pStyle w:val="TOC3"/>
        <w:tabs>
          <w:tab w:val="left" w:pos="2301"/>
        </w:tabs>
        <w:rPr>
          <w:rFonts w:eastAsiaTheme="minorEastAsia" w:cstheme="minorBidi"/>
          <w:sz w:val="22"/>
          <w:szCs w:val="22"/>
          <w:rtl/>
        </w:rPr>
      </w:pPr>
      <w:hyperlink w:anchor="_Toc456027326" w:history="1">
        <w:r w:rsidRPr="003C40C8">
          <w:rPr>
            <w:rStyle w:val="Hyperlink"/>
            <w:rFonts w:hint="eastAsia"/>
            <w:rtl/>
          </w:rPr>
          <w:t>ב</w:t>
        </w:r>
        <w:r w:rsidRPr="003C40C8">
          <w:rPr>
            <w:rStyle w:val="Hyperlink"/>
            <w:rtl/>
          </w:rPr>
          <w:t>.</w:t>
        </w:r>
        <w:r>
          <w:rPr>
            <w:rFonts w:eastAsiaTheme="minorEastAsia" w:cstheme="minorBidi"/>
            <w:sz w:val="22"/>
            <w:szCs w:val="22"/>
            <w:rtl/>
          </w:rPr>
          <w:tab/>
        </w:r>
        <w:r w:rsidRPr="003C40C8">
          <w:rPr>
            <w:rStyle w:val="Hyperlink"/>
            <w:rFonts w:hint="eastAsia"/>
            <w:rtl/>
          </w:rPr>
          <w:t>טענות</w:t>
        </w:r>
        <w:r w:rsidRPr="003C40C8">
          <w:rPr>
            <w:rStyle w:val="Hyperlink"/>
            <w:rtl/>
          </w:rPr>
          <w:t xml:space="preserve"> </w:t>
        </w:r>
        <w:r w:rsidRPr="003C40C8">
          <w:rPr>
            <w:rStyle w:val="Hyperlink"/>
            <w:rFonts w:hint="eastAsia"/>
            <w:rtl/>
          </w:rPr>
          <w:t>ביחס</w:t>
        </w:r>
        <w:r w:rsidRPr="003C40C8">
          <w:rPr>
            <w:rStyle w:val="Hyperlink"/>
            <w:rtl/>
          </w:rPr>
          <w:t xml:space="preserve"> </w:t>
        </w:r>
        <w:r w:rsidRPr="003C40C8">
          <w:rPr>
            <w:rStyle w:val="Hyperlink"/>
            <w:rFonts w:hint="eastAsia"/>
            <w:rtl/>
          </w:rPr>
          <w:t>להטיה</w:t>
        </w:r>
        <w:r w:rsidRPr="003C40C8">
          <w:rPr>
            <w:rStyle w:val="Hyperlink"/>
            <w:rtl/>
          </w:rPr>
          <w:t xml:space="preserve"> </w:t>
        </w:r>
        <w:r w:rsidRPr="003C40C8">
          <w:rPr>
            <w:rStyle w:val="Hyperlink"/>
            <w:rFonts w:hint="eastAsia"/>
            <w:rtl/>
          </w:rPr>
          <w:t>נגד</w:t>
        </w:r>
        <w:r w:rsidRPr="003C40C8">
          <w:rPr>
            <w:rStyle w:val="Hyperlink"/>
            <w:rtl/>
          </w:rPr>
          <w:t xml:space="preserve"> </w:t>
        </w:r>
        <w:r w:rsidRPr="003C40C8">
          <w:rPr>
            <w:rStyle w:val="Hyperlink"/>
            <w:rFonts w:hint="eastAsia"/>
            <w:rtl/>
          </w:rPr>
          <w:t>ישראל</w:t>
        </w:r>
        <w:r w:rsidRPr="003C40C8">
          <w:rPr>
            <w:rStyle w:val="Hyperlink"/>
            <w:rtl/>
          </w:rPr>
          <w:t xml:space="preserve"> </w:t>
        </w:r>
        <w:r w:rsidRPr="003C40C8">
          <w:rPr>
            <w:rStyle w:val="Hyperlink"/>
            <w:rFonts w:hint="eastAsia"/>
            <w:rtl/>
          </w:rPr>
          <w:t>של</w:t>
        </w:r>
        <w:r w:rsidRPr="003C40C8">
          <w:rPr>
            <w:rStyle w:val="Hyperlink"/>
            <w:rtl/>
          </w:rPr>
          <w:t xml:space="preserve"> </w:t>
        </w:r>
        <w:r w:rsidRPr="003C40C8">
          <w:rPr>
            <w:rStyle w:val="Hyperlink"/>
            <w:rFonts w:hint="eastAsia"/>
            <w:rtl/>
          </w:rPr>
          <w:t>חברי</w:t>
        </w:r>
        <w:r w:rsidRPr="003C40C8">
          <w:rPr>
            <w:rStyle w:val="Hyperlink"/>
            <w:rtl/>
          </w:rPr>
          <w:t xml:space="preserve"> </w:t>
        </w:r>
        <w:r w:rsidRPr="003C40C8">
          <w:rPr>
            <w:rStyle w:val="Hyperlink"/>
            <w:rFonts w:hint="eastAsia"/>
            <w:rtl/>
          </w:rPr>
          <w:t>ועדות</w:t>
        </w:r>
        <w:r w:rsidRPr="003C40C8">
          <w:rPr>
            <w:rStyle w:val="Hyperlink"/>
            <w:rtl/>
          </w:rPr>
          <w:t xml:space="preserve"> </w:t>
        </w:r>
        <w:r w:rsidRPr="003C40C8">
          <w:rPr>
            <w:rStyle w:val="Hyperlink"/>
            <w:rFonts w:hint="eastAsia"/>
            <w:rtl/>
          </w:rPr>
          <w:t>חקירה</w:t>
        </w:r>
        <w:r w:rsidRPr="003C40C8">
          <w:rPr>
            <w:rStyle w:val="Hyperlink"/>
            <w:rtl/>
          </w:rPr>
          <w:t xml:space="preserve"> </w:t>
        </w:r>
        <w:r w:rsidRPr="003C40C8">
          <w:rPr>
            <w:rStyle w:val="Hyperlink"/>
            <w:rFonts w:hint="eastAsia"/>
            <w:rtl/>
          </w:rPr>
          <w:t>שמונו</w:t>
        </w:r>
        <w:r w:rsidRPr="003C40C8">
          <w:rPr>
            <w:rStyle w:val="Hyperlink"/>
            <w:rtl/>
          </w:rPr>
          <w:t xml:space="preserve"> </w:t>
        </w:r>
        <w:r w:rsidRPr="003C40C8">
          <w:rPr>
            <w:rStyle w:val="Hyperlink"/>
            <w:rFonts w:hint="eastAsia"/>
            <w:rtl/>
          </w:rPr>
          <w:t>בעניינה</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Toc456027326 \h</w:instrText>
        </w:r>
        <w:r>
          <w:rPr>
            <w:webHidden/>
            <w:rtl/>
          </w:rPr>
          <w:instrText xml:space="preserve"> </w:instrText>
        </w:r>
        <w:r>
          <w:rPr>
            <w:webHidden/>
            <w:rtl/>
          </w:rPr>
        </w:r>
        <w:r>
          <w:rPr>
            <w:webHidden/>
            <w:rtl/>
          </w:rPr>
          <w:fldChar w:fldCharType="separate"/>
        </w:r>
        <w:r>
          <w:rPr>
            <w:webHidden/>
            <w:rtl/>
          </w:rPr>
          <w:t>85</w:t>
        </w:r>
        <w:r>
          <w:rPr>
            <w:webHidden/>
            <w:rtl/>
          </w:rPr>
          <w:fldChar w:fldCharType="end"/>
        </w:r>
      </w:hyperlink>
    </w:p>
    <w:p w:rsidR="00FA11B8" w:rsidRDefault="00FA11B8">
      <w:pPr>
        <w:pStyle w:val="TOC3"/>
        <w:tabs>
          <w:tab w:val="left" w:pos="2268"/>
        </w:tabs>
        <w:rPr>
          <w:rFonts w:eastAsiaTheme="minorEastAsia" w:cstheme="minorBidi"/>
          <w:sz w:val="22"/>
          <w:szCs w:val="22"/>
          <w:rtl/>
        </w:rPr>
      </w:pPr>
      <w:hyperlink w:anchor="_Toc456027327" w:history="1">
        <w:r w:rsidRPr="003C40C8">
          <w:rPr>
            <w:rStyle w:val="Hyperlink"/>
            <w:rFonts w:hint="eastAsia"/>
            <w:rtl/>
          </w:rPr>
          <w:t>ג</w:t>
        </w:r>
        <w:r w:rsidRPr="003C40C8">
          <w:rPr>
            <w:rStyle w:val="Hyperlink"/>
            <w:rtl/>
          </w:rPr>
          <w:t>.</w:t>
        </w:r>
        <w:r>
          <w:rPr>
            <w:rFonts w:eastAsiaTheme="minorEastAsia" w:cstheme="minorBidi"/>
            <w:sz w:val="22"/>
            <w:szCs w:val="22"/>
            <w:rtl/>
          </w:rPr>
          <w:tab/>
        </w:r>
        <w:r w:rsidRPr="003C40C8">
          <w:rPr>
            <w:rStyle w:val="Hyperlink"/>
            <w:rFonts w:hint="eastAsia"/>
            <w:rtl/>
          </w:rPr>
          <w:t>סיכום</w:t>
        </w:r>
        <w:r w:rsidRPr="003C40C8">
          <w:rPr>
            <w:rStyle w:val="Hyperlink"/>
            <w:rtl/>
          </w:rPr>
          <w:t xml:space="preserve"> – </w:t>
        </w:r>
        <w:r w:rsidRPr="003C40C8">
          <w:rPr>
            <w:rStyle w:val="Hyperlink"/>
            <w:rFonts w:hint="eastAsia"/>
            <w:rtl/>
          </w:rPr>
          <w:t>שיקול</w:t>
        </w:r>
        <w:r w:rsidRPr="003C40C8">
          <w:rPr>
            <w:rStyle w:val="Hyperlink"/>
            <w:rtl/>
          </w:rPr>
          <w:t xml:space="preserve"> </w:t>
        </w:r>
        <w:r w:rsidRPr="003C40C8">
          <w:rPr>
            <w:rStyle w:val="Hyperlink"/>
            <w:rFonts w:hint="eastAsia"/>
            <w:rtl/>
          </w:rPr>
          <w:t>ההטיה</w:t>
        </w:r>
        <w:r w:rsidRPr="003C40C8">
          <w:rPr>
            <w:rStyle w:val="Hyperlink"/>
            <w:rtl/>
          </w:rPr>
          <w:t xml:space="preserve"> </w:t>
        </w:r>
        <w:r w:rsidRPr="003C40C8">
          <w:rPr>
            <w:rStyle w:val="Hyperlink"/>
            <w:rFonts w:hint="eastAsia"/>
            <w:rtl/>
          </w:rPr>
          <w:t>האישית</w:t>
        </w:r>
        <w:r w:rsidRPr="003C40C8">
          <w:rPr>
            <w:rStyle w:val="Hyperlink"/>
            <w:rtl/>
          </w:rPr>
          <w:t xml:space="preserve"> </w:t>
        </w:r>
        <w:r w:rsidRPr="003C40C8">
          <w:rPr>
            <w:rStyle w:val="Hyperlink"/>
            <w:rFonts w:hint="eastAsia"/>
            <w:rtl/>
          </w:rPr>
          <w:t>של</w:t>
        </w:r>
        <w:r w:rsidRPr="003C40C8">
          <w:rPr>
            <w:rStyle w:val="Hyperlink"/>
            <w:rtl/>
          </w:rPr>
          <w:t xml:space="preserve"> </w:t>
        </w:r>
        <w:r w:rsidRPr="003C40C8">
          <w:rPr>
            <w:rStyle w:val="Hyperlink"/>
            <w:rFonts w:hint="eastAsia"/>
            <w:rtl/>
          </w:rPr>
          <w:t>חבר</w:t>
        </w:r>
        <w:r w:rsidRPr="003C40C8">
          <w:rPr>
            <w:rStyle w:val="Hyperlink"/>
            <w:rtl/>
          </w:rPr>
          <w:t xml:space="preserve"> </w:t>
        </w:r>
        <w:r w:rsidRPr="003C40C8">
          <w:rPr>
            <w:rStyle w:val="Hyperlink"/>
            <w:rFonts w:hint="eastAsia"/>
            <w:rtl/>
          </w:rPr>
          <w:t>ועדה</w:t>
        </w:r>
        <w:r w:rsidRPr="003C40C8">
          <w:rPr>
            <w:rStyle w:val="Hyperlink"/>
            <w:rtl/>
          </w:rPr>
          <w:t xml:space="preserve"> </w:t>
        </w:r>
        <w:r w:rsidRPr="003C40C8">
          <w:rPr>
            <w:rStyle w:val="Hyperlink"/>
            <w:rFonts w:hint="eastAsia"/>
            <w:rtl/>
          </w:rPr>
          <w:t>כנגד</w:t>
        </w:r>
        <w:r w:rsidRPr="003C40C8">
          <w:rPr>
            <w:rStyle w:val="Hyperlink"/>
            <w:rtl/>
          </w:rPr>
          <w:t xml:space="preserve"> </w:t>
        </w:r>
        <w:r w:rsidRPr="003C40C8">
          <w:rPr>
            <w:rStyle w:val="Hyperlink"/>
            <w:rFonts w:hint="eastAsia"/>
            <w:rtl/>
          </w:rPr>
          <w:t>ישראל</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Toc456027327 \h</w:instrText>
        </w:r>
        <w:r>
          <w:rPr>
            <w:webHidden/>
            <w:rtl/>
          </w:rPr>
          <w:instrText xml:space="preserve"> </w:instrText>
        </w:r>
        <w:r>
          <w:rPr>
            <w:webHidden/>
            <w:rtl/>
          </w:rPr>
        </w:r>
        <w:r>
          <w:rPr>
            <w:webHidden/>
            <w:rtl/>
          </w:rPr>
          <w:fldChar w:fldCharType="separate"/>
        </w:r>
        <w:r>
          <w:rPr>
            <w:webHidden/>
            <w:rtl/>
          </w:rPr>
          <w:t>89</w:t>
        </w:r>
        <w:r>
          <w:rPr>
            <w:webHidden/>
            <w:rtl/>
          </w:rPr>
          <w:fldChar w:fldCharType="end"/>
        </w:r>
      </w:hyperlink>
    </w:p>
    <w:p w:rsidR="00FA11B8" w:rsidRDefault="00FA11B8">
      <w:pPr>
        <w:pStyle w:val="TOC3"/>
        <w:tabs>
          <w:tab w:val="left" w:pos="2301"/>
        </w:tabs>
        <w:rPr>
          <w:rFonts w:eastAsiaTheme="minorEastAsia" w:cstheme="minorBidi"/>
          <w:sz w:val="22"/>
          <w:szCs w:val="22"/>
          <w:rtl/>
        </w:rPr>
      </w:pPr>
      <w:hyperlink w:anchor="_Toc456027328" w:history="1">
        <w:r w:rsidRPr="003C40C8">
          <w:rPr>
            <w:rStyle w:val="Hyperlink"/>
            <w:rFonts w:hint="eastAsia"/>
            <w:rtl/>
          </w:rPr>
          <w:t>ד</w:t>
        </w:r>
        <w:r w:rsidRPr="003C40C8">
          <w:rPr>
            <w:rStyle w:val="Hyperlink"/>
            <w:rtl/>
          </w:rPr>
          <w:t>.</w:t>
        </w:r>
        <w:r>
          <w:rPr>
            <w:rFonts w:eastAsiaTheme="minorEastAsia" w:cstheme="minorBidi"/>
            <w:sz w:val="22"/>
            <w:szCs w:val="22"/>
            <w:rtl/>
          </w:rPr>
          <w:tab/>
        </w:r>
        <w:r w:rsidRPr="003C40C8">
          <w:rPr>
            <w:rStyle w:val="Hyperlink"/>
            <w:rFonts w:hint="eastAsia"/>
            <w:rtl/>
          </w:rPr>
          <w:t>ייצוג</w:t>
        </w:r>
        <w:r w:rsidRPr="003C40C8">
          <w:rPr>
            <w:rStyle w:val="Hyperlink"/>
            <w:rtl/>
          </w:rPr>
          <w:t xml:space="preserve"> </w:t>
        </w:r>
        <w:r w:rsidRPr="003C40C8">
          <w:rPr>
            <w:rStyle w:val="Hyperlink"/>
            <w:rFonts w:hint="eastAsia"/>
            <w:rtl/>
          </w:rPr>
          <w:t>המדינה</w:t>
        </w:r>
        <w:r w:rsidRPr="003C40C8">
          <w:rPr>
            <w:rStyle w:val="Hyperlink"/>
            <w:rtl/>
          </w:rPr>
          <w:t xml:space="preserve"> </w:t>
        </w:r>
        <w:r w:rsidRPr="003C40C8">
          <w:rPr>
            <w:rStyle w:val="Hyperlink"/>
            <w:rFonts w:hint="eastAsia"/>
            <w:rtl/>
          </w:rPr>
          <w:t>בוועדה</w:t>
        </w:r>
        <w:r w:rsidRPr="003C40C8">
          <w:rPr>
            <w:rStyle w:val="Hyperlink"/>
            <w:rtl/>
          </w:rPr>
          <w:t xml:space="preserve"> </w:t>
        </w:r>
        <w:r w:rsidRPr="003C40C8">
          <w:rPr>
            <w:rStyle w:val="Hyperlink"/>
            <w:rFonts w:hint="eastAsia"/>
            <w:rtl/>
          </w:rPr>
          <w:t>על</w:t>
        </w:r>
        <w:r w:rsidRPr="003C40C8">
          <w:rPr>
            <w:rStyle w:val="Hyperlink"/>
            <w:rtl/>
          </w:rPr>
          <w:t xml:space="preserve"> </w:t>
        </w:r>
        <w:r w:rsidRPr="003C40C8">
          <w:rPr>
            <w:rStyle w:val="Hyperlink"/>
            <w:rFonts w:hint="eastAsia"/>
            <w:rtl/>
          </w:rPr>
          <w:t>ידי</w:t>
        </w:r>
        <w:r w:rsidRPr="003C40C8">
          <w:rPr>
            <w:rStyle w:val="Hyperlink"/>
            <w:rtl/>
          </w:rPr>
          <w:t xml:space="preserve"> </w:t>
        </w:r>
        <w:r w:rsidRPr="003C40C8">
          <w:rPr>
            <w:rStyle w:val="Hyperlink"/>
            <w:rFonts w:hint="eastAsia"/>
            <w:rtl/>
          </w:rPr>
          <w:t>נציג</w:t>
        </w:r>
        <w:r w:rsidRPr="003C40C8">
          <w:rPr>
            <w:rStyle w:val="Hyperlink"/>
            <w:rtl/>
          </w:rPr>
          <w:t xml:space="preserve"> </w:t>
        </w:r>
        <w:r w:rsidRPr="003C40C8">
          <w:rPr>
            <w:rStyle w:val="Hyperlink"/>
            <w:rFonts w:hint="eastAsia"/>
            <w:rtl/>
          </w:rPr>
          <w:t>מטעמה</w:t>
        </w:r>
        <w:r w:rsidRPr="003C40C8">
          <w:rPr>
            <w:rStyle w:val="Hyperlink"/>
            <w:rtl/>
          </w:rPr>
          <w:t xml:space="preserve"> </w:t>
        </w:r>
        <w:r w:rsidRPr="003C40C8">
          <w:rPr>
            <w:rStyle w:val="Hyperlink"/>
            <w:rFonts w:hint="eastAsia"/>
            <w:rtl/>
          </w:rPr>
          <w:t>או</w:t>
        </w:r>
        <w:r w:rsidRPr="003C40C8">
          <w:rPr>
            <w:rStyle w:val="Hyperlink"/>
            <w:rtl/>
          </w:rPr>
          <w:t xml:space="preserve"> </w:t>
        </w:r>
        <w:r w:rsidRPr="003C40C8">
          <w:rPr>
            <w:rStyle w:val="Hyperlink"/>
            <w:rFonts w:hint="eastAsia"/>
            <w:rtl/>
          </w:rPr>
          <w:t>נציג</w:t>
        </w:r>
        <w:r w:rsidRPr="003C40C8">
          <w:rPr>
            <w:rStyle w:val="Hyperlink"/>
            <w:rtl/>
          </w:rPr>
          <w:t xml:space="preserve"> </w:t>
        </w:r>
        <w:r w:rsidRPr="003C40C8">
          <w:rPr>
            <w:rStyle w:val="Hyperlink"/>
            <w:rFonts w:hint="eastAsia"/>
            <w:rtl/>
          </w:rPr>
          <w:t>המקובל</w:t>
        </w:r>
        <w:r w:rsidRPr="003C40C8">
          <w:rPr>
            <w:rStyle w:val="Hyperlink"/>
            <w:rtl/>
          </w:rPr>
          <w:t xml:space="preserve"> </w:t>
        </w:r>
        <w:r w:rsidRPr="003C40C8">
          <w:rPr>
            <w:rStyle w:val="Hyperlink"/>
            <w:rFonts w:hint="eastAsia"/>
            <w:rtl/>
          </w:rPr>
          <w:t>עליה</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Toc456027328 \h</w:instrText>
        </w:r>
        <w:r>
          <w:rPr>
            <w:webHidden/>
            <w:rtl/>
          </w:rPr>
          <w:instrText xml:space="preserve"> </w:instrText>
        </w:r>
        <w:r>
          <w:rPr>
            <w:webHidden/>
            <w:rtl/>
          </w:rPr>
        </w:r>
        <w:r>
          <w:rPr>
            <w:webHidden/>
            <w:rtl/>
          </w:rPr>
          <w:fldChar w:fldCharType="separate"/>
        </w:r>
        <w:r>
          <w:rPr>
            <w:webHidden/>
            <w:rtl/>
          </w:rPr>
          <w:t>90</w:t>
        </w:r>
        <w:r>
          <w:rPr>
            <w:webHidden/>
            <w:rtl/>
          </w:rPr>
          <w:fldChar w:fldCharType="end"/>
        </w:r>
      </w:hyperlink>
    </w:p>
    <w:p w:rsidR="00FA11B8" w:rsidRDefault="00FA11B8">
      <w:pPr>
        <w:pStyle w:val="TOC3"/>
        <w:tabs>
          <w:tab w:val="left" w:pos="2321"/>
        </w:tabs>
        <w:rPr>
          <w:rFonts w:eastAsiaTheme="minorEastAsia" w:cstheme="minorBidi"/>
          <w:sz w:val="22"/>
          <w:szCs w:val="22"/>
          <w:rtl/>
        </w:rPr>
      </w:pPr>
      <w:hyperlink w:anchor="_Toc456027329" w:history="1">
        <w:r w:rsidRPr="003C40C8">
          <w:rPr>
            <w:rStyle w:val="Hyperlink"/>
            <w:rFonts w:hint="eastAsia"/>
            <w:rtl/>
          </w:rPr>
          <w:t>ה</w:t>
        </w:r>
        <w:r w:rsidRPr="003C40C8">
          <w:rPr>
            <w:rStyle w:val="Hyperlink"/>
            <w:rtl/>
          </w:rPr>
          <w:t>.</w:t>
        </w:r>
        <w:r>
          <w:rPr>
            <w:rFonts w:eastAsiaTheme="minorEastAsia" w:cstheme="minorBidi"/>
            <w:sz w:val="22"/>
            <w:szCs w:val="22"/>
            <w:rtl/>
          </w:rPr>
          <w:tab/>
        </w:r>
        <w:r w:rsidRPr="003C40C8">
          <w:rPr>
            <w:rStyle w:val="Hyperlink"/>
            <w:rFonts w:hint="eastAsia"/>
            <w:rtl/>
          </w:rPr>
          <w:t>המומחיות</w:t>
        </w:r>
        <w:r w:rsidRPr="003C40C8">
          <w:rPr>
            <w:rStyle w:val="Hyperlink"/>
            <w:rtl/>
          </w:rPr>
          <w:t xml:space="preserve"> </w:t>
        </w:r>
        <w:r w:rsidRPr="003C40C8">
          <w:rPr>
            <w:rStyle w:val="Hyperlink"/>
            <w:rFonts w:hint="eastAsia"/>
            <w:rtl/>
          </w:rPr>
          <w:t>הנדרשת</w:t>
        </w:r>
        <w:r w:rsidRPr="003C40C8">
          <w:rPr>
            <w:rStyle w:val="Hyperlink"/>
            <w:rtl/>
          </w:rPr>
          <w:t xml:space="preserve"> </w:t>
        </w:r>
        <w:r w:rsidRPr="003C40C8">
          <w:rPr>
            <w:rStyle w:val="Hyperlink"/>
            <w:rFonts w:hint="eastAsia"/>
            <w:rtl/>
          </w:rPr>
          <w:t>מחברי</w:t>
        </w:r>
        <w:r w:rsidRPr="003C40C8">
          <w:rPr>
            <w:rStyle w:val="Hyperlink"/>
            <w:rtl/>
          </w:rPr>
          <w:t xml:space="preserve"> </w:t>
        </w:r>
        <w:r w:rsidRPr="003C40C8">
          <w:rPr>
            <w:rStyle w:val="Hyperlink"/>
            <w:rFonts w:hint="eastAsia"/>
            <w:rtl/>
          </w:rPr>
          <w:t>הוועדה</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Toc456027329 \h</w:instrText>
        </w:r>
        <w:r>
          <w:rPr>
            <w:webHidden/>
            <w:rtl/>
          </w:rPr>
          <w:instrText xml:space="preserve"> </w:instrText>
        </w:r>
        <w:r>
          <w:rPr>
            <w:webHidden/>
            <w:rtl/>
          </w:rPr>
        </w:r>
        <w:r>
          <w:rPr>
            <w:webHidden/>
            <w:rtl/>
          </w:rPr>
          <w:fldChar w:fldCharType="separate"/>
        </w:r>
        <w:r>
          <w:rPr>
            <w:webHidden/>
            <w:rtl/>
          </w:rPr>
          <w:t>92</w:t>
        </w:r>
        <w:r>
          <w:rPr>
            <w:webHidden/>
            <w:rtl/>
          </w:rPr>
          <w:fldChar w:fldCharType="end"/>
        </w:r>
      </w:hyperlink>
    </w:p>
    <w:p w:rsidR="00FA11B8" w:rsidRDefault="00FA11B8">
      <w:pPr>
        <w:pStyle w:val="TOC3"/>
        <w:tabs>
          <w:tab w:val="left" w:pos="2261"/>
        </w:tabs>
        <w:rPr>
          <w:rFonts w:eastAsiaTheme="minorEastAsia" w:cstheme="minorBidi"/>
          <w:sz w:val="22"/>
          <w:szCs w:val="22"/>
          <w:rtl/>
        </w:rPr>
      </w:pPr>
      <w:hyperlink w:anchor="_Toc456027330" w:history="1">
        <w:r w:rsidRPr="003C40C8">
          <w:rPr>
            <w:rStyle w:val="Hyperlink"/>
            <w:rFonts w:hint="eastAsia"/>
            <w:rtl/>
          </w:rPr>
          <w:t>ו</w:t>
        </w:r>
        <w:r w:rsidRPr="003C40C8">
          <w:rPr>
            <w:rStyle w:val="Hyperlink"/>
            <w:rtl/>
          </w:rPr>
          <w:t>.</w:t>
        </w:r>
        <w:r>
          <w:rPr>
            <w:rFonts w:eastAsiaTheme="minorEastAsia" w:cstheme="minorBidi"/>
            <w:sz w:val="22"/>
            <w:szCs w:val="22"/>
            <w:rtl/>
          </w:rPr>
          <w:tab/>
        </w:r>
        <w:r w:rsidRPr="003C40C8">
          <w:rPr>
            <w:rStyle w:val="Hyperlink"/>
            <w:rFonts w:hint="eastAsia"/>
            <w:rtl/>
          </w:rPr>
          <w:t>סיכום</w:t>
        </w:r>
        <w:r w:rsidRPr="003C40C8">
          <w:rPr>
            <w:rStyle w:val="Hyperlink"/>
            <w:rtl/>
          </w:rPr>
          <w:t xml:space="preserve"> – </w:t>
        </w:r>
        <w:r w:rsidRPr="003C40C8">
          <w:rPr>
            <w:rStyle w:val="Hyperlink"/>
            <w:rFonts w:hint="eastAsia"/>
            <w:rtl/>
          </w:rPr>
          <w:t>הרכב</w:t>
        </w:r>
        <w:r w:rsidRPr="003C40C8">
          <w:rPr>
            <w:rStyle w:val="Hyperlink"/>
            <w:rtl/>
          </w:rPr>
          <w:t xml:space="preserve"> </w:t>
        </w:r>
        <w:r w:rsidRPr="003C40C8">
          <w:rPr>
            <w:rStyle w:val="Hyperlink"/>
            <w:rFonts w:hint="eastAsia"/>
            <w:rtl/>
          </w:rPr>
          <w:t>ועדת</w:t>
        </w:r>
        <w:r w:rsidRPr="003C40C8">
          <w:rPr>
            <w:rStyle w:val="Hyperlink"/>
            <w:rtl/>
          </w:rPr>
          <w:t xml:space="preserve"> </w:t>
        </w:r>
        <w:r w:rsidRPr="003C40C8">
          <w:rPr>
            <w:rStyle w:val="Hyperlink"/>
            <w:rFonts w:hint="eastAsia"/>
            <w:rtl/>
          </w:rPr>
          <w:t>החקירה</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Toc456027330 \h</w:instrText>
        </w:r>
        <w:r>
          <w:rPr>
            <w:webHidden/>
            <w:rtl/>
          </w:rPr>
          <w:instrText xml:space="preserve"> </w:instrText>
        </w:r>
        <w:r>
          <w:rPr>
            <w:webHidden/>
            <w:rtl/>
          </w:rPr>
        </w:r>
        <w:r>
          <w:rPr>
            <w:webHidden/>
            <w:rtl/>
          </w:rPr>
          <w:fldChar w:fldCharType="separate"/>
        </w:r>
        <w:r>
          <w:rPr>
            <w:webHidden/>
            <w:rtl/>
          </w:rPr>
          <w:t>93</w:t>
        </w:r>
        <w:r>
          <w:rPr>
            <w:webHidden/>
            <w:rtl/>
          </w:rPr>
          <w:fldChar w:fldCharType="end"/>
        </w:r>
      </w:hyperlink>
    </w:p>
    <w:p w:rsidR="00FA11B8" w:rsidRDefault="00FA11B8">
      <w:pPr>
        <w:pStyle w:val="TOC2"/>
        <w:tabs>
          <w:tab w:val="left" w:pos="1783"/>
        </w:tabs>
        <w:rPr>
          <w:rFonts w:eastAsiaTheme="minorEastAsia" w:cstheme="minorBidi"/>
          <w:b w:val="0"/>
          <w:bCs w:val="0"/>
          <w:rtl/>
        </w:rPr>
      </w:pPr>
      <w:hyperlink w:anchor="_Toc456027331" w:history="1">
        <w:r w:rsidRPr="003C40C8">
          <w:rPr>
            <w:rStyle w:val="Hyperlink"/>
            <w:rtl/>
          </w:rPr>
          <w:t>4.</w:t>
        </w:r>
        <w:r>
          <w:rPr>
            <w:rFonts w:eastAsiaTheme="minorEastAsia" w:cstheme="minorBidi"/>
            <w:b w:val="0"/>
            <w:bCs w:val="0"/>
            <w:rtl/>
          </w:rPr>
          <w:tab/>
        </w:r>
        <w:r w:rsidRPr="003C40C8">
          <w:rPr>
            <w:rStyle w:val="Hyperlink"/>
            <w:rFonts w:hint="eastAsia"/>
            <w:rtl/>
          </w:rPr>
          <w:t>הרכב</w:t>
        </w:r>
        <w:r w:rsidRPr="003C40C8">
          <w:rPr>
            <w:rStyle w:val="Hyperlink"/>
            <w:rtl/>
          </w:rPr>
          <w:t xml:space="preserve"> </w:t>
        </w:r>
        <w:r w:rsidRPr="003C40C8">
          <w:rPr>
            <w:rStyle w:val="Hyperlink"/>
            <w:rFonts w:hint="eastAsia"/>
            <w:rtl/>
          </w:rPr>
          <w:t>המזכירות</w:t>
        </w:r>
        <w:r w:rsidRPr="003C40C8">
          <w:rPr>
            <w:rStyle w:val="Hyperlink"/>
            <w:rtl/>
          </w:rPr>
          <w:t xml:space="preserve"> </w:t>
        </w:r>
        <w:r w:rsidRPr="003C40C8">
          <w:rPr>
            <w:rStyle w:val="Hyperlink"/>
            <w:rFonts w:hint="eastAsia"/>
            <w:rtl/>
          </w:rPr>
          <w:t>והצוות</w:t>
        </w:r>
        <w:r w:rsidRPr="003C40C8">
          <w:rPr>
            <w:rStyle w:val="Hyperlink"/>
            <w:rtl/>
          </w:rPr>
          <w:t xml:space="preserve"> </w:t>
        </w:r>
        <w:r w:rsidRPr="003C40C8">
          <w:rPr>
            <w:rStyle w:val="Hyperlink"/>
            <w:rFonts w:hint="eastAsia"/>
            <w:rtl/>
          </w:rPr>
          <w:t>של</w:t>
        </w:r>
        <w:r w:rsidRPr="003C40C8">
          <w:rPr>
            <w:rStyle w:val="Hyperlink"/>
            <w:rtl/>
          </w:rPr>
          <w:t xml:space="preserve"> </w:t>
        </w:r>
        <w:r w:rsidRPr="003C40C8">
          <w:rPr>
            <w:rStyle w:val="Hyperlink"/>
            <w:rFonts w:hint="eastAsia"/>
            <w:rtl/>
          </w:rPr>
          <w:t>ועדת</w:t>
        </w:r>
        <w:r w:rsidRPr="003C40C8">
          <w:rPr>
            <w:rStyle w:val="Hyperlink"/>
            <w:rtl/>
          </w:rPr>
          <w:t xml:space="preserve"> </w:t>
        </w:r>
        <w:r w:rsidRPr="003C40C8">
          <w:rPr>
            <w:rStyle w:val="Hyperlink"/>
            <w:rFonts w:hint="eastAsia"/>
            <w:rtl/>
          </w:rPr>
          <w:t>החקירה</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Toc456027331 \h</w:instrText>
        </w:r>
        <w:r>
          <w:rPr>
            <w:webHidden/>
            <w:rtl/>
          </w:rPr>
          <w:instrText xml:space="preserve"> </w:instrText>
        </w:r>
        <w:r>
          <w:rPr>
            <w:webHidden/>
            <w:rtl/>
          </w:rPr>
        </w:r>
        <w:r>
          <w:rPr>
            <w:webHidden/>
            <w:rtl/>
          </w:rPr>
          <w:fldChar w:fldCharType="separate"/>
        </w:r>
        <w:r>
          <w:rPr>
            <w:webHidden/>
            <w:rtl/>
          </w:rPr>
          <w:t>94</w:t>
        </w:r>
        <w:r>
          <w:rPr>
            <w:webHidden/>
            <w:rtl/>
          </w:rPr>
          <w:fldChar w:fldCharType="end"/>
        </w:r>
      </w:hyperlink>
    </w:p>
    <w:p w:rsidR="00FA11B8" w:rsidRDefault="00FA11B8">
      <w:pPr>
        <w:pStyle w:val="TOC2"/>
        <w:tabs>
          <w:tab w:val="left" w:pos="1783"/>
        </w:tabs>
        <w:rPr>
          <w:rFonts w:eastAsiaTheme="minorEastAsia" w:cstheme="minorBidi"/>
          <w:b w:val="0"/>
          <w:bCs w:val="0"/>
          <w:rtl/>
        </w:rPr>
      </w:pPr>
      <w:hyperlink w:anchor="_Toc456027332" w:history="1">
        <w:r w:rsidRPr="003C40C8">
          <w:rPr>
            <w:rStyle w:val="Hyperlink"/>
            <w:rtl/>
          </w:rPr>
          <w:t>5.</w:t>
        </w:r>
        <w:r>
          <w:rPr>
            <w:rFonts w:eastAsiaTheme="minorEastAsia" w:cstheme="minorBidi"/>
            <w:b w:val="0"/>
            <w:bCs w:val="0"/>
            <w:rtl/>
          </w:rPr>
          <w:tab/>
        </w:r>
        <w:r w:rsidRPr="003C40C8">
          <w:rPr>
            <w:rStyle w:val="Hyperlink"/>
            <w:rFonts w:hint="eastAsia"/>
            <w:rtl/>
          </w:rPr>
          <w:t>היקף</w:t>
        </w:r>
        <w:r w:rsidRPr="003C40C8">
          <w:rPr>
            <w:rStyle w:val="Hyperlink"/>
            <w:rtl/>
          </w:rPr>
          <w:t xml:space="preserve"> </w:t>
        </w:r>
        <w:r w:rsidRPr="003C40C8">
          <w:rPr>
            <w:rStyle w:val="Hyperlink"/>
            <w:rFonts w:hint="eastAsia"/>
            <w:rtl/>
          </w:rPr>
          <w:t>האירוע</w:t>
        </w:r>
        <w:r w:rsidRPr="003C40C8">
          <w:rPr>
            <w:rStyle w:val="Hyperlink"/>
            <w:rtl/>
          </w:rPr>
          <w:t xml:space="preserve"> </w:t>
        </w:r>
        <w:r w:rsidRPr="003C40C8">
          <w:rPr>
            <w:rStyle w:val="Hyperlink"/>
            <w:rFonts w:hint="eastAsia"/>
            <w:rtl/>
          </w:rPr>
          <w:t>הנבחן</w:t>
        </w:r>
        <w:r w:rsidRPr="003C40C8">
          <w:rPr>
            <w:rStyle w:val="Hyperlink"/>
            <w:rtl/>
          </w:rPr>
          <w:t xml:space="preserve"> </w:t>
        </w:r>
        <w:r w:rsidRPr="003C40C8">
          <w:rPr>
            <w:rStyle w:val="Hyperlink"/>
            <w:rFonts w:hint="eastAsia"/>
            <w:rtl/>
          </w:rPr>
          <w:t>על</w:t>
        </w:r>
        <w:r w:rsidRPr="003C40C8">
          <w:rPr>
            <w:rStyle w:val="Hyperlink"/>
            <w:rtl/>
          </w:rPr>
          <w:t xml:space="preserve"> </w:t>
        </w:r>
        <w:r w:rsidRPr="003C40C8">
          <w:rPr>
            <w:rStyle w:val="Hyperlink"/>
            <w:rFonts w:hint="eastAsia"/>
            <w:rtl/>
          </w:rPr>
          <w:t>ידי</w:t>
        </w:r>
        <w:r w:rsidRPr="003C40C8">
          <w:rPr>
            <w:rStyle w:val="Hyperlink"/>
            <w:rtl/>
          </w:rPr>
          <w:t xml:space="preserve"> </w:t>
        </w:r>
        <w:r w:rsidRPr="003C40C8">
          <w:rPr>
            <w:rStyle w:val="Hyperlink"/>
            <w:rFonts w:hint="eastAsia"/>
            <w:rtl/>
          </w:rPr>
          <w:t>ועדת</w:t>
        </w:r>
        <w:r w:rsidRPr="003C40C8">
          <w:rPr>
            <w:rStyle w:val="Hyperlink"/>
            <w:rtl/>
          </w:rPr>
          <w:t xml:space="preserve"> </w:t>
        </w:r>
        <w:r w:rsidRPr="003C40C8">
          <w:rPr>
            <w:rStyle w:val="Hyperlink"/>
            <w:rFonts w:hint="eastAsia"/>
            <w:rtl/>
          </w:rPr>
          <w:t>החקירה</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Toc456027332 \h</w:instrText>
        </w:r>
        <w:r>
          <w:rPr>
            <w:webHidden/>
            <w:rtl/>
          </w:rPr>
          <w:instrText xml:space="preserve"> </w:instrText>
        </w:r>
        <w:r>
          <w:rPr>
            <w:webHidden/>
            <w:rtl/>
          </w:rPr>
        </w:r>
        <w:r>
          <w:rPr>
            <w:webHidden/>
            <w:rtl/>
          </w:rPr>
          <w:fldChar w:fldCharType="separate"/>
        </w:r>
        <w:r>
          <w:rPr>
            <w:webHidden/>
            <w:rtl/>
          </w:rPr>
          <w:t>98</w:t>
        </w:r>
        <w:r>
          <w:rPr>
            <w:webHidden/>
            <w:rtl/>
          </w:rPr>
          <w:fldChar w:fldCharType="end"/>
        </w:r>
      </w:hyperlink>
    </w:p>
    <w:p w:rsidR="00FA11B8" w:rsidRDefault="00FA11B8">
      <w:pPr>
        <w:pStyle w:val="TOC2"/>
        <w:tabs>
          <w:tab w:val="left" w:pos="1783"/>
        </w:tabs>
        <w:rPr>
          <w:rFonts w:eastAsiaTheme="minorEastAsia" w:cstheme="minorBidi"/>
          <w:b w:val="0"/>
          <w:bCs w:val="0"/>
          <w:rtl/>
        </w:rPr>
      </w:pPr>
      <w:hyperlink w:anchor="_Toc456027333" w:history="1">
        <w:r w:rsidRPr="003C40C8">
          <w:rPr>
            <w:rStyle w:val="Hyperlink"/>
            <w:rtl/>
          </w:rPr>
          <w:t>6.</w:t>
        </w:r>
        <w:r>
          <w:rPr>
            <w:rFonts w:eastAsiaTheme="minorEastAsia" w:cstheme="minorBidi"/>
            <w:b w:val="0"/>
            <w:bCs w:val="0"/>
            <w:rtl/>
          </w:rPr>
          <w:tab/>
        </w:r>
        <w:r w:rsidRPr="003C40C8">
          <w:rPr>
            <w:rStyle w:val="Hyperlink"/>
            <w:rFonts w:hint="eastAsia"/>
            <w:rtl/>
          </w:rPr>
          <w:t>המצב</w:t>
        </w:r>
        <w:r w:rsidRPr="003C40C8">
          <w:rPr>
            <w:rStyle w:val="Hyperlink"/>
            <w:rtl/>
          </w:rPr>
          <w:t xml:space="preserve"> </w:t>
        </w:r>
        <w:r w:rsidRPr="003C40C8">
          <w:rPr>
            <w:rStyle w:val="Hyperlink"/>
            <w:rFonts w:hint="eastAsia"/>
            <w:rtl/>
          </w:rPr>
          <w:t>המדיני</w:t>
        </w:r>
        <w:r w:rsidRPr="003C40C8">
          <w:rPr>
            <w:rStyle w:val="Hyperlink"/>
            <w:rtl/>
          </w:rPr>
          <w:t xml:space="preserve"> </w:t>
        </w:r>
        <w:r w:rsidRPr="003C40C8">
          <w:rPr>
            <w:rStyle w:val="Hyperlink"/>
            <w:rFonts w:hint="eastAsia"/>
            <w:rtl/>
          </w:rPr>
          <w:t>והאווירה</w:t>
        </w:r>
        <w:r w:rsidRPr="003C40C8">
          <w:rPr>
            <w:rStyle w:val="Hyperlink"/>
            <w:rtl/>
          </w:rPr>
          <w:t xml:space="preserve"> </w:t>
        </w:r>
        <w:r w:rsidRPr="003C40C8">
          <w:rPr>
            <w:rStyle w:val="Hyperlink"/>
            <w:rFonts w:hint="eastAsia"/>
            <w:rtl/>
          </w:rPr>
          <w:t>הפוליטית</w:t>
        </w:r>
        <w:r w:rsidRPr="003C40C8">
          <w:rPr>
            <w:rStyle w:val="Hyperlink"/>
            <w:rtl/>
          </w:rPr>
          <w:t xml:space="preserve"> </w:t>
        </w:r>
        <w:r w:rsidRPr="003C40C8">
          <w:rPr>
            <w:rStyle w:val="Hyperlink"/>
            <w:rFonts w:hint="eastAsia"/>
            <w:rtl/>
          </w:rPr>
          <w:t>הבינלאומית</w:t>
        </w:r>
        <w:r w:rsidRPr="003C40C8">
          <w:rPr>
            <w:rStyle w:val="Hyperlink"/>
            <w:rtl/>
          </w:rPr>
          <w:t xml:space="preserve"> </w:t>
        </w:r>
        <w:r w:rsidRPr="003C40C8">
          <w:rPr>
            <w:rStyle w:val="Hyperlink"/>
            <w:rFonts w:hint="eastAsia"/>
            <w:rtl/>
          </w:rPr>
          <w:t>הכללית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Toc456027333 \h</w:instrText>
        </w:r>
        <w:r>
          <w:rPr>
            <w:webHidden/>
            <w:rtl/>
          </w:rPr>
          <w:instrText xml:space="preserve"> </w:instrText>
        </w:r>
        <w:r>
          <w:rPr>
            <w:webHidden/>
            <w:rtl/>
          </w:rPr>
        </w:r>
        <w:r>
          <w:rPr>
            <w:webHidden/>
            <w:rtl/>
          </w:rPr>
          <w:fldChar w:fldCharType="separate"/>
        </w:r>
        <w:r>
          <w:rPr>
            <w:webHidden/>
            <w:rtl/>
          </w:rPr>
          <w:t>99</w:t>
        </w:r>
        <w:r>
          <w:rPr>
            <w:webHidden/>
            <w:rtl/>
          </w:rPr>
          <w:fldChar w:fldCharType="end"/>
        </w:r>
      </w:hyperlink>
    </w:p>
    <w:p w:rsidR="00FA11B8" w:rsidRDefault="00FA11B8">
      <w:pPr>
        <w:pStyle w:val="TOC2"/>
        <w:tabs>
          <w:tab w:val="left" w:pos="1783"/>
        </w:tabs>
        <w:rPr>
          <w:rFonts w:eastAsiaTheme="minorEastAsia" w:cstheme="minorBidi"/>
          <w:b w:val="0"/>
          <w:bCs w:val="0"/>
          <w:rtl/>
        </w:rPr>
      </w:pPr>
      <w:hyperlink w:anchor="_Toc456027334" w:history="1">
        <w:r w:rsidRPr="003C40C8">
          <w:rPr>
            <w:rStyle w:val="Hyperlink"/>
            <w:rtl/>
          </w:rPr>
          <w:t>7.</w:t>
        </w:r>
        <w:r>
          <w:rPr>
            <w:rFonts w:eastAsiaTheme="minorEastAsia" w:cstheme="minorBidi"/>
            <w:b w:val="0"/>
            <w:bCs w:val="0"/>
            <w:rtl/>
          </w:rPr>
          <w:tab/>
        </w:r>
        <w:r w:rsidRPr="003C40C8">
          <w:rPr>
            <w:rStyle w:val="Hyperlink"/>
            <w:rFonts w:hint="eastAsia"/>
            <w:rtl/>
          </w:rPr>
          <w:t>הנושא</w:t>
        </w:r>
        <w:r w:rsidRPr="003C40C8">
          <w:rPr>
            <w:rStyle w:val="Hyperlink"/>
            <w:rtl/>
          </w:rPr>
          <w:t xml:space="preserve"> </w:t>
        </w:r>
        <w:r w:rsidRPr="003C40C8">
          <w:rPr>
            <w:rStyle w:val="Hyperlink"/>
            <w:rFonts w:hint="eastAsia"/>
            <w:rtl/>
          </w:rPr>
          <w:t>הנבחן</w:t>
        </w:r>
        <w:r w:rsidRPr="003C40C8">
          <w:rPr>
            <w:rStyle w:val="Hyperlink"/>
            <w:rtl/>
          </w:rPr>
          <w:t xml:space="preserve"> </w:t>
        </w:r>
        <w:r w:rsidRPr="003C40C8">
          <w:rPr>
            <w:rStyle w:val="Hyperlink"/>
            <w:rFonts w:hint="eastAsia"/>
            <w:rtl/>
          </w:rPr>
          <w:t>והסיכוי</w:t>
        </w:r>
        <w:r w:rsidRPr="003C40C8">
          <w:rPr>
            <w:rStyle w:val="Hyperlink"/>
            <w:rtl/>
          </w:rPr>
          <w:t xml:space="preserve"> </w:t>
        </w:r>
        <w:r w:rsidRPr="003C40C8">
          <w:rPr>
            <w:rStyle w:val="Hyperlink"/>
            <w:rFonts w:hint="eastAsia"/>
            <w:rtl/>
          </w:rPr>
          <w:t>להשפיע</w:t>
        </w:r>
        <w:r w:rsidRPr="003C40C8">
          <w:rPr>
            <w:rStyle w:val="Hyperlink"/>
            <w:rtl/>
          </w:rPr>
          <w:t xml:space="preserve"> </w:t>
        </w:r>
        <w:r w:rsidRPr="003C40C8">
          <w:rPr>
            <w:rStyle w:val="Hyperlink"/>
            <w:rFonts w:hint="eastAsia"/>
            <w:rtl/>
          </w:rPr>
          <w:t>על</w:t>
        </w:r>
        <w:r w:rsidRPr="003C40C8">
          <w:rPr>
            <w:rStyle w:val="Hyperlink"/>
            <w:rtl/>
          </w:rPr>
          <w:t xml:space="preserve"> </w:t>
        </w:r>
        <w:r w:rsidRPr="003C40C8">
          <w:rPr>
            <w:rStyle w:val="Hyperlink"/>
            <w:rFonts w:hint="eastAsia"/>
            <w:rtl/>
          </w:rPr>
          <w:t>תוצרי</w:t>
        </w:r>
        <w:r w:rsidRPr="003C40C8">
          <w:rPr>
            <w:rStyle w:val="Hyperlink"/>
            <w:rtl/>
          </w:rPr>
          <w:t xml:space="preserve"> </w:t>
        </w:r>
        <w:r w:rsidRPr="003C40C8">
          <w:rPr>
            <w:rStyle w:val="Hyperlink"/>
            <w:rFonts w:hint="eastAsia"/>
            <w:rtl/>
          </w:rPr>
          <w:t>הוועדה</w:t>
        </w:r>
        <w:r w:rsidRPr="003C40C8">
          <w:rPr>
            <w:rStyle w:val="Hyperlink"/>
            <w:rtl/>
          </w:rPr>
          <w:t xml:space="preserve"> </w:t>
        </w:r>
        <w:r w:rsidRPr="003C40C8">
          <w:rPr>
            <w:rStyle w:val="Hyperlink"/>
            <w:rFonts w:hint="eastAsia"/>
            <w:rtl/>
          </w:rPr>
          <w:t>בעניינו</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Toc456027334 \h</w:instrText>
        </w:r>
        <w:r>
          <w:rPr>
            <w:webHidden/>
            <w:rtl/>
          </w:rPr>
          <w:instrText xml:space="preserve"> </w:instrText>
        </w:r>
        <w:r>
          <w:rPr>
            <w:webHidden/>
            <w:rtl/>
          </w:rPr>
        </w:r>
        <w:r>
          <w:rPr>
            <w:webHidden/>
            <w:rtl/>
          </w:rPr>
          <w:fldChar w:fldCharType="separate"/>
        </w:r>
        <w:r>
          <w:rPr>
            <w:webHidden/>
            <w:rtl/>
          </w:rPr>
          <w:t>99</w:t>
        </w:r>
        <w:r>
          <w:rPr>
            <w:webHidden/>
            <w:rtl/>
          </w:rPr>
          <w:fldChar w:fldCharType="end"/>
        </w:r>
      </w:hyperlink>
    </w:p>
    <w:p w:rsidR="00FA11B8" w:rsidRDefault="00FA11B8">
      <w:pPr>
        <w:pStyle w:val="TOC2"/>
        <w:tabs>
          <w:tab w:val="left" w:pos="1783"/>
        </w:tabs>
        <w:rPr>
          <w:rFonts w:eastAsiaTheme="minorEastAsia" w:cstheme="minorBidi"/>
          <w:b w:val="0"/>
          <w:bCs w:val="0"/>
          <w:rtl/>
        </w:rPr>
      </w:pPr>
      <w:hyperlink w:anchor="_Toc456027335" w:history="1">
        <w:r w:rsidRPr="003C40C8">
          <w:rPr>
            <w:rStyle w:val="Hyperlink"/>
            <w:rtl/>
          </w:rPr>
          <w:t>8.</w:t>
        </w:r>
        <w:r>
          <w:rPr>
            <w:rFonts w:eastAsiaTheme="minorEastAsia" w:cstheme="minorBidi"/>
            <w:b w:val="0"/>
            <w:bCs w:val="0"/>
            <w:rtl/>
          </w:rPr>
          <w:tab/>
        </w:r>
        <w:r w:rsidRPr="003C40C8">
          <w:rPr>
            <w:rStyle w:val="Hyperlink"/>
            <w:rFonts w:hint="eastAsia"/>
            <w:rtl/>
          </w:rPr>
          <w:t>סיכום</w:t>
        </w:r>
        <w:r w:rsidRPr="003C40C8">
          <w:rPr>
            <w:rStyle w:val="Hyperlink"/>
            <w:rtl/>
          </w:rPr>
          <w:t xml:space="preserve"> - </w:t>
        </w:r>
        <w:r w:rsidRPr="003C40C8">
          <w:rPr>
            <w:rStyle w:val="Hyperlink"/>
            <w:rFonts w:hint="eastAsia"/>
            <w:rtl/>
          </w:rPr>
          <w:t>שיקולים</w:t>
        </w:r>
        <w:r w:rsidRPr="003C40C8">
          <w:rPr>
            <w:rStyle w:val="Hyperlink"/>
            <w:rtl/>
          </w:rPr>
          <w:t xml:space="preserve"> </w:t>
        </w:r>
        <w:r w:rsidRPr="003C40C8">
          <w:rPr>
            <w:rStyle w:val="Hyperlink"/>
            <w:rFonts w:hint="eastAsia"/>
            <w:rtl/>
          </w:rPr>
          <w:t>פרטניים</w:t>
        </w:r>
        <w:r w:rsidRPr="003C40C8">
          <w:rPr>
            <w:rStyle w:val="Hyperlink"/>
            <w:rtl/>
          </w:rPr>
          <w:t xml:space="preserve"> </w:t>
        </w:r>
        <w:r w:rsidRPr="003C40C8">
          <w:rPr>
            <w:rStyle w:val="Hyperlink"/>
            <w:rFonts w:hint="eastAsia"/>
            <w:rtl/>
          </w:rPr>
          <w:t>לעניין</w:t>
        </w:r>
        <w:r w:rsidRPr="003C40C8">
          <w:rPr>
            <w:rStyle w:val="Hyperlink"/>
            <w:rtl/>
          </w:rPr>
          <w:t xml:space="preserve"> </w:t>
        </w:r>
        <w:r w:rsidRPr="003C40C8">
          <w:rPr>
            <w:rStyle w:val="Hyperlink"/>
            <w:rFonts w:hint="eastAsia"/>
            <w:rtl/>
          </w:rPr>
          <w:t>שיתוף</w:t>
        </w:r>
        <w:r w:rsidRPr="003C40C8">
          <w:rPr>
            <w:rStyle w:val="Hyperlink"/>
            <w:rtl/>
          </w:rPr>
          <w:t xml:space="preserve"> </w:t>
        </w:r>
        <w:r w:rsidRPr="003C40C8">
          <w:rPr>
            <w:rStyle w:val="Hyperlink"/>
            <w:rFonts w:hint="eastAsia"/>
            <w:rtl/>
          </w:rPr>
          <w:t>פעולה</w:t>
        </w:r>
        <w:r w:rsidRPr="003C40C8">
          <w:rPr>
            <w:rStyle w:val="Hyperlink"/>
            <w:rtl/>
          </w:rPr>
          <w:t xml:space="preserve"> </w:t>
        </w:r>
        <w:r w:rsidRPr="003C40C8">
          <w:rPr>
            <w:rStyle w:val="Hyperlink"/>
            <w:rFonts w:hint="eastAsia"/>
            <w:rtl/>
          </w:rPr>
          <w:t>עם</w:t>
        </w:r>
        <w:r w:rsidRPr="003C40C8">
          <w:rPr>
            <w:rStyle w:val="Hyperlink"/>
            <w:rtl/>
          </w:rPr>
          <w:t xml:space="preserve"> </w:t>
        </w:r>
        <w:r w:rsidRPr="003C40C8">
          <w:rPr>
            <w:rStyle w:val="Hyperlink"/>
            <w:rFonts w:hint="eastAsia"/>
            <w:rtl/>
          </w:rPr>
          <w:t>ועדות</w:t>
        </w:r>
        <w:r w:rsidRPr="003C40C8">
          <w:rPr>
            <w:rStyle w:val="Hyperlink"/>
            <w:rtl/>
          </w:rPr>
          <w:t xml:space="preserve"> </w:t>
        </w:r>
        <w:r w:rsidRPr="003C40C8">
          <w:rPr>
            <w:rStyle w:val="Hyperlink"/>
            <w:rFonts w:hint="eastAsia"/>
            <w:rtl/>
          </w:rPr>
          <w:t>חקירה</w:t>
        </w:r>
        <w:r w:rsidRPr="003C40C8">
          <w:rPr>
            <w:rStyle w:val="Hyperlink"/>
            <w:rtl/>
          </w:rPr>
          <w:t xml:space="preserve"> </w:t>
        </w:r>
        <w:r w:rsidRPr="003C40C8">
          <w:rPr>
            <w:rStyle w:val="Hyperlink"/>
            <w:rFonts w:hint="eastAsia"/>
            <w:rtl/>
          </w:rPr>
          <w:t>בינלאומיות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Toc456027335 \h</w:instrText>
        </w:r>
        <w:r>
          <w:rPr>
            <w:webHidden/>
            <w:rtl/>
          </w:rPr>
          <w:instrText xml:space="preserve"> </w:instrText>
        </w:r>
        <w:r>
          <w:rPr>
            <w:webHidden/>
            <w:rtl/>
          </w:rPr>
        </w:r>
        <w:r>
          <w:rPr>
            <w:webHidden/>
            <w:rtl/>
          </w:rPr>
          <w:fldChar w:fldCharType="separate"/>
        </w:r>
        <w:r>
          <w:rPr>
            <w:webHidden/>
            <w:rtl/>
          </w:rPr>
          <w:t>100</w:t>
        </w:r>
        <w:r>
          <w:rPr>
            <w:webHidden/>
            <w:rtl/>
          </w:rPr>
          <w:fldChar w:fldCharType="end"/>
        </w:r>
      </w:hyperlink>
    </w:p>
    <w:p w:rsidR="00FA11B8" w:rsidRDefault="00FA11B8">
      <w:pPr>
        <w:pStyle w:val="TOC1"/>
        <w:rPr>
          <w:rFonts w:eastAsiaTheme="minorEastAsia" w:cstheme="minorBidi"/>
          <w:b w:val="0"/>
          <w:bCs w:val="0"/>
          <w:sz w:val="22"/>
          <w:szCs w:val="22"/>
          <w:rtl/>
        </w:rPr>
      </w:pPr>
      <w:hyperlink w:anchor="_Toc456027336" w:history="1">
        <w:r w:rsidRPr="003C40C8">
          <w:rPr>
            <w:rStyle w:val="Hyperlink"/>
            <w:rFonts w:hint="eastAsia"/>
            <w:rtl/>
          </w:rPr>
          <w:t>פרק</w:t>
        </w:r>
        <w:r w:rsidRPr="003C40C8">
          <w:rPr>
            <w:rStyle w:val="Hyperlink"/>
            <w:rtl/>
          </w:rPr>
          <w:t xml:space="preserve"> </w:t>
        </w:r>
        <w:r w:rsidRPr="003C40C8">
          <w:rPr>
            <w:rStyle w:val="Hyperlink"/>
            <w:rFonts w:hint="eastAsia"/>
            <w:rtl/>
          </w:rPr>
          <w:t>ה</w:t>
        </w:r>
        <w:r w:rsidRPr="003C40C8">
          <w:rPr>
            <w:rStyle w:val="Hyperlink"/>
            <w:rtl/>
          </w:rPr>
          <w:t xml:space="preserve">' - </w:t>
        </w:r>
        <w:r w:rsidRPr="003C40C8">
          <w:rPr>
            <w:rStyle w:val="Hyperlink"/>
            <w:rFonts w:hint="eastAsia"/>
            <w:rtl/>
          </w:rPr>
          <w:t>הצורך</w:t>
        </w:r>
        <w:r w:rsidRPr="003C40C8">
          <w:rPr>
            <w:rStyle w:val="Hyperlink"/>
            <w:rtl/>
          </w:rPr>
          <w:t xml:space="preserve"> </w:t>
        </w:r>
        <w:r w:rsidRPr="003C40C8">
          <w:rPr>
            <w:rStyle w:val="Hyperlink"/>
            <w:rFonts w:hint="eastAsia"/>
            <w:rtl/>
          </w:rPr>
          <w:t>בהסדרת</w:t>
        </w:r>
        <w:r w:rsidRPr="003C40C8">
          <w:rPr>
            <w:rStyle w:val="Hyperlink"/>
            <w:rtl/>
          </w:rPr>
          <w:t xml:space="preserve"> </w:t>
        </w:r>
        <w:r w:rsidRPr="003C40C8">
          <w:rPr>
            <w:rStyle w:val="Hyperlink"/>
            <w:rFonts w:hint="eastAsia"/>
            <w:rtl/>
          </w:rPr>
          <w:t>כללי</w:t>
        </w:r>
        <w:r w:rsidRPr="003C40C8">
          <w:rPr>
            <w:rStyle w:val="Hyperlink"/>
            <w:rtl/>
          </w:rPr>
          <w:t xml:space="preserve"> </w:t>
        </w:r>
        <w:r w:rsidRPr="003C40C8">
          <w:rPr>
            <w:rStyle w:val="Hyperlink"/>
            <w:rFonts w:hint="eastAsia"/>
            <w:rtl/>
          </w:rPr>
          <w:t>הפרוצדורה</w:t>
        </w:r>
        <w:r w:rsidRPr="003C40C8">
          <w:rPr>
            <w:rStyle w:val="Hyperlink"/>
            <w:rtl/>
          </w:rPr>
          <w:t xml:space="preserve"> </w:t>
        </w:r>
        <w:r w:rsidRPr="003C40C8">
          <w:rPr>
            <w:rStyle w:val="Hyperlink"/>
            <w:rFonts w:hint="eastAsia"/>
            <w:rtl/>
          </w:rPr>
          <w:t>המחייבים</w:t>
        </w:r>
        <w:r w:rsidRPr="003C40C8">
          <w:rPr>
            <w:rStyle w:val="Hyperlink"/>
            <w:rtl/>
          </w:rPr>
          <w:t xml:space="preserve"> </w:t>
        </w:r>
        <w:r w:rsidRPr="003C40C8">
          <w:rPr>
            <w:rStyle w:val="Hyperlink"/>
            <w:rFonts w:hint="eastAsia"/>
            <w:rtl/>
          </w:rPr>
          <w:t>בפעולתן</w:t>
        </w:r>
        <w:r w:rsidRPr="003C40C8">
          <w:rPr>
            <w:rStyle w:val="Hyperlink"/>
            <w:rtl/>
          </w:rPr>
          <w:t xml:space="preserve"> </w:t>
        </w:r>
        <w:r w:rsidRPr="003C40C8">
          <w:rPr>
            <w:rStyle w:val="Hyperlink"/>
            <w:rFonts w:hint="eastAsia"/>
            <w:rtl/>
          </w:rPr>
          <w:t>של</w:t>
        </w:r>
        <w:r w:rsidRPr="003C40C8">
          <w:rPr>
            <w:rStyle w:val="Hyperlink"/>
            <w:rtl/>
          </w:rPr>
          <w:t xml:space="preserve"> </w:t>
        </w:r>
        <w:r w:rsidRPr="003C40C8">
          <w:rPr>
            <w:rStyle w:val="Hyperlink"/>
            <w:rFonts w:hint="eastAsia"/>
            <w:rtl/>
          </w:rPr>
          <w:t>ועדות</w:t>
        </w:r>
        <w:r w:rsidRPr="003C40C8">
          <w:rPr>
            <w:rStyle w:val="Hyperlink"/>
            <w:rtl/>
          </w:rPr>
          <w:t xml:space="preserve"> </w:t>
        </w:r>
        <w:r w:rsidRPr="003C40C8">
          <w:rPr>
            <w:rStyle w:val="Hyperlink"/>
            <w:rFonts w:hint="eastAsia"/>
            <w:rtl/>
          </w:rPr>
          <w:t>חקירה</w:t>
        </w:r>
        <w:r w:rsidRPr="003C40C8">
          <w:rPr>
            <w:rStyle w:val="Hyperlink"/>
            <w:rtl/>
          </w:rPr>
          <w:t xml:space="preserve"> </w:t>
        </w:r>
        <w:r w:rsidRPr="003C40C8">
          <w:rPr>
            <w:rStyle w:val="Hyperlink"/>
            <w:rFonts w:hint="eastAsia"/>
            <w:rtl/>
          </w:rPr>
          <w:t>בינלאומיות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Toc456027336 \h</w:instrText>
        </w:r>
        <w:r>
          <w:rPr>
            <w:webHidden/>
            <w:rtl/>
          </w:rPr>
          <w:instrText xml:space="preserve"> </w:instrText>
        </w:r>
        <w:r>
          <w:rPr>
            <w:webHidden/>
            <w:rtl/>
          </w:rPr>
        </w:r>
        <w:r>
          <w:rPr>
            <w:webHidden/>
            <w:rtl/>
          </w:rPr>
          <w:fldChar w:fldCharType="separate"/>
        </w:r>
        <w:r>
          <w:rPr>
            <w:webHidden/>
            <w:rtl/>
          </w:rPr>
          <w:t>102</w:t>
        </w:r>
        <w:r>
          <w:rPr>
            <w:webHidden/>
            <w:rtl/>
          </w:rPr>
          <w:fldChar w:fldCharType="end"/>
        </w:r>
      </w:hyperlink>
    </w:p>
    <w:p w:rsidR="00FA11B8" w:rsidRDefault="00FA11B8">
      <w:pPr>
        <w:pStyle w:val="TOC2"/>
        <w:tabs>
          <w:tab w:val="left" w:pos="1783"/>
        </w:tabs>
        <w:rPr>
          <w:rFonts w:eastAsiaTheme="minorEastAsia" w:cstheme="minorBidi"/>
          <w:b w:val="0"/>
          <w:bCs w:val="0"/>
          <w:rtl/>
        </w:rPr>
      </w:pPr>
      <w:hyperlink w:anchor="_Toc456027337" w:history="1">
        <w:r w:rsidRPr="003C40C8">
          <w:rPr>
            <w:rStyle w:val="Hyperlink"/>
            <w:rtl/>
          </w:rPr>
          <w:t>1.</w:t>
        </w:r>
        <w:r>
          <w:rPr>
            <w:rFonts w:eastAsiaTheme="minorEastAsia" w:cstheme="minorBidi"/>
            <w:b w:val="0"/>
            <w:bCs w:val="0"/>
            <w:rtl/>
          </w:rPr>
          <w:tab/>
        </w:r>
        <w:r w:rsidRPr="003C40C8">
          <w:rPr>
            <w:rStyle w:val="Hyperlink"/>
            <w:rFonts w:hint="eastAsia"/>
            <w:rtl/>
          </w:rPr>
          <w:t>כללי</w:t>
        </w:r>
        <w:r w:rsidRPr="003C40C8">
          <w:rPr>
            <w:rStyle w:val="Hyperlink"/>
            <w:rtl/>
          </w:rPr>
          <w:t xml:space="preserve"> </w:t>
        </w:r>
        <w:r w:rsidRPr="003C40C8">
          <w:rPr>
            <w:rStyle w:val="Hyperlink"/>
            <w:rFonts w:hint="eastAsia"/>
            <w:rtl/>
          </w:rPr>
          <w:t>פרוצדורה</w:t>
        </w:r>
        <w:r w:rsidRPr="003C40C8">
          <w:rPr>
            <w:rStyle w:val="Hyperlink"/>
            <w:rtl/>
          </w:rPr>
          <w:t xml:space="preserve"> </w:t>
        </w:r>
        <w:r w:rsidRPr="003C40C8">
          <w:rPr>
            <w:rStyle w:val="Hyperlink"/>
            <w:rFonts w:hint="eastAsia"/>
            <w:rtl/>
          </w:rPr>
          <w:t>לוועדות</w:t>
        </w:r>
        <w:r w:rsidRPr="003C40C8">
          <w:rPr>
            <w:rStyle w:val="Hyperlink"/>
            <w:rtl/>
          </w:rPr>
          <w:t xml:space="preserve"> </w:t>
        </w:r>
        <w:r w:rsidRPr="003C40C8">
          <w:rPr>
            <w:rStyle w:val="Hyperlink"/>
            <w:rFonts w:hint="eastAsia"/>
            <w:rtl/>
          </w:rPr>
          <w:t>חקירה</w:t>
        </w:r>
        <w:r w:rsidRPr="003C40C8">
          <w:rPr>
            <w:rStyle w:val="Hyperlink"/>
            <w:rtl/>
          </w:rPr>
          <w:t xml:space="preserve"> </w:t>
        </w:r>
        <w:r w:rsidRPr="003C40C8">
          <w:rPr>
            <w:rStyle w:val="Hyperlink"/>
            <w:rFonts w:hint="eastAsia"/>
            <w:rtl/>
          </w:rPr>
          <w:t>בינלאומיות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Toc456027337 \h</w:instrText>
        </w:r>
        <w:r>
          <w:rPr>
            <w:webHidden/>
            <w:rtl/>
          </w:rPr>
          <w:instrText xml:space="preserve"> </w:instrText>
        </w:r>
        <w:r>
          <w:rPr>
            <w:webHidden/>
            <w:rtl/>
          </w:rPr>
        </w:r>
        <w:r>
          <w:rPr>
            <w:webHidden/>
            <w:rtl/>
          </w:rPr>
          <w:fldChar w:fldCharType="separate"/>
        </w:r>
        <w:r>
          <w:rPr>
            <w:webHidden/>
            <w:rtl/>
          </w:rPr>
          <w:t>102</w:t>
        </w:r>
        <w:r>
          <w:rPr>
            <w:webHidden/>
            <w:rtl/>
          </w:rPr>
          <w:fldChar w:fldCharType="end"/>
        </w:r>
      </w:hyperlink>
    </w:p>
    <w:p w:rsidR="00FA11B8" w:rsidRDefault="00FA11B8">
      <w:pPr>
        <w:pStyle w:val="TOC2"/>
        <w:tabs>
          <w:tab w:val="left" w:pos="1783"/>
        </w:tabs>
        <w:rPr>
          <w:rFonts w:eastAsiaTheme="minorEastAsia" w:cstheme="minorBidi"/>
          <w:b w:val="0"/>
          <w:bCs w:val="0"/>
          <w:rtl/>
        </w:rPr>
      </w:pPr>
      <w:hyperlink w:anchor="_Toc456027338" w:history="1">
        <w:r w:rsidRPr="003C40C8">
          <w:rPr>
            <w:rStyle w:val="Hyperlink"/>
            <w:rtl/>
          </w:rPr>
          <w:t>2.</w:t>
        </w:r>
        <w:r>
          <w:rPr>
            <w:rFonts w:eastAsiaTheme="minorEastAsia" w:cstheme="minorBidi"/>
            <w:b w:val="0"/>
            <w:bCs w:val="0"/>
            <w:rtl/>
          </w:rPr>
          <w:tab/>
        </w:r>
        <w:r w:rsidRPr="003C40C8">
          <w:rPr>
            <w:rStyle w:val="Hyperlink"/>
            <w:rFonts w:hint="eastAsia"/>
            <w:rtl/>
          </w:rPr>
          <w:t>מתודולוגיה</w:t>
        </w:r>
        <w:r w:rsidRPr="003C40C8">
          <w:rPr>
            <w:rStyle w:val="Hyperlink"/>
            <w:rtl/>
          </w:rPr>
          <w:t xml:space="preserve"> </w:t>
        </w:r>
        <w:r w:rsidRPr="003C40C8">
          <w:rPr>
            <w:rStyle w:val="Hyperlink"/>
            <w:rFonts w:hint="eastAsia"/>
            <w:rtl/>
          </w:rPr>
          <w:t>מיוחדת</w:t>
        </w:r>
        <w:r w:rsidRPr="003C40C8">
          <w:rPr>
            <w:rStyle w:val="Hyperlink"/>
            <w:rtl/>
          </w:rPr>
          <w:t xml:space="preserve"> </w:t>
        </w:r>
        <w:r w:rsidRPr="003C40C8">
          <w:rPr>
            <w:rStyle w:val="Hyperlink"/>
            <w:rFonts w:hint="eastAsia"/>
            <w:rtl/>
          </w:rPr>
          <w:t>לבחינת</w:t>
        </w:r>
        <w:r w:rsidRPr="003C40C8">
          <w:rPr>
            <w:rStyle w:val="Hyperlink"/>
            <w:rtl/>
          </w:rPr>
          <w:t xml:space="preserve"> </w:t>
        </w:r>
        <w:r w:rsidRPr="003C40C8">
          <w:rPr>
            <w:rStyle w:val="Hyperlink"/>
            <w:rFonts w:hint="eastAsia"/>
            <w:rtl/>
          </w:rPr>
          <w:t>מבצעים</w:t>
        </w:r>
        <w:r w:rsidRPr="003C40C8">
          <w:rPr>
            <w:rStyle w:val="Hyperlink"/>
            <w:rtl/>
          </w:rPr>
          <w:t xml:space="preserve"> </w:t>
        </w:r>
        <w:r w:rsidRPr="003C40C8">
          <w:rPr>
            <w:rStyle w:val="Hyperlink"/>
            <w:rFonts w:hint="eastAsia"/>
            <w:rtl/>
          </w:rPr>
          <w:t>צבאיים</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Toc456027338 \h</w:instrText>
        </w:r>
        <w:r>
          <w:rPr>
            <w:webHidden/>
            <w:rtl/>
          </w:rPr>
          <w:instrText xml:space="preserve"> </w:instrText>
        </w:r>
        <w:r>
          <w:rPr>
            <w:webHidden/>
            <w:rtl/>
          </w:rPr>
        </w:r>
        <w:r>
          <w:rPr>
            <w:webHidden/>
            <w:rtl/>
          </w:rPr>
          <w:fldChar w:fldCharType="separate"/>
        </w:r>
        <w:r>
          <w:rPr>
            <w:webHidden/>
            <w:rtl/>
          </w:rPr>
          <w:t>107</w:t>
        </w:r>
        <w:r>
          <w:rPr>
            <w:webHidden/>
            <w:rtl/>
          </w:rPr>
          <w:fldChar w:fldCharType="end"/>
        </w:r>
      </w:hyperlink>
    </w:p>
    <w:p w:rsidR="00FA11B8" w:rsidRDefault="00FA11B8">
      <w:pPr>
        <w:pStyle w:val="TOC1"/>
        <w:rPr>
          <w:rFonts w:eastAsiaTheme="minorEastAsia" w:cstheme="minorBidi"/>
          <w:b w:val="0"/>
          <w:bCs w:val="0"/>
          <w:sz w:val="22"/>
          <w:szCs w:val="22"/>
          <w:rtl/>
        </w:rPr>
      </w:pPr>
      <w:hyperlink w:anchor="_Toc456027339" w:history="1">
        <w:r w:rsidRPr="003C40C8">
          <w:rPr>
            <w:rStyle w:val="Hyperlink"/>
            <w:rFonts w:hint="eastAsia"/>
            <w:rtl/>
          </w:rPr>
          <w:t>פרק</w:t>
        </w:r>
        <w:r w:rsidRPr="003C40C8">
          <w:rPr>
            <w:rStyle w:val="Hyperlink"/>
            <w:rtl/>
          </w:rPr>
          <w:t xml:space="preserve"> </w:t>
        </w:r>
        <w:r w:rsidRPr="003C40C8">
          <w:rPr>
            <w:rStyle w:val="Hyperlink"/>
            <w:rFonts w:hint="eastAsia"/>
            <w:rtl/>
          </w:rPr>
          <w:t>ו</w:t>
        </w:r>
        <w:r w:rsidRPr="003C40C8">
          <w:rPr>
            <w:rStyle w:val="Hyperlink"/>
            <w:rtl/>
          </w:rPr>
          <w:t xml:space="preserve">' - </w:t>
        </w:r>
        <w:r w:rsidRPr="003C40C8">
          <w:rPr>
            <w:rStyle w:val="Hyperlink"/>
            <w:rFonts w:hint="eastAsia"/>
            <w:rtl/>
          </w:rPr>
          <w:t>מנעד</w:t>
        </w:r>
        <w:r w:rsidRPr="003C40C8">
          <w:rPr>
            <w:rStyle w:val="Hyperlink"/>
            <w:rtl/>
          </w:rPr>
          <w:t xml:space="preserve"> </w:t>
        </w:r>
        <w:r w:rsidRPr="003C40C8">
          <w:rPr>
            <w:rStyle w:val="Hyperlink"/>
            <w:rFonts w:hint="eastAsia"/>
            <w:rtl/>
          </w:rPr>
          <w:t>האפשרויות</w:t>
        </w:r>
        <w:r w:rsidRPr="003C40C8">
          <w:rPr>
            <w:rStyle w:val="Hyperlink"/>
            <w:rtl/>
          </w:rPr>
          <w:t xml:space="preserve"> </w:t>
        </w:r>
        <w:r w:rsidRPr="003C40C8">
          <w:rPr>
            <w:rStyle w:val="Hyperlink"/>
            <w:rFonts w:hint="eastAsia"/>
            <w:rtl/>
          </w:rPr>
          <w:t>לשיתוף</w:t>
        </w:r>
        <w:r w:rsidRPr="003C40C8">
          <w:rPr>
            <w:rStyle w:val="Hyperlink"/>
            <w:rtl/>
          </w:rPr>
          <w:t xml:space="preserve"> </w:t>
        </w:r>
        <w:r w:rsidRPr="003C40C8">
          <w:rPr>
            <w:rStyle w:val="Hyperlink"/>
            <w:rFonts w:hint="eastAsia"/>
            <w:rtl/>
          </w:rPr>
          <w:t>פעולה</w:t>
        </w:r>
        <w:r w:rsidRPr="003C40C8">
          <w:rPr>
            <w:rStyle w:val="Hyperlink"/>
            <w:rtl/>
          </w:rPr>
          <w:t xml:space="preserve"> </w:t>
        </w:r>
        <w:r w:rsidRPr="003C40C8">
          <w:rPr>
            <w:rStyle w:val="Hyperlink"/>
            <w:rFonts w:hint="eastAsia"/>
            <w:rtl/>
          </w:rPr>
          <w:t>עם</w:t>
        </w:r>
        <w:r w:rsidRPr="003C40C8">
          <w:rPr>
            <w:rStyle w:val="Hyperlink"/>
            <w:rtl/>
          </w:rPr>
          <w:t xml:space="preserve"> </w:t>
        </w:r>
        <w:r w:rsidRPr="003C40C8">
          <w:rPr>
            <w:rStyle w:val="Hyperlink"/>
            <w:rFonts w:hint="eastAsia"/>
            <w:rtl/>
          </w:rPr>
          <w:t>ועדת</w:t>
        </w:r>
        <w:r w:rsidRPr="003C40C8">
          <w:rPr>
            <w:rStyle w:val="Hyperlink"/>
            <w:rtl/>
          </w:rPr>
          <w:t xml:space="preserve"> </w:t>
        </w:r>
        <w:r w:rsidRPr="003C40C8">
          <w:rPr>
            <w:rStyle w:val="Hyperlink"/>
            <w:rFonts w:hint="eastAsia"/>
            <w:rtl/>
          </w:rPr>
          <w:t>חקירה</w:t>
        </w:r>
        <w:r w:rsidRPr="003C40C8">
          <w:rPr>
            <w:rStyle w:val="Hyperlink"/>
            <w:rtl/>
          </w:rPr>
          <w:t xml:space="preserve"> </w:t>
        </w:r>
        <w:r w:rsidRPr="003C40C8">
          <w:rPr>
            <w:rStyle w:val="Hyperlink"/>
            <w:rFonts w:hint="eastAsia"/>
            <w:rtl/>
          </w:rPr>
          <w:t>בינלאומית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Toc456027339 \h</w:instrText>
        </w:r>
        <w:r>
          <w:rPr>
            <w:webHidden/>
            <w:rtl/>
          </w:rPr>
          <w:instrText xml:space="preserve"> </w:instrText>
        </w:r>
        <w:r>
          <w:rPr>
            <w:webHidden/>
            <w:rtl/>
          </w:rPr>
        </w:r>
        <w:r>
          <w:rPr>
            <w:webHidden/>
            <w:rtl/>
          </w:rPr>
          <w:fldChar w:fldCharType="separate"/>
        </w:r>
        <w:r>
          <w:rPr>
            <w:webHidden/>
            <w:rtl/>
          </w:rPr>
          <w:t>109</w:t>
        </w:r>
        <w:r>
          <w:rPr>
            <w:webHidden/>
            <w:rtl/>
          </w:rPr>
          <w:fldChar w:fldCharType="end"/>
        </w:r>
      </w:hyperlink>
    </w:p>
    <w:p w:rsidR="00FA11B8" w:rsidRDefault="00FA11B8">
      <w:pPr>
        <w:pStyle w:val="TOC2"/>
        <w:tabs>
          <w:tab w:val="left" w:pos="1783"/>
        </w:tabs>
        <w:rPr>
          <w:rFonts w:eastAsiaTheme="minorEastAsia" w:cstheme="minorBidi"/>
          <w:b w:val="0"/>
          <w:bCs w:val="0"/>
          <w:rtl/>
        </w:rPr>
      </w:pPr>
      <w:hyperlink w:anchor="_Toc456027340" w:history="1">
        <w:r w:rsidRPr="003C40C8">
          <w:rPr>
            <w:rStyle w:val="Hyperlink"/>
            <w:rtl/>
          </w:rPr>
          <w:t>1.</w:t>
        </w:r>
        <w:r>
          <w:rPr>
            <w:rFonts w:eastAsiaTheme="minorEastAsia" w:cstheme="minorBidi"/>
            <w:b w:val="0"/>
            <w:bCs w:val="0"/>
            <w:rtl/>
          </w:rPr>
          <w:tab/>
        </w:r>
        <w:r w:rsidRPr="003C40C8">
          <w:rPr>
            <w:rStyle w:val="Hyperlink"/>
            <w:rFonts w:hint="eastAsia"/>
            <w:rtl/>
          </w:rPr>
          <w:t>שלב</w:t>
        </w:r>
        <w:r w:rsidRPr="003C40C8">
          <w:rPr>
            <w:rStyle w:val="Hyperlink"/>
            <w:rtl/>
          </w:rPr>
          <w:t xml:space="preserve"> </w:t>
        </w:r>
        <w:r w:rsidRPr="003C40C8">
          <w:rPr>
            <w:rStyle w:val="Hyperlink"/>
            <w:rFonts w:hint="eastAsia"/>
            <w:rtl/>
          </w:rPr>
          <w:t>מקדמי</w:t>
        </w:r>
        <w:r w:rsidRPr="003C40C8">
          <w:rPr>
            <w:rStyle w:val="Hyperlink"/>
            <w:rtl/>
          </w:rPr>
          <w:t xml:space="preserve"> – </w:t>
        </w:r>
        <w:r w:rsidRPr="003C40C8">
          <w:rPr>
            <w:rStyle w:val="Hyperlink"/>
            <w:rFonts w:hint="eastAsia"/>
            <w:rtl/>
          </w:rPr>
          <w:t>מעורבות</w:t>
        </w:r>
        <w:r w:rsidRPr="003C40C8">
          <w:rPr>
            <w:rStyle w:val="Hyperlink"/>
            <w:rtl/>
          </w:rPr>
          <w:t xml:space="preserve"> </w:t>
        </w:r>
        <w:r w:rsidRPr="003C40C8">
          <w:rPr>
            <w:rStyle w:val="Hyperlink"/>
            <w:rFonts w:hint="eastAsia"/>
            <w:rtl/>
          </w:rPr>
          <w:t>בקביעת</w:t>
        </w:r>
        <w:r w:rsidRPr="003C40C8">
          <w:rPr>
            <w:rStyle w:val="Hyperlink"/>
            <w:rtl/>
          </w:rPr>
          <w:t xml:space="preserve"> </w:t>
        </w:r>
        <w:r w:rsidRPr="003C40C8">
          <w:rPr>
            <w:rStyle w:val="Hyperlink"/>
            <w:rFonts w:hint="eastAsia"/>
            <w:rtl/>
          </w:rPr>
          <w:t>כללים</w:t>
        </w:r>
        <w:r w:rsidRPr="003C40C8">
          <w:rPr>
            <w:rStyle w:val="Hyperlink"/>
            <w:rtl/>
          </w:rPr>
          <w:t xml:space="preserve"> </w:t>
        </w:r>
        <w:r w:rsidRPr="003C40C8">
          <w:rPr>
            <w:rStyle w:val="Hyperlink"/>
            <w:rFonts w:hint="eastAsia"/>
            <w:rtl/>
          </w:rPr>
          <w:t>לעבודת</w:t>
        </w:r>
        <w:r w:rsidRPr="003C40C8">
          <w:rPr>
            <w:rStyle w:val="Hyperlink"/>
            <w:rtl/>
          </w:rPr>
          <w:t xml:space="preserve"> </w:t>
        </w:r>
        <w:r w:rsidRPr="003C40C8">
          <w:rPr>
            <w:rStyle w:val="Hyperlink"/>
            <w:rFonts w:hint="eastAsia"/>
            <w:rtl/>
          </w:rPr>
          <w:t>הוועדה</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Toc456027340 \h</w:instrText>
        </w:r>
        <w:r>
          <w:rPr>
            <w:webHidden/>
            <w:rtl/>
          </w:rPr>
          <w:instrText xml:space="preserve"> </w:instrText>
        </w:r>
        <w:r>
          <w:rPr>
            <w:webHidden/>
            <w:rtl/>
          </w:rPr>
        </w:r>
        <w:r>
          <w:rPr>
            <w:webHidden/>
            <w:rtl/>
          </w:rPr>
          <w:fldChar w:fldCharType="separate"/>
        </w:r>
        <w:r>
          <w:rPr>
            <w:webHidden/>
            <w:rtl/>
          </w:rPr>
          <w:t>109</w:t>
        </w:r>
        <w:r>
          <w:rPr>
            <w:webHidden/>
            <w:rtl/>
          </w:rPr>
          <w:fldChar w:fldCharType="end"/>
        </w:r>
      </w:hyperlink>
    </w:p>
    <w:p w:rsidR="00FA11B8" w:rsidRDefault="00FA11B8">
      <w:pPr>
        <w:pStyle w:val="TOC2"/>
        <w:tabs>
          <w:tab w:val="left" w:pos="1783"/>
        </w:tabs>
        <w:rPr>
          <w:rFonts w:eastAsiaTheme="minorEastAsia" w:cstheme="minorBidi"/>
          <w:b w:val="0"/>
          <w:bCs w:val="0"/>
          <w:rtl/>
        </w:rPr>
      </w:pPr>
      <w:hyperlink w:anchor="_Toc456027341" w:history="1">
        <w:r w:rsidRPr="003C40C8">
          <w:rPr>
            <w:rStyle w:val="Hyperlink"/>
            <w:rtl/>
          </w:rPr>
          <w:t>2.</w:t>
        </w:r>
        <w:r>
          <w:rPr>
            <w:rFonts w:eastAsiaTheme="minorEastAsia" w:cstheme="minorBidi"/>
            <w:b w:val="0"/>
            <w:bCs w:val="0"/>
            <w:rtl/>
          </w:rPr>
          <w:tab/>
        </w:r>
        <w:r w:rsidRPr="003C40C8">
          <w:rPr>
            <w:rStyle w:val="Hyperlink"/>
            <w:rFonts w:hint="eastAsia"/>
            <w:rtl/>
          </w:rPr>
          <w:t>שיתוף</w:t>
        </w:r>
        <w:r w:rsidRPr="003C40C8">
          <w:rPr>
            <w:rStyle w:val="Hyperlink"/>
            <w:rtl/>
          </w:rPr>
          <w:t xml:space="preserve"> </w:t>
        </w:r>
        <w:r w:rsidRPr="003C40C8">
          <w:rPr>
            <w:rStyle w:val="Hyperlink"/>
            <w:rFonts w:hint="eastAsia"/>
            <w:rtl/>
          </w:rPr>
          <w:t>פעולה</w:t>
        </w:r>
        <w:r w:rsidRPr="003C40C8">
          <w:rPr>
            <w:rStyle w:val="Hyperlink"/>
            <w:rtl/>
          </w:rPr>
          <w:t xml:space="preserve"> </w:t>
        </w:r>
        <w:r w:rsidRPr="003C40C8">
          <w:rPr>
            <w:rStyle w:val="Hyperlink"/>
            <w:rFonts w:hint="eastAsia"/>
            <w:rtl/>
          </w:rPr>
          <w:t>מלא</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Toc456027341 \h</w:instrText>
        </w:r>
        <w:r>
          <w:rPr>
            <w:webHidden/>
            <w:rtl/>
          </w:rPr>
          <w:instrText xml:space="preserve"> </w:instrText>
        </w:r>
        <w:r>
          <w:rPr>
            <w:webHidden/>
            <w:rtl/>
          </w:rPr>
        </w:r>
        <w:r>
          <w:rPr>
            <w:webHidden/>
            <w:rtl/>
          </w:rPr>
          <w:fldChar w:fldCharType="separate"/>
        </w:r>
        <w:r>
          <w:rPr>
            <w:webHidden/>
            <w:rtl/>
          </w:rPr>
          <w:t>111</w:t>
        </w:r>
        <w:r>
          <w:rPr>
            <w:webHidden/>
            <w:rtl/>
          </w:rPr>
          <w:fldChar w:fldCharType="end"/>
        </w:r>
      </w:hyperlink>
    </w:p>
    <w:p w:rsidR="00FA11B8" w:rsidRDefault="00FA11B8">
      <w:pPr>
        <w:pStyle w:val="TOC2"/>
        <w:tabs>
          <w:tab w:val="left" w:pos="1783"/>
        </w:tabs>
        <w:rPr>
          <w:rFonts w:eastAsiaTheme="minorEastAsia" w:cstheme="minorBidi"/>
          <w:b w:val="0"/>
          <w:bCs w:val="0"/>
          <w:rtl/>
        </w:rPr>
      </w:pPr>
      <w:hyperlink w:anchor="_Toc456027342" w:history="1">
        <w:r w:rsidRPr="003C40C8">
          <w:rPr>
            <w:rStyle w:val="Hyperlink"/>
            <w:rtl/>
          </w:rPr>
          <w:t>3.</w:t>
        </w:r>
        <w:r>
          <w:rPr>
            <w:rFonts w:eastAsiaTheme="minorEastAsia" w:cstheme="minorBidi"/>
            <w:b w:val="0"/>
            <w:bCs w:val="0"/>
            <w:rtl/>
          </w:rPr>
          <w:tab/>
        </w:r>
        <w:r w:rsidRPr="003C40C8">
          <w:rPr>
            <w:rStyle w:val="Hyperlink"/>
            <w:rFonts w:hint="eastAsia"/>
            <w:rtl/>
          </w:rPr>
          <w:t>שיתוף</w:t>
        </w:r>
        <w:r w:rsidRPr="003C40C8">
          <w:rPr>
            <w:rStyle w:val="Hyperlink"/>
            <w:rtl/>
          </w:rPr>
          <w:t xml:space="preserve"> </w:t>
        </w:r>
        <w:r w:rsidRPr="003C40C8">
          <w:rPr>
            <w:rStyle w:val="Hyperlink"/>
            <w:rFonts w:hint="eastAsia"/>
            <w:rtl/>
          </w:rPr>
          <w:t>פעולה</w:t>
        </w:r>
        <w:r w:rsidRPr="003C40C8">
          <w:rPr>
            <w:rStyle w:val="Hyperlink"/>
            <w:rtl/>
          </w:rPr>
          <w:t xml:space="preserve"> </w:t>
        </w:r>
        <w:r w:rsidRPr="003C40C8">
          <w:rPr>
            <w:rStyle w:val="Hyperlink"/>
            <w:rFonts w:hint="eastAsia"/>
            <w:rtl/>
          </w:rPr>
          <w:t>חלקי</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Toc456027342 \h</w:instrText>
        </w:r>
        <w:r>
          <w:rPr>
            <w:webHidden/>
            <w:rtl/>
          </w:rPr>
          <w:instrText xml:space="preserve"> </w:instrText>
        </w:r>
        <w:r>
          <w:rPr>
            <w:webHidden/>
            <w:rtl/>
          </w:rPr>
        </w:r>
        <w:r>
          <w:rPr>
            <w:webHidden/>
            <w:rtl/>
          </w:rPr>
          <w:fldChar w:fldCharType="separate"/>
        </w:r>
        <w:r>
          <w:rPr>
            <w:webHidden/>
            <w:rtl/>
          </w:rPr>
          <w:t>111</w:t>
        </w:r>
        <w:r>
          <w:rPr>
            <w:webHidden/>
            <w:rtl/>
          </w:rPr>
          <w:fldChar w:fldCharType="end"/>
        </w:r>
      </w:hyperlink>
    </w:p>
    <w:p w:rsidR="00FA11B8" w:rsidRDefault="00FA11B8">
      <w:pPr>
        <w:pStyle w:val="TOC2"/>
        <w:tabs>
          <w:tab w:val="left" w:pos="1783"/>
        </w:tabs>
        <w:rPr>
          <w:rFonts w:eastAsiaTheme="minorEastAsia" w:cstheme="minorBidi"/>
          <w:b w:val="0"/>
          <w:bCs w:val="0"/>
          <w:rtl/>
        </w:rPr>
      </w:pPr>
      <w:hyperlink w:anchor="_Toc456027343" w:history="1">
        <w:r w:rsidRPr="003C40C8">
          <w:rPr>
            <w:rStyle w:val="Hyperlink"/>
            <w:rtl/>
          </w:rPr>
          <w:t>4.</w:t>
        </w:r>
        <w:r>
          <w:rPr>
            <w:rFonts w:eastAsiaTheme="minorEastAsia" w:cstheme="minorBidi"/>
            <w:b w:val="0"/>
            <w:bCs w:val="0"/>
            <w:rtl/>
          </w:rPr>
          <w:tab/>
        </w:r>
        <w:r w:rsidRPr="003C40C8">
          <w:rPr>
            <w:rStyle w:val="Hyperlink"/>
            <w:rFonts w:hint="eastAsia"/>
            <w:rtl/>
          </w:rPr>
          <w:t>שיתוף</w:t>
        </w:r>
        <w:r w:rsidRPr="003C40C8">
          <w:rPr>
            <w:rStyle w:val="Hyperlink"/>
            <w:rtl/>
          </w:rPr>
          <w:t xml:space="preserve"> </w:t>
        </w:r>
        <w:r w:rsidRPr="003C40C8">
          <w:rPr>
            <w:rStyle w:val="Hyperlink"/>
            <w:rFonts w:hint="eastAsia"/>
            <w:rtl/>
          </w:rPr>
          <w:t>פעולה</w:t>
        </w:r>
        <w:r w:rsidRPr="003C40C8">
          <w:rPr>
            <w:rStyle w:val="Hyperlink"/>
            <w:rtl/>
          </w:rPr>
          <w:t xml:space="preserve"> </w:t>
        </w:r>
        <w:r w:rsidRPr="003C40C8">
          <w:rPr>
            <w:rStyle w:val="Hyperlink"/>
            <w:rFonts w:hint="eastAsia"/>
            <w:rtl/>
          </w:rPr>
          <w:t>דיסקרטי</w:t>
        </w:r>
        <w:r w:rsidRPr="003C40C8">
          <w:rPr>
            <w:rStyle w:val="Hyperlink"/>
            <w:rtl/>
          </w:rPr>
          <w:t>, "</w:t>
        </w:r>
        <w:r w:rsidRPr="003C40C8">
          <w:rPr>
            <w:rStyle w:val="Hyperlink"/>
            <w:rFonts w:hint="eastAsia"/>
            <w:rtl/>
          </w:rPr>
          <w:t>מאחורי</w:t>
        </w:r>
        <w:r w:rsidRPr="003C40C8">
          <w:rPr>
            <w:rStyle w:val="Hyperlink"/>
            <w:rtl/>
          </w:rPr>
          <w:t xml:space="preserve"> </w:t>
        </w:r>
        <w:r w:rsidRPr="003C40C8">
          <w:rPr>
            <w:rStyle w:val="Hyperlink"/>
            <w:rFonts w:hint="eastAsia"/>
            <w:rtl/>
          </w:rPr>
          <w:t>הקלעים</w:t>
        </w:r>
        <w:r w:rsidRPr="003C40C8">
          <w:rPr>
            <w:rStyle w:val="Hyperlink"/>
            <w:rtl/>
          </w:rPr>
          <w:t>"</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Toc456027343 \h</w:instrText>
        </w:r>
        <w:r>
          <w:rPr>
            <w:webHidden/>
            <w:rtl/>
          </w:rPr>
          <w:instrText xml:space="preserve"> </w:instrText>
        </w:r>
        <w:r>
          <w:rPr>
            <w:webHidden/>
            <w:rtl/>
          </w:rPr>
        </w:r>
        <w:r>
          <w:rPr>
            <w:webHidden/>
            <w:rtl/>
          </w:rPr>
          <w:fldChar w:fldCharType="separate"/>
        </w:r>
        <w:r>
          <w:rPr>
            <w:webHidden/>
            <w:rtl/>
          </w:rPr>
          <w:t>112</w:t>
        </w:r>
        <w:r>
          <w:rPr>
            <w:webHidden/>
            <w:rtl/>
          </w:rPr>
          <w:fldChar w:fldCharType="end"/>
        </w:r>
      </w:hyperlink>
    </w:p>
    <w:p w:rsidR="00FA11B8" w:rsidRDefault="00FA11B8">
      <w:pPr>
        <w:pStyle w:val="TOC2"/>
        <w:tabs>
          <w:tab w:val="left" w:pos="1783"/>
        </w:tabs>
        <w:rPr>
          <w:rFonts w:eastAsiaTheme="minorEastAsia" w:cstheme="minorBidi"/>
          <w:b w:val="0"/>
          <w:bCs w:val="0"/>
          <w:rtl/>
        </w:rPr>
      </w:pPr>
      <w:hyperlink w:anchor="_Toc456027344" w:history="1">
        <w:r w:rsidRPr="003C40C8">
          <w:rPr>
            <w:rStyle w:val="Hyperlink"/>
            <w:rtl/>
          </w:rPr>
          <w:t>5.</w:t>
        </w:r>
        <w:r>
          <w:rPr>
            <w:rFonts w:eastAsiaTheme="minorEastAsia" w:cstheme="minorBidi"/>
            <w:b w:val="0"/>
            <w:bCs w:val="0"/>
            <w:rtl/>
          </w:rPr>
          <w:tab/>
        </w:r>
        <w:r w:rsidRPr="003C40C8">
          <w:rPr>
            <w:rStyle w:val="Hyperlink"/>
            <w:rFonts w:hint="eastAsia"/>
            <w:rtl/>
          </w:rPr>
          <w:t>העברת</w:t>
        </w:r>
        <w:r w:rsidRPr="003C40C8">
          <w:rPr>
            <w:rStyle w:val="Hyperlink"/>
            <w:rtl/>
          </w:rPr>
          <w:t xml:space="preserve"> </w:t>
        </w:r>
        <w:r w:rsidRPr="003C40C8">
          <w:rPr>
            <w:rStyle w:val="Hyperlink"/>
            <w:rFonts w:hint="eastAsia"/>
            <w:rtl/>
          </w:rPr>
          <w:t>מידע</w:t>
        </w:r>
        <w:r w:rsidRPr="003C40C8">
          <w:rPr>
            <w:rStyle w:val="Hyperlink"/>
            <w:rtl/>
          </w:rPr>
          <w:t xml:space="preserve"> </w:t>
        </w:r>
        <w:r w:rsidRPr="003C40C8">
          <w:rPr>
            <w:rStyle w:val="Hyperlink"/>
            <w:rFonts w:hint="eastAsia"/>
            <w:rtl/>
          </w:rPr>
          <w:t>לוועדת</w:t>
        </w:r>
        <w:r w:rsidRPr="003C40C8">
          <w:rPr>
            <w:rStyle w:val="Hyperlink"/>
            <w:rtl/>
          </w:rPr>
          <w:t xml:space="preserve"> </w:t>
        </w:r>
        <w:r w:rsidRPr="003C40C8">
          <w:rPr>
            <w:rStyle w:val="Hyperlink"/>
            <w:rFonts w:hint="eastAsia"/>
            <w:rtl/>
          </w:rPr>
          <w:t>החקירה</w:t>
        </w:r>
        <w:r w:rsidRPr="003C40C8">
          <w:rPr>
            <w:rStyle w:val="Hyperlink"/>
            <w:rtl/>
          </w:rPr>
          <w:t xml:space="preserve"> </w:t>
        </w:r>
        <w:r w:rsidRPr="003C40C8">
          <w:rPr>
            <w:rStyle w:val="Hyperlink"/>
            <w:rFonts w:hint="eastAsia"/>
            <w:rtl/>
          </w:rPr>
          <w:t>דרך</w:t>
        </w:r>
        <w:r w:rsidRPr="003C40C8">
          <w:rPr>
            <w:rStyle w:val="Hyperlink"/>
            <w:rtl/>
          </w:rPr>
          <w:t xml:space="preserve"> </w:t>
        </w:r>
        <w:r w:rsidRPr="003C40C8">
          <w:rPr>
            <w:rStyle w:val="Hyperlink"/>
            <w:rFonts w:hint="eastAsia"/>
            <w:rtl/>
          </w:rPr>
          <w:t>גופים</w:t>
        </w:r>
        <w:r w:rsidRPr="003C40C8">
          <w:rPr>
            <w:rStyle w:val="Hyperlink"/>
            <w:rtl/>
          </w:rPr>
          <w:t xml:space="preserve"> </w:t>
        </w:r>
        <w:r w:rsidRPr="003C40C8">
          <w:rPr>
            <w:rStyle w:val="Hyperlink"/>
            <w:rFonts w:hint="eastAsia"/>
            <w:rtl/>
          </w:rPr>
          <w:t>שלישיים</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Toc456027344 \h</w:instrText>
        </w:r>
        <w:r>
          <w:rPr>
            <w:webHidden/>
            <w:rtl/>
          </w:rPr>
          <w:instrText xml:space="preserve"> </w:instrText>
        </w:r>
        <w:r>
          <w:rPr>
            <w:webHidden/>
            <w:rtl/>
          </w:rPr>
        </w:r>
        <w:r>
          <w:rPr>
            <w:webHidden/>
            <w:rtl/>
          </w:rPr>
          <w:fldChar w:fldCharType="separate"/>
        </w:r>
        <w:r>
          <w:rPr>
            <w:webHidden/>
            <w:rtl/>
          </w:rPr>
          <w:t>113</w:t>
        </w:r>
        <w:r>
          <w:rPr>
            <w:webHidden/>
            <w:rtl/>
          </w:rPr>
          <w:fldChar w:fldCharType="end"/>
        </w:r>
      </w:hyperlink>
    </w:p>
    <w:p w:rsidR="00FA11B8" w:rsidRDefault="00FA11B8">
      <w:pPr>
        <w:pStyle w:val="TOC2"/>
        <w:tabs>
          <w:tab w:val="left" w:pos="1783"/>
        </w:tabs>
        <w:rPr>
          <w:rFonts w:eastAsiaTheme="minorEastAsia" w:cstheme="minorBidi"/>
          <w:b w:val="0"/>
          <w:bCs w:val="0"/>
          <w:rtl/>
        </w:rPr>
      </w:pPr>
      <w:hyperlink w:anchor="_Toc456027345" w:history="1">
        <w:r w:rsidRPr="003C40C8">
          <w:rPr>
            <w:rStyle w:val="Hyperlink"/>
            <w:rtl/>
          </w:rPr>
          <w:t>6.</w:t>
        </w:r>
        <w:r>
          <w:rPr>
            <w:rFonts w:eastAsiaTheme="minorEastAsia" w:cstheme="minorBidi"/>
            <w:b w:val="0"/>
            <w:bCs w:val="0"/>
            <w:rtl/>
          </w:rPr>
          <w:tab/>
        </w:r>
        <w:r w:rsidRPr="003C40C8">
          <w:rPr>
            <w:rStyle w:val="Hyperlink"/>
            <w:rFonts w:hint="eastAsia"/>
            <w:rtl/>
          </w:rPr>
          <w:t>הערכת</w:t>
        </w:r>
        <w:r w:rsidRPr="003C40C8">
          <w:rPr>
            <w:rStyle w:val="Hyperlink"/>
            <w:rtl/>
          </w:rPr>
          <w:t xml:space="preserve"> </w:t>
        </w:r>
        <w:r w:rsidRPr="003C40C8">
          <w:rPr>
            <w:rStyle w:val="Hyperlink"/>
            <w:rFonts w:hint="eastAsia"/>
            <w:rtl/>
          </w:rPr>
          <w:t>הקשר</w:t>
        </w:r>
        <w:r w:rsidRPr="003C40C8">
          <w:rPr>
            <w:rStyle w:val="Hyperlink"/>
            <w:rtl/>
          </w:rPr>
          <w:t xml:space="preserve"> </w:t>
        </w:r>
        <w:r w:rsidRPr="003C40C8">
          <w:rPr>
            <w:rStyle w:val="Hyperlink"/>
            <w:rFonts w:hint="eastAsia"/>
            <w:rtl/>
          </w:rPr>
          <w:t>בין</w:t>
        </w:r>
        <w:r w:rsidRPr="003C40C8">
          <w:rPr>
            <w:rStyle w:val="Hyperlink"/>
            <w:rtl/>
          </w:rPr>
          <w:t xml:space="preserve"> </w:t>
        </w:r>
        <w:r w:rsidRPr="003C40C8">
          <w:rPr>
            <w:rStyle w:val="Hyperlink"/>
            <w:rFonts w:hint="eastAsia"/>
            <w:rtl/>
          </w:rPr>
          <w:t>שיתוף</w:t>
        </w:r>
        <w:r w:rsidRPr="003C40C8">
          <w:rPr>
            <w:rStyle w:val="Hyperlink"/>
            <w:rtl/>
          </w:rPr>
          <w:t xml:space="preserve"> </w:t>
        </w:r>
        <w:r w:rsidRPr="003C40C8">
          <w:rPr>
            <w:rStyle w:val="Hyperlink"/>
            <w:rFonts w:hint="eastAsia"/>
            <w:rtl/>
          </w:rPr>
          <w:t>הפעולה</w:t>
        </w:r>
        <w:r w:rsidRPr="003C40C8">
          <w:rPr>
            <w:rStyle w:val="Hyperlink"/>
            <w:rtl/>
          </w:rPr>
          <w:t xml:space="preserve"> </w:t>
        </w:r>
        <w:r w:rsidRPr="003C40C8">
          <w:rPr>
            <w:rStyle w:val="Hyperlink"/>
            <w:rFonts w:hint="eastAsia"/>
            <w:rtl/>
          </w:rPr>
          <w:t>לתוצאות</w:t>
        </w:r>
        <w:r w:rsidRPr="003C40C8">
          <w:rPr>
            <w:rStyle w:val="Hyperlink"/>
            <w:rtl/>
          </w:rPr>
          <w:t xml:space="preserve"> </w:t>
        </w:r>
        <w:r w:rsidRPr="003C40C8">
          <w:rPr>
            <w:rStyle w:val="Hyperlink"/>
            <w:rFonts w:hint="eastAsia"/>
            <w:rtl/>
          </w:rPr>
          <w:t>הבדיקה</w:t>
        </w:r>
        <w:r w:rsidRPr="003C40C8">
          <w:rPr>
            <w:rStyle w:val="Hyperlink"/>
            <w:rtl/>
          </w:rPr>
          <w:t xml:space="preserve"> </w:t>
        </w:r>
        <w:r w:rsidRPr="003C40C8">
          <w:rPr>
            <w:rStyle w:val="Hyperlink"/>
            <w:rFonts w:hint="eastAsia"/>
            <w:rtl/>
          </w:rPr>
          <w:t>של</w:t>
        </w:r>
        <w:r w:rsidRPr="003C40C8">
          <w:rPr>
            <w:rStyle w:val="Hyperlink"/>
            <w:rtl/>
          </w:rPr>
          <w:t xml:space="preserve"> </w:t>
        </w:r>
        <w:r w:rsidRPr="003C40C8">
          <w:rPr>
            <w:rStyle w:val="Hyperlink"/>
            <w:rFonts w:hint="eastAsia"/>
            <w:rtl/>
          </w:rPr>
          <w:t>הוועדה</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Toc456027345 \h</w:instrText>
        </w:r>
        <w:r>
          <w:rPr>
            <w:webHidden/>
            <w:rtl/>
          </w:rPr>
          <w:instrText xml:space="preserve"> </w:instrText>
        </w:r>
        <w:r>
          <w:rPr>
            <w:webHidden/>
            <w:rtl/>
          </w:rPr>
        </w:r>
        <w:r>
          <w:rPr>
            <w:webHidden/>
            <w:rtl/>
          </w:rPr>
          <w:fldChar w:fldCharType="separate"/>
        </w:r>
        <w:r>
          <w:rPr>
            <w:webHidden/>
            <w:rtl/>
          </w:rPr>
          <w:t>115</w:t>
        </w:r>
        <w:r>
          <w:rPr>
            <w:webHidden/>
            <w:rtl/>
          </w:rPr>
          <w:fldChar w:fldCharType="end"/>
        </w:r>
      </w:hyperlink>
    </w:p>
    <w:p w:rsidR="00FA11B8" w:rsidRDefault="00FA11B8">
      <w:pPr>
        <w:pStyle w:val="TOC1"/>
        <w:rPr>
          <w:rFonts w:eastAsiaTheme="minorEastAsia" w:cstheme="minorBidi"/>
          <w:b w:val="0"/>
          <w:bCs w:val="0"/>
          <w:sz w:val="22"/>
          <w:szCs w:val="22"/>
          <w:rtl/>
        </w:rPr>
      </w:pPr>
      <w:hyperlink w:anchor="_Toc456027346" w:history="1">
        <w:r w:rsidRPr="003C40C8">
          <w:rPr>
            <w:rStyle w:val="Hyperlink"/>
            <w:rFonts w:hint="eastAsia"/>
            <w:rtl/>
          </w:rPr>
          <w:t>סיכום</w:t>
        </w:r>
        <w:r w:rsidRPr="003C40C8">
          <w:rPr>
            <w:rStyle w:val="Hyperlink"/>
            <w:rtl/>
          </w:rPr>
          <w:t xml:space="preserve"> </w:t>
        </w:r>
        <w:r w:rsidRPr="003C40C8">
          <w:rPr>
            <w:rStyle w:val="Hyperlink"/>
            <w:rFonts w:hint="eastAsia"/>
            <w:rtl/>
          </w:rPr>
          <w:t>והמלצות</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Toc456027346 \h</w:instrText>
        </w:r>
        <w:r>
          <w:rPr>
            <w:webHidden/>
            <w:rtl/>
          </w:rPr>
          <w:instrText xml:space="preserve"> </w:instrText>
        </w:r>
        <w:r>
          <w:rPr>
            <w:webHidden/>
            <w:rtl/>
          </w:rPr>
        </w:r>
        <w:r>
          <w:rPr>
            <w:webHidden/>
            <w:rtl/>
          </w:rPr>
          <w:fldChar w:fldCharType="separate"/>
        </w:r>
        <w:r>
          <w:rPr>
            <w:webHidden/>
            <w:rtl/>
          </w:rPr>
          <w:t>119</w:t>
        </w:r>
        <w:r>
          <w:rPr>
            <w:webHidden/>
            <w:rtl/>
          </w:rPr>
          <w:fldChar w:fldCharType="end"/>
        </w:r>
      </w:hyperlink>
    </w:p>
    <w:p w:rsidR="00FA11B8" w:rsidRDefault="00FA11B8">
      <w:pPr>
        <w:pStyle w:val="TOC1"/>
        <w:rPr>
          <w:rFonts w:eastAsiaTheme="minorEastAsia" w:cstheme="minorBidi"/>
          <w:b w:val="0"/>
          <w:bCs w:val="0"/>
          <w:sz w:val="22"/>
          <w:szCs w:val="22"/>
          <w:rtl/>
        </w:rPr>
      </w:pPr>
      <w:hyperlink w:anchor="_Toc456027347" w:history="1">
        <w:r w:rsidRPr="003C40C8">
          <w:rPr>
            <w:rStyle w:val="Hyperlink"/>
            <w:rFonts w:hint="eastAsia"/>
            <w:rtl/>
          </w:rPr>
          <w:t>נספח</w:t>
        </w:r>
        <w:r w:rsidRPr="003C40C8">
          <w:rPr>
            <w:rStyle w:val="Hyperlink"/>
            <w:rtl/>
          </w:rPr>
          <w:t xml:space="preserve"> - </w:t>
        </w:r>
        <w:r w:rsidRPr="003C40C8">
          <w:rPr>
            <w:rStyle w:val="Hyperlink"/>
            <w:rFonts w:hint="eastAsia"/>
            <w:rtl/>
          </w:rPr>
          <w:t>ועדות</w:t>
        </w:r>
        <w:r w:rsidRPr="003C40C8">
          <w:rPr>
            <w:rStyle w:val="Hyperlink"/>
            <w:rtl/>
          </w:rPr>
          <w:t xml:space="preserve"> </w:t>
        </w:r>
        <w:r w:rsidRPr="003C40C8">
          <w:rPr>
            <w:rStyle w:val="Hyperlink"/>
            <w:rFonts w:hint="eastAsia"/>
            <w:rtl/>
          </w:rPr>
          <w:t>חקירה</w:t>
        </w:r>
        <w:r w:rsidRPr="003C40C8">
          <w:rPr>
            <w:rStyle w:val="Hyperlink"/>
            <w:rtl/>
          </w:rPr>
          <w:t xml:space="preserve"> </w:t>
        </w:r>
        <w:r w:rsidRPr="003C40C8">
          <w:rPr>
            <w:rStyle w:val="Hyperlink"/>
            <w:rFonts w:hint="eastAsia"/>
            <w:rtl/>
          </w:rPr>
          <w:t>בינלאומיות</w:t>
        </w:r>
        <w:r w:rsidRPr="003C40C8">
          <w:rPr>
            <w:rStyle w:val="Hyperlink"/>
            <w:rtl/>
          </w:rPr>
          <w:t xml:space="preserve"> </w:t>
        </w:r>
        <w:r w:rsidRPr="003C40C8">
          <w:rPr>
            <w:rStyle w:val="Hyperlink"/>
            <w:rFonts w:hint="eastAsia"/>
            <w:rtl/>
          </w:rPr>
          <w:t>שחקרו</w:t>
        </w:r>
        <w:r w:rsidRPr="003C40C8">
          <w:rPr>
            <w:rStyle w:val="Hyperlink"/>
            <w:rtl/>
          </w:rPr>
          <w:t xml:space="preserve"> </w:t>
        </w:r>
        <w:r w:rsidRPr="003C40C8">
          <w:rPr>
            <w:rStyle w:val="Hyperlink"/>
            <w:rFonts w:hint="eastAsia"/>
            <w:rtl/>
          </w:rPr>
          <w:t>פעילויות</w:t>
        </w:r>
        <w:r w:rsidRPr="003C40C8">
          <w:rPr>
            <w:rStyle w:val="Hyperlink"/>
            <w:rtl/>
          </w:rPr>
          <w:t xml:space="preserve"> </w:t>
        </w:r>
        <w:r w:rsidRPr="003C40C8">
          <w:rPr>
            <w:rStyle w:val="Hyperlink"/>
            <w:rFonts w:hint="eastAsia"/>
            <w:rtl/>
          </w:rPr>
          <w:t>של</w:t>
        </w:r>
        <w:r w:rsidRPr="003C40C8">
          <w:rPr>
            <w:rStyle w:val="Hyperlink"/>
            <w:rtl/>
          </w:rPr>
          <w:t xml:space="preserve"> </w:t>
        </w:r>
        <w:r w:rsidRPr="003C40C8">
          <w:rPr>
            <w:rStyle w:val="Hyperlink"/>
            <w:rFonts w:hint="eastAsia"/>
            <w:rtl/>
          </w:rPr>
          <w:t>צה</w:t>
        </w:r>
        <w:r w:rsidRPr="003C40C8">
          <w:rPr>
            <w:rStyle w:val="Hyperlink"/>
            <w:rtl/>
          </w:rPr>
          <w:t>"</w:t>
        </w:r>
        <w:r w:rsidRPr="003C40C8">
          <w:rPr>
            <w:rStyle w:val="Hyperlink"/>
            <w:rFonts w:hint="eastAsia"/>
            <w:rtl/>
          </w:rPr>
          <w:t>ל</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Toc456027347 \h</w:instrText>
        </w:r>
        <w:r>
          <w:rPr>
            <w:webHidden/>
            <w:rtl/>
          </w:rPr>
          <w:instrText xml:space="preserve"> </w:instrText>
        </w:r>
        <w:r>
          <w:rPr>
            <w:webHidden/>
            <w:rtl/>
          </w:rPr>
        </w:r>
        <w:r>
          <w:rPr>
            <w:webHidden/>
            <w:rtl/>
          </w:rPr>
          <w:fldChar w:fldCharType="separate"/>
        </w:r>
        <w:r>
          <w:rPr>
            <w:webHidden/>
            <w:rtl/>
          </w:rPr>
          <w:t>125</w:t>
        </w:r>
        <w:r>
          <w:rPr>
            <w:webHidden/>
            <w:rtl/>
          </w:rPr>
          <w:fldChar w:fldCharType="end"/>
        </w:r>
      </w:hyperlink>
    </w:p>
    <w:p w:rsidR="00FA11B8" w:rsidRDefault="00FA11B8">
      <w:pPr>
        <w:pStyle w:val="TOC2"/>
        <w:tabs>
          <w:tab w:val="left" w:pos="1760"/>
        </w:tabs>
        <w:rPr>
          <w:rFonts w:eastAsiaTheme="minorEastAsia" w:cstheme="minorBidi"/>
          <w:b w:val="0"/>
          <w:bCs w:val="0"/>
          <w:rtl/>
        </w:rPr>
      </w:pPr>
      <w:hyperlink w:anchor="_Toc456027348" w:history="1">
        <w:r w:rsidRPr="003C40C8">
          <w:rPr>
            <w:rStyle w:val="Hyperlink"/>
            <w:rtl/>
          </w:rPr>
          <w:t>1.</w:t>
        </w:r>
        <w:r>
          <w:rPr>
            <w:rFonts w:eastAsiaTheme="minorEastAsia" w:cstheme="minorBidi"/>
            <w:b w:val="0"/>
            <w:bCs w:val="0"/>
            <w:rtl/>
          </w:rPr>
          <w:tab/>
        </w:r>
        <w:r w:rsidRPr="003C40C8">
          <w:rPr>
            <w:rStyle w:val="Hyperlink"/>
            <w:rFonts w:hint="eastAsia"/>
            <w:rtl/>
          </w:rPr>
          <w:t>ועדת</w:t>
        </w:r>
        <w:r w:rsidRPr="003C40C8">
          <w:rPr>
            <w:rStyle w:val="Hyperlink"/>
            <w:rtl/>
          </w:rPr>
          <w:t xml:space="preserve"> </w:t>
        </w:r>
        <w:r w:rsidRPr="003C40C8">
          <w:rPr>
            <w:rStyle w:val="Hyperlink"/>
            <w:rFonts w:hint="eastAsia"/>
            <w:rtl/>
          </w:rPr>
          <w:t>חקירה</w:t>
        </w:r>
        <w:r w:rsidRPr="003C40C8">
          <w:rPr>
            <w:rStyle w:val="Hyperlink"/>
            <w:rtl/>
          </w:rPr>
          <w:t xml:space="preserve"> </w:t>
        </w:r>
        <w:r w:rsidRPr="003C40C8">
          <w:rPr>
            <w:rStyle w:val="Hyperlink"/>
            <w:rFonts w:hint="eastAsia"/>
            <w:rtl/>
          </w:rPr>
          <w:t>מיוחדת</w:t>
        </w:r>
        <w:r w:rsidRPr="003C40C8">
          <w:rPr>
            <w:rStyle w:val="Hyperlink"/>
            <w:rtl/>
          </w:rPr>
          <w:t xml:space="preserve"> </w:t>
        </w:r>
        <w:r w:rsidRPr="003C40C8">
          <w:rPr>
            <w:rStyle w:val="Hyperlink"/>
            <w:rFonts w:hint="eastAsia"/>
            <w:rtl/>
          </w:rPr>
          <w:t>מטעם</w:t>
        </w:r>
        <w:r w:rsidRPr="003C40C8">
          <w:rPr>
            <w:rStyle w:val="Hyperlink"/>
            <w:rtl/>
          </w:rPr>
          <w:t xml:space="preserve"> </w:t>
        </w:r>
        <w:r w:rsidRPr="003C40C8">
          <w:rPr>
            <w:rStyle w:val="Hyperlink"/>
            <w:rFonts w:hint="eastAsia"/>
            <w:rtl/>
          </w:rPr>
          <w:t>העצרת</w:t>
        </w:r>
        <w:r w:rsidRPr="003C40C8">
          <w:rPr>
            <w:rStyle w:val="Hyperlink"/>
            <w:rtl/>
          </w:rPr>
          <w:t xml:space="preserve"> </w:t>
        </w:r>
        <w:r w:rsidRPr="003C40C8">
          <w:rPr>
            <w:rStyle w:val="Hyperlink"/>
            <w:rFonts w:hint="eastAsia"/>
            <w:rtl/>
          </w:rPr>
          <w:t>הכללית</w:t>
        </w:r>
        <w:r w:rsidRPr="003C40C8">
          <w:rPr>
            <w:rStyle w:val="Hyperlink"/>
            <w:rtl/>
          </w:rPr>
          <w:t xml:space="preserve"> </w:t>
        </w:r>
        <w:r w:rsidRPr="003C40C8">
          <w:rPr>
            <w:rStyle w:val="Hyperlink"/>
            <w:rFonts w:hint="eastAsia"/>
            <w:rtl/>
          </w:rPr>
          <w:t>של</w:t>
        </w:r>
        <w:r w:rsidRPr="003C40C8">
          <w:rPr>
            <w:rStyle w:val="Hyperlink"/>
            <w:rtl/>
          </w:rPr>
          <w:t xml:space="preserve"> </w:t>
        </w:r>
        <w:r w:rsidRPr="003C40C8">
          <w:rPr>
            <w:rStyle w:val="Hyperlink"/>
            <w:rFonts w:hint="eastAsia"/>
            <w:rtl/>
          </w:rPr>
          <w:t>האו</w:t>
        </w:r>
        <w:r w:rsidRPr="003C40C8">
          <w:rPr>
            <w:rStyle w:val="Hyperlink"/>
            <w:rtl/>
          </w:rPr>
          <w:t>"</w:t>
        </w:r>
        <w:r w:rsidRPr="003C40C8">
          <w:rPr>
            <w:rStyle w:val="Hyperlink"/>
            <w:rFonts w:hint="eastAsia"/>
            <w:rtl/>
          </w:rPr>
          <w:t>ם</w:t>
        </w:r>
        <w:r w:rsidRPr="003C40C8">
          <w:rPr>
            <w:rStyle w:val="Hyperlink"/>
            <w:rtl/>
          </w:rPr>
          <w:t xml:space="preserve"> </w:t>
        </w:r>
        <w:r w:rsidRPr="003C40C8">
          <w:rPr>
            <w:rStyle w:val="Hyperlink"/>
            <w:rFonts w:hint="eastAsia"/>
            <w:rtl/>
          </w:rPr>
          <w:t>לחקירת</w:t>
        </w:r>
        <w:r w:rsidRPr="003C40C8">
          <w:rPr>
            <w:rStyle w:val="Hyperlink"/>
            <w:rtl/>
          </w:rPr>
          <w:t xml:space="preserve"> </w:t>
        </w:r>
        <w:r w:rsidRPr="003C40C8">
          <w:rPr>
            <w:rStyle w:val="Hyperlink"/>
            <w:rFonts w:hint="eastAsia"/>
            <w:rtl/>
          </w:rPr>
          <w:t>הפרקטיקה</w:t>
        </w:r>
        <w:r w:rsidRPr="003C40C8">
          <w:rPr>
            <w:rStyle w:val="Hyperlink"/>
            <w:rtl/>
          </w:rPr>
          <w:t xml:space="preserve"> </w:t>
        </w:r>
        <w:r w:rsidRPr="003C40C8">
          <w:rPr>
            <w:rStyle w:val="Hyperlink"/>
            <w:rFonts w:hint="eastAsia"/>
            <w:rtl/>
          </w:rPr>
          <w:t>הישראלית</w:t>
        </w:r>
        <w:r w:rsidRPr="003C40C8">
          <w:rPr>
            <w:rStyle w:val="Hyperlink"/>
            <w:rtl/>
          </w:rPr>
          <w:t xml:space="preserve"> </w:t>
        </w:r>
        <w:r w:rsidRPr="003C40C8">
          <w:rPr>
            <w:rStyle w:val="Hyperlink"/>
            <w:rFonts w:hint="eastAsia"/>
            <w:rtl/>
          </w:rPr>
          <w:t>הנוגעת</w:t>
        </w:r>
        <w:r w:rsidRPr="003C40C8">
          <w:rPr>
            <w:rStyle w:val="Hyperlink"/>
            <w:rtl/>
          </w:rPr>
          <w:t xml:space="preserve"> </w:t>
        </w:r>
        <w:r w:rsidRPr="003C40C8">
          <w:rPr>
            <w:rStyle w:val="Hyperlink"/>
            <w:rFonts w:hint="eastAsia"/>
            <w:rtl/>
          </w:rPr>
          <w:t>לזכויות</w:t>
        </w:r>
        <w:r w:rsidRPr="003C40C8">
          <w:rPr>
            <w:rStyle w:val="Hyperlink"/>
            <w:rtl/>
          </w:rPr>
          <w:t xml:space="preserve"> </w:t>
        </w:r>
        <w:r w:rsidRPr="003C40C8">
          <w:rPr>
            <w:rStyle w:val="Hyperlink"/>
            <w:rFonts w:hint="eastAsia"/>
            <w:rtl/>
          </w:rPr>
          <w:t>האדם</w:t>
        </w:r>
        <w:r w:rsidRPr="003C40C8">
          <w:rPr>
            <w:rStyle w:val="Hyperlink"/>
            <w:rtl/>
          </w:rPr>
          <w:t xml:space="preserve"> </w:t>
        </w:r>
        <w:r w:rsidRPr="003C40C8">
          <w:rPr>
            <w:rStyle w:val="Hyperlink"/>
            <w:rFonts w:hint="eastAsia"/>
            <w:rtl/>
          </w:rPr>
          <w:t>של</w:t>
        </w:r>
        <w:r w:rsidRPr="003C40C8">
          <w:rPr>
            <w:rStyle w:val="Hyperlink"/>
            <w:rtl/>
          </w:rPr>
          <w:t xml:space="preserve"> </w:t>
        </w:r>
        <w:r w:rsidRPr="003C40C8">
          <w:rPr>
            <w:rStyle w:val="Hyperlink"/>
            <w:rFonts w:hint="eastAsia"/>
            <w:rtl/>
          </w:rPr>
          <w:t>האוכלוסייה</w:t>
        </w:r>
        <w:r w:rsidRPr="003C40C8">
          <w:rPr>
            <w:rStyle w:val="Hyperlink"/>
            <w:rtl/>
          </w:rPr>
          <w:t xml:space="preserve"> </w:t>
        </w:r>
        <w:r w:rsidRPr="003C40C8">
          <w:rPr>
            <w:rStyle w:val="Hyperlink"/>
            <w:rFonts w:hint="eastAsia"/>
            <w:rtl/>
          </w:rPr>
          <w:t>בשטחים</w:t>
        </w:r>
        <w:r w:rsidRPr="003C40C8">
          <w:rPr>
            <w:rStyle w:val="Hyperlink"/>
            <w:rtl/>
          </w:rPr>
          <w:t xml:space="preserve"> </w:t>
        </w:r>
        <w:r w:rsidRPr="003C40C8">
          <w:rPr>
            <w:rStyle w:val="Hyperlink"/>
            <w:rFonts w:hint="eastAsia"/>
            <w:rtl/>
          </w:rPr>
          <w:t>הכבושים</w:t>
        </w:r>
        <w:r w:rsidRPr="003C40C8">
          <w:rPr>
            <w:rStyle w:val="Hyperlink"/>
            <w:rtl/>
          </w:rPr>
          <w:t xml:space="preserve"> (1968)</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Toc456027348 \h</w:instrText>
        </w:r>
        <w:r>
          <w:rPr>
            <w:webHidden/>
            <w:rtl/>
          </w:rPr>
          <w:instrText xml:space="preserve"> </w:instrText>
        </w:r>
        <w:r>
          <w:rPr>
            <w:webHidden/>
            <w:rtl/>
          </w:rPr>
        </w:r>
        <w:r>
          <w:rPr>
            <w:webHidden/>
            <w:rtl/>
          </w:rPr>
          <w:fldChar w:fldCharType="separate"/>
        </w:r>
        <w:r>
          <w:rPr>
            <w:webHidden/>
            <w:rtl/>
          </w:rPr>
          <w:t>125</w:t>
        </w:r>
        <w:r>
          <w:rPr>
            <w:webHidden/>
            <w:rtl/>
          </w:rPr>
          <w:fldChar w:fldCharType="end"/>
        </w:r>
      </w:hyperlink>
    </w:p>
    <w:p w:rsidR="00FA11B8" w:rsidRDefault="00FA11B8">
      <w:pPr>
        <w:pStyle w:val="TOC2"/>
        <w:tabs>
          <w:tab w:val="left" w:pos="1760"/>
        </w:tabs>
        <w:rPr>
          <w:rFonts w:eastAsiaTheme="minorEastAsia" w:cstheme="minorBidi"/>
          <w:b w:val="0"/>
          <w:bCs w:val="0"/>
          <w:rtl/>
        </w:rPr>
      </w:pPr>
      <w:hyperlink w:anchor="_Toc456027349" w:history="1">
        <w:r w:rsidRPr="003C40C8">
          <w:rPr>
            <w:rStyle w:val="Hyperlink"/>
            <w:rtl/>
          </w:rPr>
          <w:t>2.</w:t>
        </w:r>
        <w:r>
          <w:rPr>
            <w:rFonts w:eastAsiaTheme="minorEastAsia" w:cstheme="minorBidi"/>
            <w:b w:val="0"/>
            <w:bCs w:val="0"/>
            <w:rtl/>
          </w:rPr>
          <w:tab/>
        </w:r>
        <w:r w:rsidRPr="003C40C8">
          <w:rPr>
            <w:rStyle w:val="Hyperlink"/>
            <w:rFonts w:hint="eastAsia"/>
            <w:rtl/>
          </w:rPr>
          <w:t>קבוצת</w:t>
        </w:r>
        <w:r w:rsidRPr="003C40C8">
          <w:rPr>
            <w:rStyle w:val="Hyperlink"/>
            <w:rtl/>
          </w:rPr>
          <w:t xml:space="preserve"> </w:t>
        </w:r>
        <w:r w:rsidRPr="003C40C8">
          <w:rPr>
            <w:rStyle w:val="Hyperlink"/>
            <w:rFonts w:hint="eastAsia"/>
            <w:rtl/>
          </w:rPr>
          <w:t>עבודה</w:t>
        </w:r>
        <w:r w:rsidRPr="003C40C8">
          <w:rPr>
            <w:rStyle w:val="Hyperlink"/>
            <w:rtl/>
          </w:rPr>
          <w:t xml:space="preserve"> </w:t>
        </w:r>
        <w:r w:rsidRPr="003C40C8">
          <w:rPr>
            <w:rStyle w:val="Hyperlink"/>
            <w:rFonts w:hint="eastAsia"/>
            <w:rtl/>
          </w:rPr>
          <w:t>מיוחדת</w:t>
        </w:r>
        <w:r w:rsidRPr="003C40C8">
          <w:rPr>
            <w:rStyle w:val="Hyperlink"/>
            <w:rtl/>
          </w:rPr>
          <w:t xml:space="preserve"> </w:t>
        </w:r>
        <w:r w:rsidRPr="003C40C8">
          <w:rPr>
            <w:rStyle w:val="Hyperlink"/>
            <w:rFonts w:hint="eastAsia"/>
            <w:rtl/>
          </w:rPr>
          <w:t>של</w:t>
        </w:r>
        <w:r w:rsidRPr="003C40C8">
          <w:rPr>
            <w:rStyle w:val="Hyperlink"/>
            <w:rtl/>
          </w:rPr>
          <w:t xml:space="preserve"> </w:t>
        </w:r>
        <w:r w:rsidRPr="003C40C8">
          <w:rPr>
            <w:rStyle w:val="Hyperlink"/>
            <w:rFonts w:hint="eastAsia"/>
            <w:rtl/>
          </w:rPr>
          <w:t>מומחים</w:t>
        </w:r>
        <w:r w:rsidRPr="003C40C8">
          <w:rPr>
            <w:rStyle w:val="Hyperlink"/>
            <w:rtl/>
          </w:rPr>
          <w:t xml:space="preserve">, </w:t>
        </w:r>
        <w:r w:rsidRPr="003C40C8">
          <w:rPr>
            <w:rStyle w:val="Hyperlink"/>
            <w:rFonts w:hint="eastAsia"/>
            <w:rtl/>
          </w:rPr>
          <w:t>שמונתה</w:t>
        </w:r>
        <w:r w:rsidRPr="003C40C8">
          <w:rPr>
            <w:rStyle w:val="Hyperlink"/>
            <w:rtl/>
          </w:rPr>
          <w:t xml:space="preserve"> </w:t>
        </w:r>
        <w:r w:rsidRPr="003C40C8">
          <w:rPr>
            <w:rStyle w:val="Hyperlink"/>
            <w:rFonts w:hint="eastAsia"/>
            <w:rtl/>
          </w:rPr>
          <w:t>על</w:t>
        </w:r>
        <w:r w:rsidRPr="003C40C8">
          <w:rPr>
            <w:rStyle w:val="Hyperlink"/>
            <w:rtl/>
          </w:rPr>
          <w:t xml:space="preserve"> </w:t>
        </w:r>
        <w:r w:rsidRPr="003C40C8">
          <w:rPr>
            <w:rStyle w:val="Hyperlink"/>
            <w:rFonts w:hint="eastAsia"/>
            <w:rtl/>
          </w:rPr>
          <w:t>ידי</w:t>
        </w:r>
        <w:r w:rsidRPr="003C40C8">
          <w:rPr>
            <w:rStyle w:val="Hyperlink"/>
            <w:rtl/>
          </w:rPr>
          <w:t xml:space="preserve"> </w:t>
        </w:r>
        <w:r w:rsidRPr="003C40C8">
          <w:rPr>
            <w:rStyle w:val="Hyperlink"/>
            <w:rFonts w:hint="eastAsia"/>
            <w:rtl/>
          </w:rPr>
          <w:t>נציבות</w:t>
        </w:r>
        <w:r w:rsidRPr="003C40C8">
          <w:rPr>
            <w:rStyle w:val="Hyperlink"/>
            <w:rtl/>
          </w:rPr>
          <w:t xml:space="preserve"> </w:t>
        </w:r>
        <w:r w:rsidRPr="003C40C8">
          <w:rPr>
            <w:rStyle w:val="Hyperlink"/>
            <w:rFonts w:hint="eastAsia"/>
            <w:rtl/>
          </w:rPr>
          <w:t>זכויות</w:t>
        </w:r>
        <w:r w:rsidRPr="003C40C8">
          <w:rPr>
            <w:rStyle w:val="Hyperlink"/>
            <w:rtl/>
          </w:rPr>
          <w:t xml:space="preserve"> </w:t>
        </w:r>
        <w:r w:rsidRPr="003C40C8">
          <w:rPr>
            <w:rStyle w:val="Hyperlink"/>
            <w:rFonts w:hint="eastAsia"/>
            <w:rtl/>
          </w:rPr>
          <w:t>האדם</w:t>
        </w:r>
        <w:r w:rsidRPr="003C40C8">
          <w:rPr>
            <w:rStyle w:val="Hyperlink"/>
            <w:rtl/>
          </w:rPr>
          <w:t xml:space="preserve"> </w:t>
        </w:r>
        <w:r w:rsidRPr="003C40C8">
          <w:rPr>
            <w:rStyle w:val="Hyperlink"/>
            <w:rFonts w:hint="eastAsia"/>
            <w:rtl/>
          </w:rPr>
          <w:t>לחקירת</w:t>
        </w:r>
        <w:r w:rsidRPr="003C40C8">
          <w:rPr>
            <w:rStyle w:val="Hyperlink"/>
            <w:rtl/>
          </w:rPr>
          <w:t xml:space="preserve"> </w:t>
        </w:r>
        <w:r w:rsidRPr="003C40C8">
          <w:rPr>
            <w:rStyle w:val="Hyperlink"/>
            <w:rFonts w:hint="eastAsia"/>
            <w:rtl/>
          </w:rPr>
          <w:t>הפרות</w:t>
        </w:r>
        <w:r w:rsidRPr="003C40C8">
          <w:rPr>
            <w:rStyle w:val="Hyperlink"/>
            <w:rtl/>
          </w:rPr>
          <w:t xml:space="preserve"> </w:t>
        </w:r>
        <w:r w:rsidRPr="003C40C8">
          <w:rPr>
            <w:rStyle w:val="Hyperlink"/>
            <w:rFonts w:hint="eastAsia"/>
            <w:rtl/>
          </w:rPr>
          <w:t>ישראליות</w:t>
        </w:r>
        <w:r w:rsidRPr="003C40C8">
          <w:rPr>
            <w:rStyle w:val="Hyperlink"/>
            <w:rtl/>
          </w:rPr>
          <w:t xml:space="preserve"> </w:t>
        </w:r>
        <w:r w:rsidRPr="003C40C8">
          <w:rPr>
            <w:rStyle w:val="Hyperlink"/>
            <w:rFonts w:hint="eastAsia"/>
            <w:rtl/>
          </w:rPr>
          <w:t>של</w:t>
        </w:r>
        <w:r w:rsidRPr="003C40C8">
          <w:rPr>
            <w:rStyle w:val="Hyperlink"/>
            <w:rtl/>
          </w:rPr>
          <w:t xml:space="preserve"> </w:t>
        </w:r>
        <w:r w:rsidRPr="003C40C8">
          <w:rPr>
            <w:rStyle w:val="Hyperlink"/>
            <w:rFonts w:hint="eastAsia"/>
            <w:rtl/>
          </w:rPr>
          <w:t>אמנת</w:t>
        </w:r>
        <w:r w:rsidRPr="003C40C8">
          <w:rPr>
            <w:rStyle w:val="Hyperlink"/>
            <w:rtl/>
          </w:rPr>
          <w:t xml:space="preserve"> </w:t>
        </w:r>
        <w:r w:rsidRPr="003C40C8">
          <w:rPr>
            <w:rStyle w:val="Hyperlink"/>
            <w:rFonts w:hint="eastAsia"/>
            <w:rtl/>
          </w:rPr>
          <w:t>ג</w:t>
        </w:r>
        <w:r w:rsidRPr="003C40C8">
          <w:rPr>
            <w:rStyle w:val="Hyperlink"/>
            <w:rtl/>
          </w:rPr>
          <w:t>'</w:t>
        </w:r>
        <w:r w:rsidRPr="003C40C8">
          <w:rPr>
            <w:rStyle w:val="Hyperlink"/>
            <w:rFonts w:hint="eastAsia"/>
            <w:rtl/>
          </w:rPr>
          <w:t>נבה</w:t>
        </w:r>
        <w:r w:rsidRPr="003C40C8">
          <w:rPr>
            <w:rStyle w:val="Hyperlink"/>
            <w:rtl/>
          </w:rPr>
          <w:t xml:space="preserve"> </w:t>
        </w:r>
        <w:r w:rsidRPr="003C40C8">
          <w:rPr>
            <w:rStyle w:val="Hyperlink"/>
            <w:rFonts w:hint="eastAsia"/>
            <w:rtl/>
          </w:rPr>
          <w:t>הרביעית</w:t>
        </w:r>
        <w:r w:rsidRPr="003C40C8">
          <w:rPr>
            <w:rStyle w:val="Hyperlink"/>
            <w:rtl/>
          </w:rPr>
          <w:t xml:space="preserve"> </w:t>
        </w:r>
        <w:r w:rsidRPr="003C40C8">
          <w:rPr>
            <w:rStyle w:val="Hyperlink"/>
            <w:rFonts w:hint="eastAsia"/>
            <w:rtl/>
          </w:rPr>
          <w:t>בשטחים</w:t>
        </w:r>
        <w:r w:rsidRPr="003C40C8">
          <w:rPr>
            <w:rStyle w:val="Hyperlink"/>
            <w:rtl/>
          </w:rPr>
          <w:t xml:space="preserve"> </w:t>
        </w:r>
        <w:r w:rsidRPr="003C40C8">
          <w:rPr>
            <w:rStyle w:val="Hyperlink"/>
            <w:rFonts w:hint="eastAsia"/>
            <w:rtl/>
          </w:rPr>
          <w:t>הכבושים</w:t>
        </w:r>
        <w:r w:rsidRPr="003C40C8">
          <w:rPr>
            <w:rStyle w:val="Hyperlink"/>
            <w:rtl/>
          </w:rPr>
          <w:t xml:space="preserve"> (1969)</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Toc456027349 \h</w:instrText>
        </w:r>
        <w:r>
          <w:rPr>
            <w:webHidden/>
            <w:rtl/>
          </w:rPr>
          <w:instrText xml:space="preserve"> </w:instrText>
        </w:r>
        <w:r>
          <w:rPr>
            <w:webHidden/>
            <w:rtl/>
          </w:rPr>
        </w:r>
        <w:r>
          <w:rPr>
            <w:webHidden/>
            <w:rtl/>
          </w:rPr>
          <w:fldChar w:fldCharType="separate"/>
        </w:r>
        <w:r>
          <w:rPr>
            <w:webHidden/>
            <w:rtl/>
          </w:rPr>
          <w:t>126</w:t>
        </w:r>
        <w:r>
          <w:rPr>
            <w:webHidden/>
            <w:rtl/>
          </w:rPr>
          <w:fldChar w:fldCharType="end"/>
        </w:r>
      </w:hyperlink>
    </w:p>
    <w:p w:rsidR="00FA11B8" w:rsidRDefault="00FA11B8">
      <w:pPr>
        <w:pStyle w:val="TOC2"/>
        <w:tabs>
          <w:tab w:val="left" w:pos="1760"/>
        </w:tabs>
        <w:rPr>
          <w:rFonts w:eastAsiaTheme="minorEastAsia" w:cstheme="minorBidi"/>
          <w:b w:val="0"/>
          <w:bCs w:val="0"/>
          <w:rtl/>
        </w:rPr>
      </w:pPr>
      <w:hyperlink w:anchor="_Toc456027350" w:history="1">
        <w:r w:rsidRPr="003C40C8">
          <w:rPr>
            <w:rStyle w:val="Hyperlink"/>
            <w:rtl/>
          </w:rPr>
          <w:t>3.</w:t>
        </w:r>
        <w:r>
          <w:rPr>
            <w:rFonts w:eastAsiaTheme="minorEastAsia" w:cstheme="minorBidi"/>
            <w:b w:val="0"/>
            <w:bCs w:val="0"/>
            <w:rtl/>
          </w:rPr>
          <w:tab/>
        </w:r>
        <w:r w:rsidRPr="003C40C8">
          <w:rPr>
            <w:rStyle w:val="Hyperlink"/>
            <w:rFonts w:hint="eastAsia"/>
            <w:rtl/>
          </w:rPr>
          <w:t>סדרת</w:t>
        </w:r>
        <w:r w:rsidRPr="003C40C8">
          <w:rPr>
            <w:rStyle w:val="Hyperlink"/>
            <w:rtl/>
          </w:rPr>
          <w:t xml:space="preserve"> </w:t>
        </w:r>
        <w:r w:rsidRPr="003C40C8">
          <w:rPr>
            <w:rStyle w:val="Hyperlink"/>
            <w:rFonts w:hint="eastAsia"/>
            <w:rtl/>
          </w:rPr>
          <w:t>משלחות</w:t>
        </w:r>
        <w:r w:rsidRPr="003C40C8">
          <w:rPr>
            <w:rStyle w:val="Hyperlink"/>
            <w:rtl/>
          </w:rPr>
          <w:t xml:space="preserve"> </w:t>
        </w:r>
        <w:r w:rsidRPr="003C40C8">
          <w:rPr>
            <w:rStyle w:val="Hyperlink"/>
            <w:rFonts w:hint="eastAsia"/>
            <w:rtl/>
          </w:rPr>
          <w:t>מטעם</w:t>
        </w:r>
        <w:r w:rsidRPr="003C40C8">
          <w:rPr>
            <w:rStyle w:val="Hyperlink"/>
            <w:rtl/>
          </w:rPr>
          <w:t xml:space="preserve"> </w:t>
        </w:r>
        <w:r w:rsidRPr="003C40C8">
          <w:rPr>
            <w:rStyle w:val="Hyperlink"/>
            <w:rFonts w:hint="eastAsia"/>
            <w:rtl/>
          </w:rPr>
          <w:t>אונסק</w:t>
        </w:r>
        <w:r w:rsidRPr="003C40C8">
          <w:rPr>
            <w:rStyle w:val="Hyperlink"/>
            <w:rtl/>
          </w:rPr>
          <w:t>"</w:t>
        </w:r>
        <w:r w:rsidRPr="003C40C8">
          <w:rPr>
            <w:rStyle w:val="Hyperlink"/>
            <w:rFonts w:hint="eastAsia"/>
            <w:rtl/>
          </w:rPr>
          <w:t>ו</w:t>
        </w:r>
        <w:r w:rsidRPr="003C40C8">
          <w:rPr>
            <w:rStyle w:val="Hyperlink"/>
            <w:rtl/>
          </w:rPr>
          <w:t xml:space="preserve"> </w:t>
        </w:r>
        <w:r w:rsidRPr="003C40C8">
          <w:rPr>
            <w:rStyle w:val="Hyperlink"/>
            <w:rFonts w:hint="eastAsia"/>
            <w:rtl/>
          </w:rPr>
          <w:t>לבירור</w:t>
        </w:r>
        <w:r w:rsidRPr="003C40C8">
          <w:rPr>
            <w:rStyle w:val="Hyperlink"/>
            <w:rtl/>
          </w:rPr>
          <w:t xml:space="preserve"> </w:t>
        </w:r>
        <w:r w:rsidRPr="003C40C8">
          <w:rPr>
            <w:rStyle w:val="Hyperlink"/>
            <w:rFonts w:hint="eastAsia"/>
            <w:rtl/>
          </w:rPr>
          <w:t>עובדות</w:t>
        </w:r>
        <w:r w:rsidRPr="003C40C8">
          <w:rPr>
            <w:rStyle w:val="Hyperlink"/>
            <w:rtl/>
          </w:rPr>
          <w:t xml:space="preserve"> </w:t>
        </w:r>
        <w:r w:rsidRPr="003C40C8">
          <w:rPr>
            <w:rStyle w:val="Hyperlink"/>
            <w:rFonts w:hint="eastAsia"/>
            <w:rtl/>
          </w:rPr>
          <w:t>על</w:t>
        </w:r>
        <w:r w:rsidRPr="003C40C8">
          <w:rPr>
            <w:rStyle w:val="Hyperlink"/>
            <w:rtl/>
          </w:rPr>
          <w:t xml:space="preserve"> </w:t>
        </w:r>
        <w:r w:rsidRPr="003C40C8">
          <w:rPr>
            <w:rStyle w:val="Hyperlink"/>
            <w:rFonts w:hint="eastAsia"/>
            <w:rtl/>
          </w:rPr>
          <w:t>החינוך</w:t>
        </w:r>
        <w:r w:rsidRPr="003C40C8">
          <w:rPr>
            <w:rStyle w:val="Hyperlink"/>
            <w:rtl/>
          </w:rPr>
          <w:t xml:space="preserve"> </w:t>
        </w:r>
        <w:r w:rsidRPr="003C40C8">
          <w:rPr>
            <w:rStyle w:val="Hyperlink"/>
            <w:rFonts w:hint="eastAsia"/>
            <w:rtl/>
          </w:rPr>
          <w:t>הלאומי</w:t>
        </w:r>
        <w:r w:rsidRPr="003C40C8">
          <w:rPr>
            <w:rStyle w:val="Hyperlink"/>
            <w:rtl/>
          </w:rPr>
          <w:t xml:space="preserve"> </w:t>
        </w:r>
        <w:r w:rsidRPr="003C40C8">
          <w:rPr>
            <w:rStyle w:val="Hyperlink"/>
            <w:rFonts w:hint="eastAsia"/>
            <w:rtl/>
          </w:rPr>
          <w:t>וחיי</w:t>
        </w:r>
        <w:r w:rsidRPr="003C40C8">
          <w:rPr>
            <w:rStyle w:val="Hyperlink"/>
            <w:rtl/>
          </w:rPr>
          <w:t xml:space="preserve"> </w:t>
        </w:r>
        <w:r w:rsidRPr="003C40C8">
          <w:rPr>
            <w:rStyle w:val="Hyperlink"/>
            <w:rFonts w:hint="eastAsia"/>
            <w:rtl/>
          </w:rPr>
          <w:t>התרבות</w:t>
        </w:r>
        <w:r w:rsidRPr="003C40C8">
          <w:rPr>
            <w:rStyle w:val="Hyperlink"/>
            <w:rtl/>
          </w:rPr>
          <w:t xml:space="preserve"> </w:t>
        </w:r>
        <w:r w:rsidRPr="003C40C8">
          <w:rPr>
            <w:rStyle w:val="Hyperlink"/>
            <w:rFonts w:hint="eastAsia"/>
            <w:rtl/>
          </w:rPr>
          <w:t>של</w:t>
        </w:r>
        <w:r w:rsidRPr="003C40C8">
          <w:rPr>
            <w:rStyle w:val="Hyperlink"/>
            <w:rtl/>
          </w:rPr>
          <w:t xml:space="preserve"> </w:t>
        </w:r>
        <w:r w:rsidRPr="003C40C8">
          <w:rPr>
            <w:rStyle w:val="Hyperlink"/>
            <w:rFonts w:hint="eastAsia"/>
            <w:rtl/>
          </w:rPr>
          <w:t>האוכלוסיות</w:t>
        </w:r>
        <w:r w:rsidRPr="003C40C8">
          <w:rPr>
            <w:rStyle w:val="Hyperlink"/>
            <w:rtl/>
          </w:rPr>
          <w:t xml:space="preserve"> </w:t>
        </w:r>
        <w:r w:rsidRPr="003C40C8">
          <w:rPr>
            <w:rStyle w:val="Hyperlink"/>
            <w:rFonts w:hint="eastAsia"/>
            <w:rtl/>
          </w:rPr>
          <w:t>ב</w:t>
        </w:r>
        <w:r w:rsidRPr="003C40C8">
          <w:rPr>
            <w:rStyle w:val="Hyperlink"/>
            <w:rtl/>
          </w:rPr>
          <w:t>"</w:t>
        </w:r>
        <w:r w:rsidRPr="003C40C8">
          <w:rPr>
            <w:rStyle w:val="Hyperlink"/>
            <w:rFonts w:hint="eastAsia"/>
            <w:rtl/>
          </w:rPr>
          <w:t>שטחים</w:t>
        </w:r>
        <w:r w:rsidRPr="003C40C8">
          <w:rPr>
            <w:rStyle w:val="Hyperlink"/>
            <w:rtl/>
          </w:rPr>
          <w:t xml:space="preserve"> </w:t>
        </w:r>
        <w:r w:rsidRPr="003C40C8">
          <w:rPr>
            <w:rStyle w:val="Hyperlink"/>
            <w:rFonts w:hint="eastAsia"/>
            <w:rtl/>
          </w:rPr>
          <w:t>הערביים</w:t>
        </w:r>
        <w:r w:rsidRPr="003C40C8">
          <w:rPr>
            <w:rStyle w:val="Hyperlink"/>
            <w:rtl/>
          </w:rPr>
          <w:t xml:space="preserve"> </w:t>
        </w:r>
        <w:r w:rsidRPr="003C40C8">
          <w:rPr>
            <w:rStyle w:val="Hyperlink"/>
            <w:rFonts w:hint="eastAsia"/>
            <w:rtl/>
          </w:rPr>
          <w:t>הכבושים</w:t>
        </w:r>
        <w:r w:rsidRPr="003C40C8">
          <w:rPr>
            <w:rStyle w:val="Hyperlink"/>
            <w:rtl/>
          </w:rPr>
          <w:t>" (1972 – 1980)</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Toc456027350 \h</w:instrText>
        </w:r>
        <w:r>
          <w:rPr>
            <w:webHidden/>
            <w:rtl/>
          </w:rPr>
          <w:instrText xml:space="preserve"> </w:instrText>
        </w:r>
        <w:r>
          <w:rPr>
            <w:webHidden/>
            <w:rtl/>
          </w:rPr>
        </w:r>
        <w:r>
          <w:rPr>
            <w:webHidden/>
            <w:rtl/>
          </w:rPr>
          <w:fldChar w:fldCharType="separate"/>
        </w:r>
        <w:r>
          <w:rPr>
            <w:webHidden/>
            <w:rtl/>
          </w:rPr>
          <w:t>126</w:t>
        </w:r>
        <w:r>
          <w:rPr>
            <w:webHidden/>
            <w:rtl/>
          </w:rPr>
          <w:fldChar w:fldCharType="end"/>
        </w:r>
      </w:hyperlink>
    </w:p>
    <w:p w:rsidR="00FA11B8" w:rsidRDefault="00FA11B8">
      <w:pPr>
        <w:pStyle w:val="TOC2"/>
        <w:tabs>
          <w:tab w:val="left" w:pos="1783"/>
        </w:tabs>
        <w:rPr>
          <w:rFonts w:eastAsiaTheme="minorEastAsia" w:cstheme="minorBidi"/>
          <w:b w:val="0"/>
          <w:bCs w:val="0"/>
          <w:rtl/>
        </w:rPr>
      </w:pPr>
      <w:hyperlink w:anchor="_Toc456027351" w:history="1">
        <w:r w:rsidRPr="003C40C8">
          <w:rPr>
            <w:rStyle w:val="Hyperlink"/>
            <w:rtl/>
          </w:rPr>
          <w:t>4.</w:t>
        </w:r>
        <w:r>
          <w:rPr>
            <w:rFonts w:eastAsiaTheme="minorEastAsia" w:cstheme="minorBidi"/>
            <w:b w:val="0"/>
            <w:bCs w:val="0"/>
            <w:rtl/>
          </w:rPr>
          <w:tab/>
        </w:r>
        <w:r w:rsidRPr="003C40C8">
          <w:rPr>
            <w:rStyle w:val="Hyperlink"/>
            <w:rFonts w:hint="eastAsia"/>
            <w:rtl/>
          </w:rPr>
          <w:t>משלחת</w:t>
        </w:r>
        <w:r w:rsidRPr="003C40C8">
          <w:rPr>
            <w:rStyle w:val="Hyperlink"/>
            <w:rtl/>
          </w:rPr>
          <w:t xml:space="preserve"> </w:t>
        </w:r>
        <w:r w:rsidRPr="003C40C8">
          <w:rPr>
            <w:rStyle w:val="Hyperlink"/>
            <w:rFonts w:hint="eastAsia"/>
            <w:rtl/>
          </w:rPr>
          <w:t>מטעם</w:t>
        </w:r>
        <w:r w:rsidRPr="003C40C8">
          <w:rPr>
            <w:rStyle w:val="Hyperlink"/>
            <w:rtl/>
          </w:rPr>
          <w:t xml:space="preserve"> </w:t>
        </w:r>
        <w:r w:rsidRPr="003C40C8">
          <w:rPr>
            <w:rStyle w:val="Hyperlink"/>
            <w:rFonts w:hint="eastAsia"/>
            <w:rtl/>
          </w:rPr>
          <w:t>מזכ</w:t>
        </w:r>
        <w:r w:rsidRPr="003C40C8">
          <w:rPr>
            <w:rStyle w:val="Hyperlink"/>
            <w:rtl/>
          </w:rPr>
          <w:t>"</w:t>
        </w:r>
        <w:r w:rsidRPr="003C40C8">
          <w:rPr>
            <w:rStyle w:val="Hyperlink"/>
            <w:rFonts w:hint="eastAsia"/>
            <w:rtl/>
          </w:rPr>
          <w:t>ל</w:t>
        </w:r>
        <w:r w:rsidRPr="003C40C8">
          <w:rPr>
            <w:rStyle w:val="Hyperlink"/>
            <w:rtl/>
          </w:rPr>
          <w:t xml:space="preserve"> </w:t>
        </w:r>
        <w:r w:rsidRPr="003C40C8">
          <w:rPr>
            <w:rStyle w:val="Hyperlink"/>
            <w:rFonts w:hint="eastAsia"/>
            <w:rtl/>
          </w:rPr>
          <w:t>האו</w:t>
        </w:r>
        <w:r w:rsidRPr="003C40C8">
          <w:rPr>
            <w:rStyle w:val="Hyperlink"/>
            <w:rtl/>
          </w:rPr>
          <w:t>"</w:t>
        </w:r>
        <w:r w:rsidRPr="003C40C8">
          <w:rPr>
            <w:rStyle w:val="Hyperlink"/>
            <w:rFonts w:hint="eastAsia"/>
            <w:rtl/>
          </w:rPr>
          <w:t>ם</w:t>
        </w:r>
        <w:r w:rsidRPr="003C40C8">
          <w:rPr>
            <w:rStyle w:val="Hyperlink"/>
            <w:rtl/>
          </w:rPr>
          <w:t xml:space="preserve"> </w:t>
        </w:r>
        <w:r w:rsidRPr="003C40C8">
          <w:rPr>
            <w:rStyle w:val="Hyperlink"/>
            <w:rFonts w:hint="eastAsia"/>
            <w:rtl/>
          </w:rPr>
          <w:t>לחקר</w:t>
        </w:r>
        <w:r w:rsidRPr="003C40C8">
          <w:rPr>
            <w:rStyle w:val="Hyperlink"/>
            <w:rtl/>
          </w:rPr>
          <w:t xml:space="preserve"> </w:t>
        </w:r>
        <w:r w:rsidRPr="003C40C8">
          <w:rPr>
            <w:rStyle w:val="Hyperlink"/>
            <w:rFonts w:hint="eastAsia"/>
            <w:rtl/>
          </w:rPr>
          <w:t>ההפצצה</w:t>
        </w:r>
        <w:r w:rsidRPr="003C40C8">
          <w:rPr>
            <w:rStyle w:val="Hyperlink"/>
            <w:rtl/>
          </w:rPr>
          <w:t xml:space="preserve"> </w:t>
        </w:r>
        <w:r w:rsidRPr="003C40C8">
          <w:rPr>
            <w:rStyle w:val="Hyperlink"/>
            <w:rFonts w:hint="eastAsia"/>
            <w:rtl/>
          </w:rPr>
          <w:t>בכפר</w:t>
        </w:r>
        <w:r w:rsidRPr="003C40C8">
          <w:rPr>
            <w:rStyle w:val="Hyperlink"/>
            <w:rtl/>
          </w:rPr>
          <w:t xml:space="preserve"> </w:t>
        </w:r>
        <w:r w:rsidRPr="003C40C8">
          <w:rPr>
            <w:rStyle w:val="Hyperlink"/>
            <w:rFonts w:hint="eastAsia"/>
            <w:rtl/>
          </w:rPr>
          <w:t>קאנא</w:t>
        </w:r>
        <w:r w:rsidRPr="003C40C8">
          <w:rPr>
            <w:rStyle w:val="Hyperlink"/>
            <w:rtl/>
          </w:rPr>
          <w:t xml:space="preserve"> (1996)</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Toc456027351 \h</w:instrText>
        </w:r>
        <w:r>
          <w:rPr>
            <w:webHidden/>
            <w:rtl/>
          </w:rPr>
          <w:instrText xml:space="preserve"> </w:instrText>
        </w:r>
        <w:r>
          <w:rPr>
            <w:webHidden/>
            <w:rtl/>
          </w:rPr>
        </w:r>
        <w:r>
          <w:rPr>
            <w:webHidden/>
            <w:rtl/>
          </w:rPr>
          <w:fldChar w:fldCharType="separate"/>
        </w:r>
        <w:r>
          <w:rPr>
            <w:webHidden/>
            <w:rtl/>
          </w:rPr>
          <w:t>129</w:t>
        </w:r>
        <w:r>
          <w:rPr>
            <w:webHidden/>
            <w:rtl/>
          </w:rPr>
          <w:fldChar w:fldCharType="end"/>
        </w:r>
      </w:hyperlink>
    </w:p>
    <w:p w:rsidR="00FA11B8" w:rsidRDefault="00FA11B8">
      <w:pPr>
        <w:pStyle w:val="TOC2"/>
        <w:tabs>
          <w:tab w:val="left" w:pos="1760"/>
        </w:tabs>
        <w:rPr>
          <w:rFonts w:eastAsiaTheme="minorEastAsia" w:cstheme="minorBidi"/>
          <w:b w:val="0"/>
          <w:bCs w:val="0"/>
          <w:rtl/>
        </w:rPr>
      </w:pPr>
      <w:hyperlink w:anchor="_Toc456027352" w:history="1">
        <w:r w:rsidRPr="003C40C8">
          <w:rPr>
            <w:rStyle w:val="Hyperlink"/>
            <w:rtl/>
          </w:rPr>
          <w:t>5.</w:t>
        </w:r>
        <w:r>
          <w:rPr>
            <w:rFonts w:eastAsiaTheme="minorEastAsia" w:cstheme="minorBidi"/>
            <w:b w:val="0"/>
            <w:bCs w:val="0"/>
            <w:rtl/>
          </w:rPr>
          <w:tab/>
        </w:r>
        <w:r w:rsidRPr="003C40C8">
          <w:rPr>
            <w:rStyle w:val="Hyperlink"/>
            <w:rFonts w:hint="eastAsia"/>
            <w:rtl/>
          </w:rPr>
          <w:t>משלחת</w:t>
        </w:r>
        <w:r w:rsidRPr="003C40C8">
          <w:rPr>
            <w:rStyle w:val="Hyperlink"/>
            <w:rtl/>
          </w:rPr>
          <w:t xml:space="preserve"> </w:t>
        </w:r>
        <w:r w:rsidRPr="003C40C8">
          <w:rPr>
            <w:rStyle w:val="Hyperlink"/>
            <w:rFonts w:hint="eastAsia"/>
            <w:rtl/>
          </w:rPr>
          <w:t>בראשות</w:t>
        </w:r>
        <w:r w:rsidRPr="003C40C8">
          <w:rPr>
            <w:rStyle w:val="Hyperlink"/>
            <w:rtl/>
          </w:rPr>
          <w:t xml:space="preserve"> </w:t>
        </w:r>
        <w:r w:rsidRPr="003C40C8">
          <w:rPr>
            <w:rStyle w:val="Hyperlink"/>
            <w:rFonts w:hint="eastAsia"/>
            <w:rtl/>
          </w:rPr>
          <w:t>הנציבה</w:t>
        </w:r>
        <w:r w:rsidRPr="003C40C8">
          <w:rPr>
            <w:rStyle w:val="Hyperlink"/>
            <w:rtl/>
          </w:rPr>
          <w:t xml:space="preserve"> </w:t>
        </w:r>
        <w:r w:rsidRPr="003C40C8">
          <w:rPr>
            <w:rStyle w:val="Hyperlink"/>
            <w:rFonts w:hint="eastAsia"/>
            <w:rtl/>
          </w:rPr>
          <w:t>העליונה</w:t>
        </w:r>
        <w:r w:rsidRPr="003C40C8">
          <w:rPr>
            <w:rStyle w:val="Hyperlink"/>
            <w:rtl/>
          </w:rPr>
          <w:t xml:space="preserve"> </w:t>
        </w:r>
        <w:r w:rsidRPr="003C40C8">
          <w:rPr>
            <w:rStyle w:val="Hyperlink"/>
            <w:rFonts w:hint="eastAsia"/>
            <w:rtl/>
          </w:rPr>
          <w:t>לזכויות</w:t>
        </w:r>
        <w:r w:rsidRPr="003C40C8">
          <w:rPr>
            <w:rStyle w:val="Hyperlink"/>
            <w:rtl/>
          </w:rPr>
          <w:t xml:space="preserve"> </w:t>
        </w:r>
        <w:r w:rsidRPr="003C40C8">
          <w:rPr>
            <w:rStyle w:val="Hyperlink"/>
            <w:rFonts w:hint="eastAsia"/>
            <w:rtl/>
          </w:rPr>
          <w:t>אדם</w:t>
        </w:r>
        <w:r w:rsidRPr="003C40C8">
          <w:rPr>
            <w:rStyle w:val="Hyperlink"/>
            <w:rtl/>
          </w:rPr>
          <w:t xml:space="preserve"> </w:t>
        </w:r>
        <w:r w:rsidRPr="003C40C8">
          <w:rPr>
            <w:rStyle w:val="Hyperlink"/>
            <w:rFonts w:hint="eastAsia"/>
            <w:rtl/>
          </w:rPr>
          <w:t>של</w:t>
        </w:r>
        <w:r w:rsidRPr="003C40C8">
          <w:rPr>
            <w:rStyle w:val="Hyperlink"/>
            <w:rtl/>
          </w:rPr>
          <w:t xml:space="preserve"> </w:t>
        </w:r>
        <w:r w:rsidRPr="003C40C8">
          <w:rPr>
            <w:rStyle w:val="Hyperlink"/>
            <w:rFonts w:hint="eastAsia"/>
            <w:rtl/>
          </w:rPr>
          <w:t>האו</w:t>
        </w:r>
        <w:r w:rsidRPr="003C40C8">
          <w:rPr>
            <w:rStyle w:val="Hyperlink"/>
            <w:rtl/>
          </w:rPr>
          <w:t>"</w:t>
        </w:r>
        <w:r w:rsidRPr="003C40C8">
          <w:rPr>
            <w:rStyle w:val="Hyperlink"/>
            <w:rFonts w:hint="eastAsia"/>
            <w:rtl/>
          </w:rPr>
          <w:t>ם</w:t>
        </w:r>
        <w:r w:rsidRPr="003C40C8">
          <w:rPr>
            <w:rStyle w:val="Hyperlink"/>
            <w:rtl/>
          </w:rPr>
          <w:t xml:space="preserve"> </w:t>
        </w:r>
        <w:r w:rsidRPr="003C40C8">
          <w:rPr>
            <w:rStyle w:val="Hyperlink"/>
            <w:rFonts w:hint="eastAsia"/>
            <w:rtl/>
          </w:rPr>
          <w:t>לבחינת</w:t>
        </w:r>
        <w:r w:rsidRPr="003C40C8">
          <w:rPr>
            <w:rStyle w:val="Hyperlink"/>
            <w:rtl/>
          </w:rPr>
          <w:t xml:space="preserve"> </w:t>
        </w:r>
        <w:r w:rsidRPr="003C40C8">
          <w:rPr>
            <w:rStyle w:val="Hyperlink"/>
            <w:rFonts w:hint="eastAsia"/>
            <w:rtl/>
          </w:rPr>
          <w:t>האירועים</w:t>
        </w:r>
        <w:r w:rsidRPr="003C40C8">
          <w:rPr>
            <w:rStyle w:val="Hyperlink"/>
            <w:rtl/>
          </w:rPr>
          <w:t xml:space="preserve"> </w:t>
        </w:r>
        <w:r w:rsidRPr="003C40C8">
          <w:rPr>
            <w:rStyle w:val="Hyperlink"/>
            <w:rFonts w:hint="eastAsia"/>
            <w:rtl/>
          </w:rPr>
          <w:t>האלימים</w:t>
        </w:r>
        <w:r w:rsidRPr="003C40C8">
          <w:rPr>
            <w:rStyle w:val="Hyperlink"/>
            <w:rtl/>
          </w:rPr>
          <w:t xml:space="preserve"> </w:t>
        </w:r>
        <w:r w:rsidRPr="003C40C8">
          <w:rPr>
            <w:rStyle w:val="Hyperlink"/>
            <w:rFonts w:hint="eastAsia"/>
            <w:rtl/>
          </w:rPr>
          <w:t>ב</w:t>
        </w:r>
        <w:r w:rsidRPr="003C40C8">
          <w:rPr>
            <w:rStyle w:val="Hyperlink"/>
            <w:rtl/>
          </w:rPr>
          <w:t>"</w:t>
        </w:r>
        <w:r w:rsidRPr="003C40C8">
          <w:rPr>
            <w:rStyle w:val="Hyperlink"/>
            <w:rFonts w:hint="eastAsia"/>
            <w:rtl/>
          </w:rPr>
          <w:t>שטחים</w:t>
        </w:r>
        <w:r w:rsidRPr="003C40C8">
          <w:rPr>
            <w:rStyle w:val="Hyperlink"/>
            <w:rtl/>
          </w:rPr>
          <w:t xml:space="preserve"> </w:t>
        </w:r>
        <w:r w:rsidRPr="003C40C8">
          <w:rPr>
            <w:rStyle w:val="Hyperlink"/>
            <w:rFonts w:hint="eastAsia"/>
            <w:rtl/>
          </w:rPr>
          <w:t>הפלסטיניים</w:t>
        </w:r>
        <w:r w:rsidRPr="003C40C8">
          <w:rPr>
            <w:rStyle w:val="Hyperlink"/>
            <w:rtl/>
          </w:rPr>
          <w:t xml:space="preserve"> </w:t>
        </w:r>
        <w:r w:rsidRPr="003C40C8">
          <w:rPr>
            <w:rStyle w:val="Hyperlink"/>
            <w:rFonts w:hint="eastAsia"/>
            <w:rtl/>
          </w:rPr>
          <w:t>הכבושים</w:t>
        </w:r>
        <w:r w:rsidRPr="003C40C8">
          <w:rPr>
            <w:rStyle w:val="Hyperlink"/>
            <w:rtl/>
          </w:rPr>
          <w:t xml:space="preserve">" </w:t>
        </w:r>
        <w:r w:rsidRPr="003C40C8">
          <w:rPr>
            <w:rStyle w:val="Hyperlink"/>
            <w:rFonts w:hint="eastAsia"/>
            <w:rtl/>
          </w:rPr>
          <w:t>באוקטובר</w:t>
        </w:r>
        <w:r w:rsidRPr="003C40C8">
          <w:rPr>
            <w:rStyle w:val="Hyperlink"/>
            <w:rtl/>
          </w:rPr>
          <w:t xml:space="preserve"> 2000 (2000)</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Toc456027352 \h</w:instrText>
        </w:r>
        <w:r>
          <w:rPr>
            <w:webHidden/>
            <w:rtl/>
          </w:rPr>
          <w:instrText xml:space="preserve"> </w:instrText>
        </w:r>
        <w:r>
          <w:rPr>
            <w:webHidden/>
            <w:rtl/>
          </w:rPr>
        </w:r>
        <w:r>
          <w:rPr>
            <w:webHidden/>
            <w:rtl/>
          </w:rPr>
          <w:fldChar w:fldCharType="separate"/>
        </w:r>
        <w:r>
          <w:rPr>
            <w:webHidden/>
            <w:rtl/>
          </w:rPr>
          <w:t>129</w:t>
        </w:r>
        <w:r>
          <w:rPr>
            <w:webHidden/>
            <w:rtl/>
          </w:rPr>
          <w:fldChar w:fldCharType="end"/>
        </w:r>
      </w:hyperlink>
    </w:p>
    <w:p w:rsidR="00FA11B8" w:rsidRDefault="00FA11B8">
      <w:pPr>
        <w:pStyle w:val="TOC2"/>
        <w:tabs>
          <w:tab w:val="left" w:pos="1760"/>
        </w:tabs>
        <w:rPr>
          <w:rFonts w:eastAsiaTheme="minorEastAsia" w:cstheme="minorBidi"/>
          <w:b w:val="0"/>
          <w:bCs w:val="0"/>
          <w:rtl/>
        </w:rPr>
      </w:pPr>
      <w:hyperlink w:anchor="_Toc456027353" w:history="1">
        <w:r w:rsidRPr="003C40C8">
          <w:rPr>
            <w:rStyle w:val="Hyperlink"/>
            <w:rtl/>
          </w:rPr>
          <w:t>6.</w:t>
        </w:r>
        <w:r>
          <w:rPr>
            <w:rFonts w:eastAsiaTheme="minorEastAsia" w:cstheme="minorBidi"/>
            <w:b w:val="0"/>
            <w:bCs w:val="0"/>
            <w:rtl/>
          </w:rPr>
          <w:tab/>
        </w:r>
        <w:r w:rsidRPr="003C40C8">
          <w:rPr>
            <w:rStyle w:val="Hyperlink"/>
            <w:rFonts w:hint="eastAsia"/>
            <w:rtl/>
          </w:rPr>
          <w:t>ועדת</w:t>
        </w:r>
        <w:r w:rsidRPr="003C40C8">
          <w:rPr>
            <w:rStyle w:val="Hyperlink"/>
            <w:rtl/>
          </w:rPr>
          <w:t xml:space="preserve"> </w:t>
        </w:r>
        <w:r w:rsidRPr="003C40C8">
          <w:rPr>
            <w:rStyle w:val="Hyperlink"/>
            <w:rFonts w:hint="eastAsia"/>
            <w:rtl/>
          </w:rPr>
          <w:t>החקירה</w:t>
        </w:r>
        <w:r w:rsidRPr="003C40C8">
          <w:rPr>
            <w:rStyle w:val="Hyperlink"/>
            <w:rtl/>
          </w:rPr>
          <w:t xml:space="preserve"> </w:t>
        </w:r>
        <w:r w:rsidRPr="003C40C8">
          <w:rPr>
            <w:rStyle w:val="Hyperlink"/>
            <w:rFonts w:hint="eastAsia"/>
            <w:rtl/>
          </w:rPr>
          <w:t>לבחינת</w:t>
        </w:r>
        <w:r w:rsidRPr="003C40C8">
          <w:rPr>
            <w:rStyle w:val="Hyperlink"/>
            <w:rtl/>
          </w:rPr>
          <w:t xml:space="preserve"> </w:t>
        </w:r>
        <w:r w:rsidRPr="003C40C8">
          <w:rPr>
            <w:rStyle w:val="Hyperlink"/>
            <w:rFonts w:hint="eastAsia"/>
            <w:rtl/>
          </w:rPr>
          <w:t>האירועים</w:t>
        </w:r>
        <w:r w:rsidRPr="003C40C8">
          <w:rPr>
            <w:rStyle w:val="Hyperlink"/>
            <w:rtl/>
          </w:rPr>
          <w:t xml:space="preserve"> </w:t>
        </w:r>
        <w:r w:rsidRPr="003C40C8">
          <w:rPr>
            <w:rStyle w:val="Hyperlink"/>
            <w:rFonts w:hint="eastAsia"/>
            <w:rtl/>
          </w:rPr>
          <w:t>האלימים</w:t>
        </w:r>
        <w:r w:rsidRPr="003C40C8">
          <w:rPr>
            <w:rStyle w:val="Hyperlink"/>
            <w:rtl/>
          </w:rPr>
          <w:t xml:space="preserve"> </w:t>
        </w:r>
        <w:r w:rsidRPr="003C40C8">
          <w:rPr>
            <w:rStyle w:val="Hyperlink"/>
            <w:rFonts w:hint="eastAsia"/>
            <w:rtl/>
          </w:rPr>
          <w:t>ב</w:t>
        </w:r>
        <w:r w:rsidRPr="003C40C8">
          <w:rPr>
            <w:rStyle w:val="Hyperlink"/>
            <w:rtl/>
          </w:rPr>
          <w:t>"</w:t>
        </w:r>
        <w:r w:rsidRPr="003C40C8">
          <w:rPr>
            <w:rStyle w:val="Hyperlink"/>
            <w:rFonts w:hint="eastAsia"/>
            <w:rtl/>
          </w:rPr>
          <w:t>שטחים</w:t>
        </w:r>
        <w:r w:rsidRPr="003C40C8">
          <w:rPr>
            <w:rStyle w:val="Hyperlink"/>
            <w:rtl/>
          </w:rPr>
          <w:t xml:space="preserve"> </w:t>
        </w:r>
        <w:r w:rsidRPr="003C40C8">
          <w:rPr>
            <w:rStyle w:val="Hyperlink"/>
            <w:rFonts w:hint="eastAsia"/>
            <w:rtl/>
          </w:rPr>
          <w:t>הפלסטיניים</w:t>
        </w:r>
        <w:r w:rsidRPr="003C40C8">
          <w:rPr>
            <w:rStyle w:val="Hyperlink"/>
            <w:rtl/>
          </w:rPr>
          <w:t xml:space="preserve"> </w:t>
        </w:r>
        <w:r w:rsidRPr="003C40C8">
          <w:rPr>
            <w:rStyle w:val="Hyperlink"/>
            <w:rFonts w:hint="eastAsia"/>
            <w:rtl/>
          </w:rPr>
          <w:t>הכבושים</w:t>
        </w:r>
        <w:r w:rsidRPr="003C40C8">
          <w:rPr>
            <w:rStyle w:val="Hyperlink"/>
            <w:rtl/>
          </w:rPr>
          <w:t xml:space="preserve">" </w:t>
        </w:r>
        <w:r w:rsidRPr="003C40C8">
          <w:rPr>
            <w:rStyle w:val="Hyperlink"/>
            <w:rFonts w:hint="eastAsia"/>
            <w:rtl/>
          </w:rPr>
          <w:t>באוקטובר</w:t>
        </w:r>
        <w:r w:rsidRPr="003C40C8">
          <w:rPr>
            <w:rStyle w:val="Hyperlink"/>
            <w:rtl/>
          </w:rPr>
          <w:t xml:space="preserve"> 2000 (2000)</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Toc456027353 \h</w:instrText>
        </w:r>
        <w:r>
          <w:rPr>
            <w:webHidden/>
            <w:rtl/>
          </w:rPr>
          <w:instrText xml:space="preserve"> </w:instrText>
        </w:r>
        <w:r>
          <w:rPr>
            <w:webHidden/>
            <w:rtl/>
          </w:rPr>
        </w:r>
        <w:r>
          <w:rPr>
            <w:webHidden/>
            <w:rtl/>
          </w:rPr>
          <w:fldChar w:fldCharType="separate"/>
        </w:r>
        <w:r>
          <w:rPr>
            <w:webHidden/>
            <w:rtl/>
          </w:rPr>
          <w:t>130</w:t>
        </w:r>
        <w:r>
          <w:rPr>
            <w:webHidden/>
            <w:rtl/>
          </w:rPr>
          <w:fldChar w:fldCharType="end"/>
        </w:r>
      </w:hyperlink>
    </w:p>
    <w:p w:rsidR="00FA11B8" w:rsidRDefault="00FA11B8">
      <w:pPr>
        <w:pStyle w:val="TOC2"/>
        <w:tabs>
          <w:tab w:val="left" w:pos="1783"/>
        </w:tabs>
        <w:rPr>
          <w:rFonts w:eastAsiaTheme="minorEastAsia" w:cstheme="minorBidi"/>
          <w:b w:val="0"/>
          <w:bCs w:val="0"/>
          <w:rtl/>
        </w:rPr>
      </w:pPr>
      <w:hyperlink w:anchor="_Toc456027354" w:history="1">
        <w:r w:rsidRPr="003C40C8">
          <w:rPr>
            <w:rStyle w:val="Hyperlink"/>
            <w:rtl/>
          </w:rPr>
          <w:t>7.</w:t>
        </w:r>
        <w:r>
          <w:rPr>
            <w:rFonts w:eastAsiaTheme="minorEastAsia" w:cstheme="minorBidi"/>
            <w:b w:val="0"/>
            <w:bCs w:val="0"/>
            <w:rtl/>
          </w:rPr>
          <w:tab/>
        </w:r>
        <w:r w:rsidRPr="003C40C8">
          <w:rPr>
            <w:rStyle w:val="Hyperlink"/>
            <w:rFonts w:hint="eastAsia"/>
            <w:rtl/>
          </w:rPr>
          <w:t>הצוות</w:t>
        </w:r>
        <w:r w:rsidRPr="003C40C8">
          <w:rPr>
            <w:rStyle w:val="Hyperlink"/>
            <w:rtl/>
          </w:rPr>
          <w:t xml:space="preserve"> </w:t>
        </w:r>
        <w:r w:rsidRPr="003C40C8">
          <w:rPr>
            <w:rStyle w:val="Hyperlink"/>
            <w:rFonts w:hint="eastAsia"/>
            <w:rtl/>
          </w:rPr>
          <w:t>לבירור</w:t>
        </w:r>
        <w:r w:rsidRPr="003C40C8">
          <w:rPr>
            <w:rStyle w:val="Hyperlink"/>
            <w:rtl/>
          </w:rPr>
          <w:t xml:space="preserve"> </w:t>
        </w:r>
        <w:r w:rsidRPr="003C40C8">
          <w:rPr>
            <w:rStyle w:val="Hyperlink"/>
            <w:rFonts w:hint="eastAsia"/>
            <w:rtl/>
          </w:rPr>
          <w:t>העובדות</w:t>
        </w:r>
        <w:r w:rsidRPr="003C40C8">
          <w:rPr>
            <w:rStyle w:val="Hyperlink"/>
            <w:rtl/>
          </w:rPr>
          <w:t xml:space="preserve"> </w:t>
        </w:r>
        <w:r w:rsidRPr="003C40C8">
          <w:rPr>
            <w:rStyle w:val="Hyperlink"/>
            <w:rFonts w:hint="eastAsia"/>
            <w:rtl/>
          </w:rPr>
          <w:t>על</w:t>
        </w:r>
        <w:r w:rsidRPr="003C40C8">
          <w:rPr>
            <w:rStyle w:val="Hyperlink"/>
            <w:rtl/>
          </w:rPr>
          <w:t xml:space="preserve"> </w:t>
        </w:r>
        <w:r w:rsidRPr="003C40C8">
          <w:rPr>
            <w:rStyle w:val="Hyperlink"/>
            <w:rFonts w:hint="eastAsia"/>
            <w:rtl/>
          </w:rPr>
          <w:t>הקרב</w:t>
        </w:r>
        <w:r w:rsidRPr="003C40C8">
          <w:rPr>
            <w:rStyle w:val="Hyperlink"/>
            <w:rtl/>
          </w:rPr>
          <w:t xml:space="preserve"> </w:t>
        </w:r>
        <w:r w:rsidRPr="003C40C8">
          <w:rPr>
            <w:rStyle w:val="Hyperlink"/>
            <w:rFonts w:hint="eastAsia"/>
            <w:rtl/>
          </w:rPr>
          <w:t>במחנה</w:t>
        </w:r>
        <w:r w:rsidRPr="003C40C8">
          <w:rPr>
            <w:rStyle w:val="Hyperlink"/>
            <w:rtl/>
          </w:rPr>
          <w:t xml:space="preserve"> </w:t>
        </w:r>
        <w:r w:rsidRPr="003C40C8">
          <w:rPr>
            <w:rStyle w:val="Hyperlink"/>
            <w:rFonts w:hint="eastAsia"/>
            <w:rtl/>
          </w:rPr>
          <w:t>הפליטים</w:t>
        </w:r>
        <w:r w:rsidRPr="003C40C8">
          <w:rPr>
            <w:rStyle w:val="Hyperlink"/>
            <w:rtl/>
          </w:rPr>
          <w:t xml:space="preserve"> </w:t>
        </w:r>
        <w:r w:rsidRPr="003C40C8">
          <w:rPr>
            <w:rStyle w:val="Hyperlink"/>
            <w:rFonts w:hint="eastAsia"/>
            <w:rtl/>
          </w:rPr>
          <w:t>בג</w:t>
        </w:r>
        <w:r w:rsidRPr="003C40C8">
          <w:rPr>
            <w:rStyle w:val="Hyperlink"/>
            <w:rtl/>
          </w:rPr>
          <w:t>'</w:t>
        </w:r>
        <w:r w:rsidRPr="003C40C8">
          <w:rPr>
            <w:rStyle w:val="Hyperlink"/>
            <w:rFonts w:hint="eastAsia"/>
            <w:rtl/>
          </w:rPr>
          <w:t>נין</w:t>
        </w:r>
        <w:r w:rsidRPr="003C40C8">
          <w:rPr>
            <w:rStyle w:val="Hyperlink"/>
            <w:rtl/>
          </w:rPr>
          <w:t xml:space="preserve"> (2002)</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Toc456027354 \h</w:instrText>
        </w:r>
        <w:r>
          <w:rPr>
            <w:webHidden/>
            <w:rtl/>
          </w:rPr>
          <w:instrText xml:space="preserve"> </w:instrText>
        </w:r>
        <w:r>
          <w:rPr>
            <w:webHidden/>
            <w:rtl/>
          </w:rPr>
        </w:r>
        <w:r>
          <w:rPr>
            <w:webHidden/>
            <w:rtl/>
          </w:rPr>
          <w:fldChar w:fldCharType="separate"/>
        </w:r>
        <w:r>
          <w:rPr>
            <w:webHidden/>
            <w:rtl/>
          </w:rPr>
          <w:t>130</w:t>
        </w:r>
        <w:r>
          <w:rPr>
            <w:webHidden/>
            <w:rtl/>
          </w:rPr>
          <w:fldChar w:fldCharType="end"/>
        </w:r>
      </w:hyperlink>
    </w:p>
    <w:p w:rsidR="00FA11B8" w:rsidRDefault="00FA11B8">
      <w:pPr>
        <w:pStyle w:val="TOC2"/>
        <w:tabs>
          <w:tab w:val="left" w:pos="1783"/>
        </w:tabs>
        <w:rPr>
          <w:rFonts w:eastAsiaTheme="minorEastAsia" w:cstheme="minorBidi"/>
          <w:b w:val="0"/>
          <w:bCs w:val="0"/>
          <w:rtl/>
        </w:rPr>
      </w:pPr>
      <w:hyperlink w:anchor="_Toc456027355" w:history="1">
        <w:r w:rsidRPr="003C40C8">
          <w:rPr>
            <w:rStyle w:val="Hyperlink"/>
            <w:rtl/>
          </w:rPr>
          <w:t>8.</w:t>
        </w:r>
        <w:r>
          <w:rPr>
            <w:rFonts w:eastAsiaTheme="minorEastAsia" w:cstheme="minorBidi"/>
            <w:b w:val="0"/>
            <w:bCs w:val="0"/>
            <w:rtl/>
          </w:rPr>
          <w:tab/>
        </w:r>
        <w:r w:rsidRPr="003C40C8">
          <w:rPr>
            <w:rStyle w:val="Hyperlink"/>
            <w:rFonts w:hint="eastAsia"/>
            <w:rtl/>
          </w:rPr>
          <w:t>ועדת</w:t>
        </w:r>
        <w:r w:rsidRPr="003C40C8">
          <w:rPr>
            <w:rStyle w:val="Hyperlink"/>
            <w:rtl/>
          </w:rPr>
          <w:t xml:space="preserve"> </w:t>
        </w:r>
        <w:r w:rsidRPr="003C40C8">
          <w:rPr>
            <w:rStyle w:val="Hyperlink"/>
            <w:rFonts w:hint="eastAsia"/>
            <w:rtl/>
          </w:rPr>
          <w:t>החקירה</w:t>
        </w:r>
        <w:r w:rsidRPr="003C40C8">
          <w:rPr>
            <w:rStyle w:val="Hyperlink"/>
            <w:rtl/>
          </w:rPr>
          <w:t xml:space="preserve"> </w:t>
        </w:r>
        <w:r w:rsidRPr="003C40C8">
          <w:rPr>
            <w:rStyle w:val="Hyperlink"/>
            <w:rFonts w:hint="eastAsia"/>
            <w:rtl/>
          </w:rPr>
          <w:t>בעקבות</w:t>
        </w:r>
        <w:r w:rsidRPr="003C40C8">
          <w:rPr>
            <w:rStyle w:val="Hyperlink"/>
            <w:rtl/>
          </w:rPr>
          <w:t xml:space="preserve"> </w:t>
        </w:r>
        <w:r w:rsidRPr="003C40C8">
          <w:rPr>
            <w:rStyle w:val="Hyperlink"/>
            <w:rFonts w:hint="eastAsia"/>
            <w:rtl/>
          </w:rPr>
          <w:t>מלחמת</w:t>
        </w:r>
        <w:r w:rsidRPr="003C40C8">
          <w:rPr>
            <w:rStyle w:val="Hyperlink"/>
            <w:rtl/>
          </w:rPr>
          <w:t xml:space="preserve"> </w:t>
        </w:r>
        <w:r w:rsidRPr="003C40C8">
          <w:rPr>
            <w:rStyle w:val="Hyperlink"/>
            <w:rFonts w:hint="eastAsia"/>
            <w:rtl/>
          </w:rPr>
          <w:t>לבנון</w:t>
        </w:r>
        <w:r w:rsidRPr="003C40C8">
          <w:rPr>
            <w:rStyle w:val="Hyperlink"/>
            <w:rtl/>
          </w:rPr>
          <w:t xml:space="preserve"> </w:t>
        </w:r>
        <w:r w:rsidRPr="003C40C8">
          <w:rPr>
            <w:rStyle w:val="Hyperlink"/>
            <w:rFonts w:hint="eastAsia"/>
            <w:rtl/>
          </w:rPr>
          <w:t>השנייה</w:t>
        </w:r>
        <w:r w:rsidRPr="003C40C8">
          <w:rPr>
            <w:rStyle w:val="Hyperlink"/>
            <w:rtl/>
          </w:rPr>
          <w:t xml:space="preserve"> (2006)</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Toc456027355 \h</w:instrText>
        </w:r>
        <w:r>
          <w:rPr>
            <w:webHidden/>
            <w:rtl/>
          </w:rPr>
          <w:instrText xml:space="preserve"> </w:instrText>
        </w:r>
        <w:r>
          <w:rPr>
            <w:webHidden/>
            <w:rtl/>
          </w:rPr>
        </w:r>
        <w:r>
          <w:rPr>
            <w:webHidden/>
            <w:rtl/>
          </w:rPr>
          <w:fldChar w:fldCharType="separate"/>
        </w:r>
        <w:r>
          <w:rPr>
            <w:webHidden/>
            <w:rtl/>
          </w:rPr>
          <w:t>131</w:t>
        </w:r>
        <w:r>
          <w:rPr>
            <w:webHidden/>
            <w:rtl/>
          </w:rPr>
          <w:fldChar w:fldCharType="end"/>
        </w:r>
      </w:hyperlink>
    </w:p>
    <w:p w:rsidR="00FA11B8" w:rsidRDefault="00FA11B8">
      <w:pPr>
        <w:pStyle w:val="TOC2"/>
        <w:tabs>
          <w:tab w:val="left" w:pos="1783"/>
        </w:tabs>
        <w:rPr>
          <w:rFonts w:eastAsiaTheme="minorEastAsia" w:cstheme="minorBidi"/>
          <w:b w:val="0"/>
          <w:bCs w:val="0"/>
          <w:rtl/>
        </w:rPr>
      </w:pPr>
      <w:hyperlink w:anchor="_Toc456027356" w:history="1">
        <w:r w:rsidRPr="003C40C8">
          <w:rPr>
            <w:rStyle w:val="Hyperlink"/>
            <w:rtl/>
          </w:rPr>
          <w:t>9.</w:t>
        </w:r>
        <w:r>
          <w:rPr>
            <w:rFonts w:eastAsiaTheme="minorEastAsia" w:cstheme="minorBidi"/>
            <w:b w:val="0"/>
            <w:bCs w:val="0"/>
            <w:rtl/>
          </w:rPr>
          <w:tab/>
        </w:r>
        <w:r w:rsidRPr="003C40C8">
          <w:rPr>
            <w:rStyle w:val="Hyperlink"/>
            <w:rFonts w:hint="eastAsia"/>
            <w:rtl/>
          </w:rPr>
          <w:t>ועדה</w:t>
        </w:r>
        <w:r w:rsidRPr="003C40C8">
          <w:rPr>
            <w:rStyle w:val="Hyperlink"/>
            <w:rtl/>
          </w:rPr>
          <w:t xml:space="preserve"> </w:t>
        </w:r>
        <w:r w:rsidRPr="003C40C8">
          <w:rPr>
            <w:rStyle w:val="Hyperlink"/>
            <w:rFonts w:hint="eastAsia"/>
            <w:rtl/>
          </w:rPr>
          <w:t>לבירור</w:t>
        </w:r>
        <w:r w:rsidRPr="003C40C8">
          <w:rPr>
            <w:rStyle w:val="Hyperlink"/>
            <w:rtl/>
          </w:rPr>
          <w:t xml:space="preserve"> </w:t>
        </w:r>
        <w:r w:rsidRPr="003C40C8">
          <w:rPr>
            <w:rStyle w:val="Hyperlink"/>
            <w:rFonts w:hint="eastAsia"/>
            <w:rtl/>
          </w:rPr>
          <w:t>עובדות</w:t>
        </w:r>
        <w:r w:rsidRPr="003C40C8">
          <w:rPr>
            <w:rStyle w:val="Hyperlink"/>
            <w:rtl/>
          </w:rPr>
          <w:t xml:space="preserve"> </w:t>
        </w:r>
        <w:r w:rsidRPr="003C40C8">
          <w:rPr>
            <w:rStyle w:val="Hyperlink"/>
            <w:rFonts w:hint="eastAsia"/>
            <w:rtl/>
          </w:rPr>
          <w:t>האירוע</w:t>
        </w:r>
        <w:r w:rsidRPr="003C40C8">
          <w:rPr>
            <w:rStyle w:val="Hyperlink"/>
            <w:rtl/>
          </w:rPr>
          <w:t xml:space="preserve"> </w:t>
        </w:r>
        <w:r w:rsidRPr="003C40C8">
          <w:rPr>
            <w:rStyle w:val="Hyperlink"/>
            <w:rFonts w:hint="eastAsia"/>
            <w:rtl/>
          </w:rPr>
          <w:t>בבית</w:t>
        </w:r>
        <w:r w:rsidRPr="003C40C8">
          <w:rPr>
            <w:rStyle w:val="Hyperlink"/>
            <w:rtl/>
          </w:rPr>
          <w:t xml:space="preserve"> </w:t>
        </w:r>
        <w:r w:rsidRPr="003C40C8">
          <w:rPr>
            <w:rStyle w:val="Hyperlink"/>
            <w:rFonts w:hint="eastAsia"/>
            <w:rtl/>
          </w:rPr>
          <w:t>חנון</w:t>
        </w:r>
        <w:r w:rsidRPr="003C40C8">
          <w:rPr>
            <w:rStyle w:val="Hyperlink"/>
            <w:rtl/>
          </w:rPr>
          <w:t xml:space="preserve"> (2006)</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Toc456027356 \h</w:instrText>
        </w:r>
        <w:r>
          <w:rPr>
            <w:webHidden/>
            <w:rtl/>
          </w:rPr>
          <w:instrText xml:space="preserve"> </w:instrText>
        </w:r>
        <w:r>
          <w:rPr>
            <w:webHidden/>
            <w:rtl/>
          </w:rPr>
        </w:r>
        <w:r>
          <w:rPr>
            <w:webHidden/>
            <w:rtl/>
          </w:rPr>
          <w:fldChar w:fldCharType="separate"/>
        </w:r>
        <w:r>
          <w:rPr>
            <w:webHidden/>
            <w:rtl/>
          </w:rPr>
          <w:t>131</w:t>
        </w:r>
        <w:r>
          <w:rPr>
            <w:webHidden/>
            <w:rtl/>
          </w:rPr>
          <w:fldChar w:fldCharType="end"/>
        </w:r>
      </w:hyperlink>
    </w:p>
    <w:p w:rsidR="00FA11B8" w:rsidRDefault="00FA11B8">
      <w:pPr>
        <w:pStyle w:val="TOC2"/>
        <w:tabs>
          <w:tab w:val="left" w:pos="1880"/>
        </w:tabs>
        <w:rPr>
          <w:rFonts w:eastAsiaTheme="minorEastAsia" w:cstheme="minorBidi"/>
          <w:b w:val="0"/>
          <w:bCs w:val="0"/>
          <w:rtl/>
        </w:rPr>
      </w:pPr>
      <w:hyperlink w:anchor="_Toc456027357" w:history="1">
        <w:r w:rsidRPr="003C40C8">
          <w:rPr>
            <w:rStyle w:val="Hyperlink"/>
            <w:rtl/>
          </w:rPr>
          <w:t>10.</w:t>
        </w:r>
        <w:r>
          <w:rPr>
            <w:rFonts w:eastAsiaTheme="minorEastAsia" w:cstheme="minorBidi"/>
            <w:b w:val="0"/>
            <w:bCs w:val="0"/>
            <w:rtl/>
          </w:rPr>
          <w:tab/>
        </w:r>
        <w:r w:rsidRPr="003C40C8">
          <w:rPr>
            <w:rStyle w:val="Hyperlink"/>
            <w:rFonts w:hint="eastAsia"/>
            <w:rtl/>
          </w:rPr>
          <w:t>הוועדה</w:t>
        </w:r>
        <w:r w:rsidRPr="003C40C8">
          <w:rPr>
            <w:rStyle w:val="Hyperlink"/>
            <w:rtl/>
          </w:rPr>
          <w:t xml:space="preserve"> </w:t>
        </w:r>
        <w:r w:rsidRPr="003C40C8">
          <w:rPr>
            <w:rStyle w:val="Hyperlink"/>
            <w:rFonts w:hint="eastAsia"/>
            <w:rtl/>
          </w:rPr>
          <w:t>לבירור</w:t>
        </w:r>
        <w:r w:rsidRPr="003C40C8">
          <w:rPr>
            <w:rStyle w:val="Hyperlink"/>
            <w:rtl/>
          </w:rPr>
          <w:t xml:space="preserve"> </w:t>
        </w:r>
        <w:r w:rsidRPr="003C40C8">
          <w:rPr>
            <w:rStyle w:val="Hyperlink"/>
            <w:rFonts w:hint="eastAsia"/>
            <w:rtl/>
          </w:rPr>
          <w:t>עובדות</w:t>
        </w:r>
        <w:r w:rsidRPr="003C40C8">
          <w:rPr>
            <w:rStyle w:val="Hyperlink"/>
            <w:rtl/>
          </w:rPr>
          <w:t xml:space="preserve"> </w:t>
        </w:r>
        <w:r w:rsidRPr="003C40C8">
          <w:rPr>
            <w:rStyle w:val="Hyperlink"/>
            <w:rFonts w:hint="eastAsia"/>
            <w:rtl/>
          </w:rPr>
          <w:t>העימות</w:t>
        </w:r>
        <w:r w:rsidRPr="003C40C8">
          <w:rPr>
            <w:rStyle w:val="Hyperlink"/>
            <w:rtl/>
          </w:rPr>
          <w:t xml:space="preserve"> </w:t>
        </w:r>
        <w:r w:rsidRPr="003C40C8">
          <w:rPr>
            <w:rStyle w:val="Hyperlink"/>
            <w:rFonts w:hint="eastAsia"/>
            <w:rtl/>
          </w:rPr>
          <w:t>בעזה</w:t>
        </w:r>
        <w:r w:rsidRPr="003C40C8">
          <w:rPr>
            <w:rStyle w:val="Hyperlink"/>
            <w:rtl/>
          </w:rPr>
          <w:t xml:space="preserve"> </w:t>
        </w:r>
        <w:r w:rsidRPr="003C40C8">
          <w:rPr>
            <w:rStyle w:val="Hyperlink"/>
            <w:rFonts w:hint="eastAsia"/>
            <w:rtl/>
          </w:rPr>
          <w:t>במבצע</w:t>
        </w:r>
        <w:r w:rsidRPr="003C40C8">
          <w:rPr>
            <w:rStyle w:val="Hyperlink"/>
            <w:rtl/>
          </w:rPr>
          <w:t xml:space="preserve"> "</w:t>
        </w:r>
        <w:r w:rsidRPr="003C40C8">
          <w:rPr>
            <w:rStyle w:val="Hyperlink"/>
            <w:rFonts w:hint="eastAsia"/>
            <w:rtl/>
          </w:rPr>
          <w:t>עופרת</w:t>
        </w:r>
        <w:r w:rsidRPr="003C40C8">
          <w:rPr>
            <w:rStyle w:val="Hyperlink"/>
            <w:rtl/>
          </w:rPr>
          <w:t xml:space="preserve"> </w:t>
        </w:r>
        <w:r w:rsidRPr="003C40C8">
          <w:rPr>
            <w:rStyle w:val="Hyperlink"/>
            <w:rFonts w:hint="eastAsia"/>
            <w:rtl/>
          </w:rPr>
          <w:t>יצוקה</w:t>
        </w:r>
        <w:r w:rsidRPr="003C40C8">
          <w:rPr>
            <w:rStyle w:val="Hyperlink"/>
            <w:rtl/>
          </w:rPr>
          <w:t>" (2009)</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Toc456027357 \h</w:instrText>
        </w:r>
        <w:r>
          <w:rPr>
            <w:webHidden/>
            <w:rtl/>
          </w:rPr>
          <w:instrText xml:space="preserve"> </w:instrText>
        </w:r>
        <w:r>
          <w:rPr>
            <w:webHidden/>
            <w:rtl/>
          </w:rPr>
        </w:r>
        <w:r>
          <w:rPr>
            <w:webHidden/>
            <w:rtl/>
          </w:rPr>
          <w:fldChar w:fldCharType="separate"/>
        </w:r>
        <w:r>
          <w:rPr>
            <w:webHidden/>
            <w:rtl/>
          </w:rPr>
          <w:t>132</w:t>
        </w:r>
        <w:r>
          <w:rPr>
            <w:webHidden/>
            <w:rtl/>
          </w:rPr>
          <w:fldChar w:fldCharType="end"/>
        </w:r>
      </w:hyperlink>
    </w:p>
    <w:p w:rsidR="00FA11B8" w:rsidRDefault="00FA11B8">
      <w:pPr>
        <w:pStyle w:val="TOC2"/>
        <w:tabs>
          <w:tab w:val="left" w:pos="1820"/>
        </w:tabs>
        <w:rPr>
          <w:rFonts w:eastAsiaTheme="minorEastAsia" w:cstheme="minorBidi"/>
          <w:b w:val="0"/>
          <w:bCs w:val="0"/>
          <w:rtl/>
        </w:rPr>
      </w:pPr>
      <w:hyperlink w:anchor="_Toc456027358" w:history="1">
        <w:r w:rsidRPr="003C40C8">
          <w:rPr>
            <w:rStyle w:val="Hyperlink"/>
            <w:rtl/>
          </w:rPr>
          <w:t>11.</w:t>
        </w:r>
        <w:r>
          <w:rPr>
            <w:rFonts w:eastAsiaTheme="minorEastAsia" w:cstheme="minorBidi"/>
            <w:b w:val="0"/>
            <w:bCs w:val="0"/>
            <w:rtl/>
          </w:rPr>
          <w:tab/>
        </w:r>
        <w:r w:rsidRPr="003C40C8">
          <w:rPr>
            <w:rStyle w:val="Hyperlink"/>
            <w:rFonts w:hint="eastAsia"/>
            <w:rtl/>
          </w:rPr>
          <w:t>ועדת</w:t>
        </w:r>
        <w:r w:rsidRPr="003C40C8">
          <w:rPr>
            <w:rStyle w:val="Hyperlink"/>
            <w:rtl/>
          </w:rPr>
          <w:t xml:space="preserve"> </w:t>
        </w:r>
        <w:r w:rsidRPr="003C40C8">
          <w:rPr>
            <w:rStyle w:val="Hyperlink"/>
            <w:rFonts w:hint="eastAsia"/>
            <w:rtl/>
          </w:rPr>
          <w:t>החקירה</w:t>
        </w:r>
        <w:r w:rsidRPr="003C40C8">
          <w:rPr>
            <w:rStyle w:val="Hyperlink"/>
            <w:rtl/>
          </w:rPr>
          <w:t xml:space="preserve"> </w:t>
        </w:r>
        <w:r w:rsidRPr="003C40C8">
          <w:rPr>
            <w:rStyle w:val="Hyperlink"/>
            <w:rFonts w:hint="eastAsia"/>
            <w:rtl/>
          </w:rPr>
          <w:t>בעקבות</w:t>
        </w:r>
        <w:r w:rsidRPr="003C40C8">
          <w:rPr>
            <w:rStyle w:val="Hyperlink"/>
            <w:rtl/>
          </w:rPr>
          <w:t xml:space="preserve"> </w:t>
        </w:r>
        <w:r w:rsidRPr="003C40C8">
          <w:rPr>
            <w:rStyle w:val="Hyperlink"/>
            <w:rFonts w:hint="eastAsia"/>
            <w:rtl/>
          </w:rPr>
          <w:t>הפגיעות</w:t>
        </w:r>
        <w:r w:rsidRPr="003C40C8">
          <w:rPr>
            <w:rStyle w:val="Hyperlink"/>
            <w:rtl/>
          </w:rPr>
          <w:t xml:space="preserve"> </w:t>
        </w:r>
        <w:r w:rsidRPr="003C40C8">
          <w:rPr>
            <w:rStyle w:val="Hyperlink"/>
            <w:rFonts w:hint="eastAsia"/>
            <w:rtl/>
          </w:rPr>
          <w:t>במתקני</w:t>
        </w:r>
        <w:r w:rsidRPr="003C40C8">
          <w:rPr>
            <w:rStyle w:val="Hyperlink"/>
            <w:rtl/>
          </w:rPr>
          <w:t xml:space="preserve"> </w:t>
        </w:r>
        <w:r w:rsidRPr="003C40C8">
          <w:rPr>
            <w:rStyle w:val="Hyperlink"/>
            <w:rFonts w:hint="eastAsia"/>
            <w:rtl/>
          </w:rPr>
          <w:t>או</w:t>
        </w:r>
        <w:r w:rsidRPr="003C40C8">
          <w:rPr>
            <w:rStyle w:val="Hyperlink"/>
            <w:rtl/>
          </w:rPr>
          <w:t>"</w:t>
        </w:r>
        <w:r w:rsidRPr="003C40C8">
          <w:rPr>
            <w:rStyle w:val="Hyperlink"/>
            <w:rFonts w:hint="eastAsia"/>
            <w:rtl/>
          </w:rPr>
          <w:t>ם</w:t>
        </w:r>
        <w:r w:rsidRPr="003C40C8">
          <w:rPr>
            <w:rStyle w:val="Hyperlink"/>
            <w:rtl/>
          </w:rPr>
          <w:t xml:space="preserve"> </w:t>
        </w:r>
        <w:r w:rsidRPr="003C40C8">
          <w:rPr>
            <w:rStyle w:val="Hyperlink"/>
            <w:rFonts w:hint="eastAsia"/>
            <w:rtl/>
          </w:rPr>
          <w:t>או</w:t>
        </w:r>
        <w:r w:rsidRPr="003C40C8">
          <w:rPr>
            <w:rStyle w:val="Hyperlink"/>
            <w:rtl/>
          </w:rPr>
          <w:t xml:space="preserve"> </w:t>
        </w:r>
        <w:r w:rsidRPr="003C40C8">
          <w:rPr>
            <w:rStyle w:val="Hyperlink"/>
            <w:rFonts w:hint="eastAsia"/>
            <w:rtl/>
          </w:rPr>
          <w:t>באנשים</w:t>
        </w:r>
        <w:r w:rsidRPr="003C40C8">
          <w:rPr>
            <w:rStyle w:val="Hyperlink"/>
            <w:rtl/>
          </w:rPr>
          <w:t xml:space="preserve"> </w:t>
        </w:r>
        <w:r w:rsidRPr="003C40C8">
          <w:rPr>
            <w:rStyle w:val="Hyperlink"/>
            <w:rFonts w:hint="eastAsia"/>
            <w:rtl/>
          </w:rPr>
          <w:t>ששהו</w:t>
        </w:r>
        <w:r w:rsidRPr="003C40C8">
          <w:rPr>
            <w:rStyle w:val="Hyperlink"/>
            <w:rtl/>
          </w:rPr>
          <w:t xml:space="preserve"> </w:t>
        </w:r>
        <w:r w:rsidRPr="003C40C8">
          <w:rPr>
            <w:rStyle w:val="Hyperlink"/>
            <w:rFonts w:hint="eastAsia"/>
            <w:rtl/>
          </w:rPr>
          <w:t>בהם</w:t>
        </w:r>
        <w:r w:rsidRPr="003C40C8">
          <w:rPr>
            <w:rStyle w:val="Hyperlink"/>
            <w:rtl/>
          </w:rPr>
          <w:t xml:space="preserve"> </w:t>
        </w:r>
        <w:r w:rsidRPr="003C40C8">
          <w:rPr>
            <w:rStyle w:val="Hyperlink"/>
            <w:rFonts w:hint="eastAsia"/>
            <w:rtl/>
          </w:rPr>
          <w:t>במהלך</w:t>
        </w:r>
        <w:r w:rsidRPr="003C40C8">
          <w:rPr>
            <w:rStyle w:val="Hyperlink"/>
            <w:rtl/>
          </w:rPr>
          <w:t xml:space="preserve"> </w:t>
        </w:r>
        <w:r w:rsidRPr="003C40C8">
          <w:rPr>
            <w:rStyle w:val="Hyperlink"/>
            <w:rFonts w:hint="eastAsia"/>
            <w:rtl/>
          </w:rPr>
          <w:t>מבצע</w:t>
        </w:r>
        <w:r w:rsidRPr="003C40C8">
          <w:rPr>
            <w:rStyle w:val="Hyperlink"/>
            <w:rtl/>
          </w:rPr>
          <w:t xml:space="preserve"> "</w:t>
        </w:r>
        <w:r w:rsidRPr="003C40C8">
          <w:rPr>
            <w:rStyle w:val="Hyperlink"/>
            <w:rFonts w:hint="eastAsia"/>
            <w:rtl/>
          </w:rPr>
          <w:t>עופרת</w:t>
        </w:r>
        <w:r w:rsidRPr="003C40C8">
          <w:rPr>
            <w:rStyle w:val="Hyperlink"/>
            <w:rtl/>
          </w:rPr>
          <w:t xml:space="preserve"> </w:t>
        </w:r>
        <w:r w:rsidRPr="003C40C8">
          <w:rPr>
            <w:rStyle w:val="Hyperlink"/>
            <w:rFonts w:hint="eastAsia"/>
            <w:rtl/>
          </w:rPr>
          <w:t>יצוקה</w:t>
        </w:r>
        <w:r w:rsidRPr="003C40C8">
          <w:rPr>
            <w:rStyle w:val="Hyperlink"/>
            <w:rtl/>
          </w:rPr>
          <w:t>" (2009)</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Toc456027358 \h</w:instrText>
        </w:r>
        <w:r>
          <w:rPr>
            <w:webHidden/>
            <w:rtl/>
          </w:rPr>
          <w:instrText xml:space="preserve"> </w:instrText>
        </w:r>
        <w:r>
          <w:rPr>
            <w:webHidden/>
            <w:rtl/>
          </w:rPr>
        </w:r>
        <w:r>
          <w:rPr>
            <w:webHidden/>
            <w:rtl/>
          </w:rPr>
          <w:fldChar w:fldCharType="separate"/>
        </w:r>
        <w:r>
          <w:rPr>
            <w:webHidden/>
            <w:rtl/>
          </w:rPr>
          <w:t>133</w:t>
        </w:r>
        <w:r>
          <w:rPr>
            <w:webHidden/>
            <w:rtl/>
          </w:rPr>
          <w:fldChar w:fldCharType="end"/>
        </w:r>
      </w:hyperlink>
    </w:p>
    <w:p w:rsidR="00FA11B8" w:rsidRDefault="00FA11B8">
      <w:pPr>
        <w:pStyle w:val="TOC2"/>
        <w:tabs>
          <w:tab w:val="left" w:pos="1880"/>
        </w:tabs>
        <w:rPr>
          <w:rFonts w:eastAsiaTheme="minorEastAsia" w:cstheme="minorBidi"/>
          <w:b w:val="0"/>
          <w:bCs w:val="0"/>
          <w:rtl/>
        </w:rPr>
      </w:pPr>
      <w:hyperlink w:anchor="_Toc456027359" w:history="1">
        <w:r w:rsidRPr="003C40C8">
          <w:rPr>
            <w:rStyle w:val="Hyperlink"/>
            <w:rtl/>
          </w:rPr>
          <w:t>12.</w:t>
        </w:r>
        <w:r>
          <w:rPr>
            <w:rFonts w:eastAsiaTheme="minorEastAsia" w:cstheme="minorBidi"/>
            <w:b w:val="0"/>
            <w:bCs w:val="0"/>
            <w:rtl/>
          </w:rPr>
          <w:tab/>
        </w:r>
        <w:r w:rsidRPr="003C40C8">
          <w:rPr>
            <w:rStyle w:val="Hyperlink"/>
            <w:rFonts w:hint="eastAsia"/>
            <w:rtl/>
          </w:rPr>
          <w:t>ועדה</w:t>
        </w:r>
        <w:r w:rsidRPr="003C40C8">
          <w:rPr>
            <w:rStyle w:val="Hyperlink"/>
            <w:rtl/>
          </w:rPr>
          <w:t xml:space="preserve"> </w:t>
        </w:r>
        <w:r w:rsidRPr="003C40C8">
          <w:rPr>
            <w:rStyle w:val="Hyperlink"/>
            <w:rFonts w:hint="eastAsia"/>
            <w:rtl/>
          </w:rPr>
          <w:t>של</w:t>
        </w:r>
        <w:r w:rsidRPr="003C40C8">
          <w:rPr>
            <w:rStyle w:val="Hyperlink"/>
            <w:rtl/>
          </w:rPr>
          <w:t xml:space="preserve"> </w:t>
        </w:r>
        <w:r w:rsidRPr="003C40C8">
          <w:rPr>
            <w:rStyle w:val="Hyperlink"/>
            <w:rFonts w:hint="eastAsia"/>
            <w:rtl/>
          </w:rPr>
          <w:t>הליגה</w:t>
        </w:r>
        <w:r w:rsidRPr="003C40C8">
          <w:rPr>
            <w:rStyle w:val="Hyperlink"/>
            <w:rtl/>
          </w:rPr>
          <w:t xml:space="preserve"> </w:t>
        </w:r>
        <w:r w:rsidRPr="003C40C8">
          <w:rPr>
            <w:rStyle w:val="Hyperlink"/>
            <w:rFonts w:hint="eastAsia"/>
            <w:rtl/>
          </w:rPr>
          <w:t>הערבית</w:t>
        </w:r>
        <w:r w:rsidRPr="003C40C8">
          <w:rPr>
            <w:rStyle w:val="Hyperlink"/>
            <w:rtl/>
          </w:rPr>
          <w:t xml:space="preserve"> </w:t>
        </w:r>
        <w:r w:rsidRPr="003C40C8">
          <w:rPr>
            <w:rStyle w:val="Hyperlink"/>
            <w:rFonts w:hint="eastAsia"/>
            <w:rtl/>
          </w:rPr>
          <w:t>לבירור</w:t>
        </w:r>
        <w:r w:rsidRPr="003C40C8">
          <w:rPr>
            <w:rStyle w:val="Hyperlink"/>
            <w:rtl/>
          </w:rPr>
          <w:t xml:space="preserve"> </w:t>
        </w:r>
        <w:r w:rsidRPr="003C40C8">
          <w:rPr>
            <w:rStyle w:val="Hyperlink"/>
            <w:rFonts w:hint="eastAsia"/>
            <w:rtl/>
          </w:rPr>
          <w:t>עובדות</w:t>
        </w:r>
        <w:r w:rsidRPr="003C40C8">
          <w:rPr>
            <w:rStyle w:val="Hyperlink"/>
            <w:rtl/>
          </w:rPr>
          <w:t xml:space="preserve"> </w:t>
        </w:r>
        <w:r w:rsidRPr="003C40C8">
          <w:rPr>
            <w:rStyle w:val="Hyperlink"/>
            <w:rFonts w:hint="eastAsia"/>
            <w:rtl/>
          </w:rPr>
          <w:t>על</w:t>
        </w:r>
        <w:r w:rsidRPr="003C40C8">
          <w:rPr>
            <w:rStyle w:val="Hyperlink"/>
            <w:rtl/>
          </w:rPr>
          <w:t xml:space="preserve"> </w:t>
        </w:r>
        <w:r w:rsidRPr="003C40C8">
          <w:rPr>
            <w:rStyle w:val="Hyperlink"/>
            <w:rFonts w:hint="eastAsia"/>
            <w:rtl/>
          </w:rPr>
          <w:t>עזה</w:t>
        </w:r>
        <w:r w:rsidRPr="003C40C8">
          <w:rPr>
            <w:rStyle w:val="Hyperlink"/>
            <w:rtl/>
          </w:rPr>
          <w:t xml:space="preserve"> </w:t>
        </w:r>
        <w:r w:rsidRPr="003C40C8">
          <w:rPr>
            <w:rStyle w:val="Hyperlink"/>
            <w:rFonts w:hint="eastAsia"/>
            <w:rtl/>
          </w:rPr>
          <w:t>בעקבות</w:t>
        </w:r>
        <w:r w:rsidRPr="003C40C8">
          <w:rPr>
            <w:rStyle w:val="Hyperlink"/>
            <w:rtl/>
          </w:rPr>
          <w:t xml:space="preserve"> </w:t>
        </w:r>
        <w:r w:rsidRPr="003C40C8">
          <w:rPr>
            <w:rStyle w:val="Hyperlink"/>
            <w:rFonts w:hint="eastAsia"/>
            <w:rtl/>
          </w:rPr>
          <w:t>מבצע</w:t>
        </w:r>
        <w:r w:rsidRPr="003C40C8">
          <w:rPr>
            <w:rStyle w:val="Hyperlink"/>
            <w:rtl/>
          </w:rPr>
          <w:t xml:space="preserve"> "</w:t>
        </w:r>
        <w:r w:rsidRPr="003C40C8">
          <w:rPr>
            <w:rStyle w:val="Hyperlink"/>
            <w:rFonts w:hint="eastAsia"/>
            <w:rtl/>
          </w:rPr>
          <w:t>עופרת</w:t>
        </w:r>
        <w:r w:rsidRPr="003C40C8">
          <w:rPr>
            <w:rStyle w:val="Hyperlink"/>
            <w:rtl/>
          </w:rPr>
          <w:t xml:space="preserve"> </w:t>
        </w:r>
        <w:r w:rsidRPr="003C40C8">
          <w:rPr>
            <w:rStyle w:val="Hyperlink"/>
            <w:rFonts w:hint="eastAsia"/>
            <w:rtl/>
          </w:rPr>
          <w:t>יצוקה</w:t>
        </w:r>
        <w:r w:rsidRPr="003C40C8">
          <w:rPr>
            <w:rStyle w:val="Hyperlink"/>
            <w:rtl/>
          </w:rPr>
          <w:t>" (2009)</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Toc456027359 \h</w:instrText>
        </w:r>
        <w:r>
          <w:rPr>
            <w:webHidden/>
            <w:rtl/>
          </w:rPr>
          <w:instrText xml:space="preserve"> </w:instrText>
        </w:r>
        <w:r>
          <w:rPr>
            <w:webHidden/>
            <w:rtl/>
          </w:rPr>
        </w:r>
        <w:r>
          <w:rPr>
            <w:webHidden/>
            <w:rtl/>
          </w:rPr>
          <w:fldChar w:fldCharType="separate"/>
        </w:r>
        <w:r>
          <w:rPr>
            <w:webHidden/>
            <w:rtl/>
          </w:rPr>
          <w:t>134</w:t>
        </w:r>
        <w:r>
          <w:rPr>
            <w:webHidden/>
            <w:rtl/>
          </w:rPr>
          <w:fldChar w:fldCharType="end"/>
        </w:r>
      </w:hyperlink>
    </w:p>
    <w:p w:rsidR="00FA11B8" w:rsidRDefault="00FA11B8">
      <w:pPr>
        <w:pStyle w:val="TOC2"/>
        <w:tabs>
          <w:tab w:val="left" w:pos="1880"/>
        </w:tabs>
        <w:rPr>
          <w:rFonts w:eastAsiaTheme="minorEastAsia" w:cstheme="minorBidi"/>
          <w:b w:val="0"/>
          <w:bCs w:val="0"/>
          <w:rtl/>
        </w:rPr>
      </w:pPr>
      <w:hyperlink w:anchor="_Toc456027360" w:history="1">
        <w:r w:rsidRPr="003C40C8">
          <w:rPr>
            <w:rStyle w:val="Hyperlink"/>
            <w:rtl/>
          </w:rPr>
          <w:t>13.</w:t>
        </w:r>
        <w:r>
          <w:rPr>
            <w:rFonts w:eastAsiaTheme="minorEastAsia" w:cstheme="minorBidi"/>
            <w:b w:val="0"/>
            <w:bCs w:val="0"/>
            <w:rtl/>
          </w:rPr>
          <w:tab/>
        </w:r>
        <w:r w:rsidRPr="003C40C8">
          <w:rPr>
            <w:rStyle w:val="Hyperlink"/>
            <w:rFonts w:hint="eastAsia"/>
            <w:rtl/>
          </w:rPr>
          <w:t>ועדת</w:t>
        </w:r>
        <w:r w:rsidRPr="003C40C8">
          <w:rPr>
            <w:rStyle w:val="Hyperlink"/>
            <w:rtl/>
          </w:rPr>
          <w:t xml:space="preserve"> </w:t>
        </w:r>
        <w:r w:rsidRPr="003C40C8">
          <w:rPr>
            <w:rStyle w:val="Hyperlink"/>
            <w:rFonts w:hint="eastAsia"/>
            <w:rtl/>
          </w:rPr>
          <w:t>מומחים</w:t>
        </w:r>
        <w:r w:rsidRPr="003C40C8">
          <w:rPr>
            <w:rStyle w:val="Hyperlink"/>
            <w:rtl/>
          </w:rPr>
          <w:t xml:space="preserve"> </w:t>
        </w:r>
        <w:r w:rsidRPr="003C40C8">
          <w:rPr>
            <w:rStyle w:val="Hyperlink"/>
            <w:rFonts w:hint="eastAsia"/>
            <w:rtl/>
          </w:rPr>
          <w:t>עצמאיים</w:t>
        </w:r>
        <w:r w:rsidRPr="003C40C8">
          <w:rPr>
            <w:rStyle w:val="Hyperlink"/>
            <w:rtl/>
          </w:rPr>
          <w:t xml:space="preserve"> </w:t>
        </w:r>
        <w:r w:rsidRPr="003C40C8">
          <w:rPr>
            <w:rStyle w:val="Hyperlink"/>
            <w:rFonts w:hint="eastAsia"/>
            <w:rtl/>
          </w:rPr>
          <w:t>לבחינת</w:t>
        </w:r>
        <w:r w:rsidRPr="003C40C8">
          <w:rPr>
            <w:rStyle w:val="Hyperlink"/>
            <w:rtl/>
          </w:rPr>
          <w:t xml:space="preserve"> </w:t>
        </w:r>
        <w:r w:rsidRPr="003C40C8">
          <w:rPr>
            <w:rStyle w:val="Hyperlink"/>
            <w:rFonts w:hint="eastAsia"/>
            <w:rtl/>
          </w:rPr>
          <w:t>ההליכים</w:t>
        </w:r>
        <w:r w:rsidRPr="003C40C8">
          <w:rPr>
            <w:rStyle w:val="Hyperlink"/>
            <w:rtl/>
          </w:rPr>
          <w:t xml:space="preserve"> </w:t>
        </w:r>
        <w:r w:rsidRPr="003C40C8">
          <w:rPr>
            <w:rStyle w:val="Hyperlink"/>
            <w:rFonts w:hint="eastAsia"/>
            <w:rtl/>
          </w:rPr>
          <w:t>המשפטיים</w:t>
        </w:r>
        <w:r w:rsidRPr="003C40C8">
          <w:rPr>
            <w:rStyle w:val="Hyperlink"/>
            <w:rtl/>
          </w:rPr>
          <w:t xml:space="preserve"> </w:t>
        </w:r>
        <w:r w:rsidRPr="003C40C8">
          <w:rPr>
            <w:rStyle w:val="Hyperlink"/>
            <w:rFonts w:hint="eastAsia"/>
            <w:rtl/>
          </w:rPr>
          <w:t>שננקטו</w:t>
        </w:r>
        <w:r w:rsidRPr="003C40C8">
          <w:rPr>
            <w:rStyle w:val="Hyperlink"/>
            <w:rtl/>
          </w:rPr>
          <w:t xml:space="preserve"> </w:t>
        </w:r>
        <w:r w:rsidRPr="003C40C8">
          <w:rPr>
            <w:rStyle w:val="Hyperlink"/>
            <w:rFonts w:hint="eastAsia"/>
            <w:rtl/>
          </w:rPr>
          <w:t>בעקבות</w:t>
        </w:r>
        <w:r w:rsidRPr="003C40C8">
          <w:rPr>
            <w:rStyle w:val="Hyperlink"/>
            <w:rtl/>
          </w:rPr>
          <w:t xml:space="preserve"> </w:t>
        </w:r>
        <w:r w:rsidRPr="003C40C8">
          <w:rPr>
            <w:rStyle w:val="Hyperlink"/>
            <w:rFonts w:hint="eastAsia"/>
            <w:rtl/>
          </w:rPr>
          <w:t>ועדת</w:t>
        </w:r>
        <w:r w:rsidRPr="003C40C8">
          <w:rPr>
            <w:rStyle w:val="Hyperlink"/>
            <w:rtl/>
          </w:rPr>
          <w:t xml:space="preserve"> </w:t>
        </w:r>
        <w:r w:rsidRPr="003C40C8">
          <w:rPr>
            <w:rStyle w:val="Hyperlink"/>
            <w:rFonts w:hint="eastAsia"/>
            <w:rtl/>
          </w:rPr>
          <w:t>גולדסטון</w:t>
        </w:r>
        <w:r w:rsidRPr="003C40C8">
          <w:rPr>
            <w:rStyle w:val="Hyperlink"/>
            <w:rtl/>
          </w:rPr>
          <w:t xml:space="preserve"> (2010)</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Toc456027360 \h</w:instrText>
        </w:r>
        <w:r>
          <w:rPr>
            <w:webHidden/>
            <w:rtl/>
          </w:rPr>
          <w:instrText xml:space="preserve"> </w:instrText>
        </w:r>
        <w:r>
          <w:rPr>
            <w:webHidden/>
            <w:rtl/>
          </w:rPr>
        </w:r>
        <w:r>
          <w:rPr>
            <w:webHidden/>
            <w:rtl/>
          </w:rPr>
          <w:fldChar w:fldCharType="separate"/>
        </w:r>
        <w:r>
          <w:rPr>
            <w:webHidden/>
            <w:rtl/>
          </w:rPr>
          <w:t>134</w:t>
        </w:r>
        <w:r>
          <w:rPr>
            <w:webHidden/>
            <w:rtl/>
          </w:rPr>
          <w:fldChar w:fldCharType="end"/>
        </w:r>
      </w:hyperlink>
    </w:p>
    <w:p w:rsidR="00FA11B8" w:rsidRDefault="00FA11B8">
      <w:pPr>
        <w:pStyle w:val="TOC2"/>
        <w:tabs>
          <w:tab w:val="left" w:pos="1880"/>
        </w:tabs>
        <w:rPr>
          <w:rFonts w:eastAsiaTheme="minorEastAsia" w:cstheme="minorBidi"/>
          <w:b w:val="0"/>
          <w:bCs w:val="0"/>
          <w:rtl/>
        </w:rPr>
      </w:pPr>
      <w:hyperlink w:anchor="_Toc456027361" w:history="1">
        <w:r w:rsidRPr="003C40C8">
          <w:rPr>
            <w:rStyle w:val="Hyperlink"/>
            <w:rtl/>
          </w:rPr>
          <w:t>14.</w:t>
        </w:r>
        <w:r>
          <w:rPr>
            <w:rFonts w:eastAsiaTheme="minorEastAsia" w:cstheme="minorBidi"/>
            <w:b w:val="0"/>
            <w:bCs w:val="0"/>
            <w:rtl/>
          </w:rPr>
          <w:tab/>
        </w:r>
        <w:r w:rsidRPr="003C40C8">
          <w:rPr>
            <w:rStyle w:val="Hyperlink"/>
            <w:rFonts w:hint="eastAsia"/>
            <w:rtl/>
          </w:rPr>
          <w:t>הוועדה</w:t>
        </w:r>
        <w:r w:rsidRPr="003C40C8">
          <w:rPr>
            <w:rStyle w:val="Hyperlink"/>
            <w:rtl/>
          </w:rPr>
          <w:t xml:space="preserve"> </w:t>
        </w:r>
        <w:r w:rsidRPr="003C40C8">
          <w:rPr>
            <w:rStyle w:val="Hyperlink"/>
            <w:rFonts w:hint="eastAsia"/>
            <w:rtl/>
          </w:rPr>
          <w:t>הציבורית</w:t>
        </w:r>
        <w:r w:rsidRPr="003C40C8">
          <w:rPr>
            <w:rStyle w:val="Hyperlink"/>
            <w:rtl/>
          </w:rPr>
          <w:t xml:space="preserve"> </w:t>
        </w:r>
        <w:r w:rsidRPr="003C40C8">
          <w:rPr>
            <w:rStyle w:val="Hyperlink"/>
            <w:rFonts w:hint="eastAsia"/>
            <w:rtl/>
          </w:rPr>
          <w:t>לבדיקת</w:t>
        </w:r>
        <w:r w:rsidRPr="003C40C8">
          <w:rPr>
            <w:rStyle w:val="Hyperlink"/>
            <w:rtl/>
          </w:rPr>
          <w:t xml:space="preserve"> </w:t>
        </w:r>
        <w:r w:rsidRPr="003C40C8">
          <w:rPr>
            <w:rStyle w:val="Hyperlink"/>
            <w:rFonts w:hint="eastAsia"/>
            <w:rtl/>
          </w:rPr>
          <w:t>האירוע</w:t>
        </w:r>
        <w:r w:rsidRPr="003C40C8">
          <w:rPr>
            <w:rStyle w:val="Hyperlink"/>
            <w:rtl/>
          </w:rPr>
          <w:t xml:space="preserve"> </w:t>
        </w:r>
        <w:r w:rsidRPr="003C40C8">
          <w:rPr>
            <w:rStyle w:val="Hyperlink"/>
            <w:rFonts w:hint="eastAsia"/>
            <w:rtl/>
          </w:rPr>
          <w:t>הימי</w:t>
        </w:r>
        <w:r w:rsidRPr="003C40C8">
          <w:rPr>
            <w:rStyle w:val="Hyperlink"/>
            <w:rtl/>
          </w:rPr>
          <w:t xml:space="preserve"> </w:t>
        </w:r>
        <w:r w:rsidRPr="003C40C8">
          <w:rPr>
            <w:rStyle w:val="Hyperlink"/>
            <w:rFonts w:hint="eastAsia"/>
            <w:rtl/>
          </w:rPr>
          <w:t>מיום</w:t>
        </w:r>
        <w:r w:rsidRPr="003C40C8">
          <w:rPr>
            <w:rStyle w:val="Hyperlink"/>
            <w:rtl/>
          </w:rPr>
          <w:t xml:space="preserve"> 31 </w:t>
        </w:r>
        <w:r w:rsidRPr="003C40C8">
          <w:rPr>
            <w:rStyle w:val="Hyperlink"/>
            <w:rFonts w:hint="eastAsia"/>
            <w:rtl/>
          </w:rPr>
          <w:t>במאי</w:t>
        </w:r>
        <w:r w:rsidRPr="003C40C8">
          <w:rPr>
            <w:rStyle w:val="Hyperlink"/>
            <w:rtl/>
          </w:rPr>
          <w:t xml:space="preserve"> 2010 (</w:t>
        </w:r>
        <w:r w:rsidRPr="003C40C8">
          <w:rPr>
            <w:rStyle w:val="Hyperlink"/>
            <w:rFonts w:hint="eastAsia"/>
            <w:rtl/>
          </w:rPr>
          <w:t>ועדת</w:t>
        </w:r>
        <w:r w:rsidRPr="003C40C8">
          <w:rPr>
            <w:rStyle w:val="Hyperlink"/>
            <w:rtl/>
          </w:rPr>
          <w:t xml:space="preserve"> </w:t>
        </w:r>
        <w:r w:rsidRPr="003C40C8">
          <w:rPr>
            <w:rStyle w:val="Hyperlink"/>
            <w:rFonts w:hint="eastAsia"/>
            <w:rtl/>
          </w:rPr>
          <w:t>טירקל</w:t>
        </w:r>
        <w:r w:rsidRPr="003C40C8">
          <w:rPr>
            <w:rStyle w:val="Hyperlink"/>
            <w:rtl/>
          </w:rPr>
          <w:t>) (2010)</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Toc456027361 \h</w:instrText>
        </w:r>
        <w:r>
          <w:rPr>
            <w:webHidden/>
            <w:rtl/>
          </w:rPr>
          <w:instrText xml:space="preserve"> </w:instrText>
        </w:r>
        <w:r>
          <w:rPr>
            <w:webHidden/>
            <w:rtl/>
          </w:rPr>
        </w:r>
        <w:r>
          <w:rPr>
            <w:webHidden/>
            <w:rtl/>
          </w:rPr>
          <w:fldChar w:fldCharType="separate"/>
        </w:r>
        <w:r>
          <w:rPr>
            <w:webHidden/>
            <w:rtl/>
          </w:rPr>
          <w:t>135</w:t>
        </w:r>
        <w:r>
          <w:rPr>
            <w:webHidden/>
            <w:rtl/>
          </w:rPr>
          <w:fldChar w:fldCharType="end"/>
        </w:r>
      </w:hyperlink>
    </w:p>
    <w:p w:rsidR="00FA11B8" w:rsidRDefault="00FA11B8">
      <w:pPr>
        <w:pStyle w:val="TOC2"/>
        <w:tabs>
          <w:tab w:val="left" w:pos="1880"/>
        </w:tabs>
        <w:rPr>
          <w:rFonts w:eastAsiaTheme="minorEastAsia" w:cstheme="minorBidi"/>
          <w:b w:val="0"/>
          <w:bCs w:val="0"/>
          <w:rtl/>
        </w:rPr>
      </w:pPr>
      <w:hyperlink w:anchor="_Toc456027362" w:history="1">
        <w:r w:rsidRPr="003C40C8">
          <w:rPr>
            <w:rStyle w:val="Hyperlink"/>
            <w:rtl/>
          </w:rPr>
          <w:t>15.</w:t>
        </w:r>
        <w:r>
          <w:rPr>
            <w:rFonts w:eastAsiaTheme="minorEastAsia" w:cstheme="minorBidi"/>
            <w:b w:val="0"/>
            <w:bCs w:val="0"/>
            <w:rtl/>
          </w:rPr>
          <w:tab/>
        </w:r>
        <w:r w:rsidRPr="003C40C8">
          <w:rPr>
            <w:rStyle w:val="Hyperlink"/>
            <w:rFonts w:hint="eastAsia"/>
            <w:rtl/>
          </w:rPr>
          <w:t>ועדת</w:t>
        </w:r>
        <w:r w:rsidRPr="003C40C8">
          <w:rPr>
            <w:rStyle w:val="Hyperlink"/>
            <w:rtl/>
          </w:rPr>
          <w:t xml:space="preserve"> </w:t>
        </w:r>
        <w:r w:rsidRPr="003C40C8">
          <w:rPr>
            <w:rStyle w:val="Hyperlink"/>
            <w:rFonts w:hint="eastAsia"/>
            <w:rtl/>
          </w:rPr>
          <w:t>מועצת</w:t>
        </w:r>
        <w:r w:rsidRPr="003C40C8">
          <w:rPr>
            <w:rStyle w:val="Hyperlink"/>
            <w:rtl/>
          </w:rPr>
          <w:t xml:space="preserve"> </w:t>
        </w:r>
        <w:r w:rsidRPr="003C40C8">
          <w:rPr>
            <w:rStyle w:val="Hyperlink"/>
            <w:rFonts w:hint="eastAsia"/>
            <w:rtl/>
          </w:rPr>
          <w:t>זכויות</w:t>
        </w:r>
        <w:r w:rsidRPr="003C40C8">
          <w:rPr>
            <w:rStyle w:val="Hyperlink"/>
            <w:rtl/>
          </w:rPr>
          <w:t xml:space="preserve"> </w:t>
        </w:r>
        <w:r w:rsidRPr="003C40C8">
          <w:rPr>
            <w:rStyle w:val="Hyperlink"/>
            <w:rFonts w:hint="eastAsia"/>
            <w:rtl/>
          </w:rPr>
          <w:t>האדם</w:t>
        </w:r>
        <w:r w:rsidRPr="003C40C8">
          <w:rPr>
            <w:rStyle w:val="Hyperlink"/>
            <w:rtl/>
          </w:rPr>
          <w:t xml:space="preserve"> </w:t>
        </w:r>
        <w:r w:rsidRPr="003C40C8">
          <w:rPr>
            <w:rStyle w:val="Hyperlink"/>
            <w:rFonts w:hint="eastAsia"/>
            <w:rtl/>
          </w:rPr>
          <w:t>לבירור</w:t>
        </w:r>
        <w:r w:rsidRPr="003C40C8">
          <w:rPr>
            <w:rStyle w:val="Hyperlink"/>
            <w:rtl/>
          </w:rPr>
          <w:t xml:space="preserve"> </w:t>
        </w:r>
        <w:r w:rsidRPr="003C40C8">
          <w:rPr>
            <w:rStyle w:val="Hyperlink"/>
            <w:rFonts w:hint="eastAsia"/>
            <w:rtl/>
          </w:rPr>
          <w:t>עובדות</w:t>
        </w:r>
        <w:r w:rsidRPr="003C40C8">
          <w:rPr>
            <w:rStyle w:val="Hyperlink"/>
            <w:rtl/>
          </w:rPr>
          <w:t xml:space="preserve"> </w:t>
        </w:r>
        <w:r w:rsidRPr="003C40C8">
          <w:rPr>
            <w:rStyle w:val="Hyperlink"/>
            <w:rFonts w:hint="eastAsia"/>
            <w:rtl/>
          </w:rPr>
          <w:t>המשט</w:t>
        </w:r>
        <w:r w:rsidRPr="003C40C8">
          <w:rPr>
            <w:rStyle w:val="Hyperlink"/>
            <w:rtl/>
          </w:rPr>
          <w:t xml:space="preserve"> </w:t>
        </w:r>
        <w:r w:rsidRPr="003C40C8">
          <w:rPr>
            <w:rStyle w:val="Hyperlink"/>
            <w:rFonts w:hint="eastAsia"/>
            <w:rtl/>
          </w:rPr>
          <w:t>לרצועת</w:t>
        </w:r>
        <w:r w:rsidRPr="003C40C8">
          <w:rPr>
            <w:rStyle w:val="Hyperlink"/>
            <w:rtl/>
          </w:rPr>
          <w:t xml:space="preserve"> </w:t>
        </w:r>
        <w:r w:rsidRPr="003C40C8">
          <w:rPr>
            <w:rStyle w:val="Hyperlink"/>
            <w:rFonts w:hint="eastAsia"/>
            <w:rtl/>
          </w:rPr>
          <w:t>עזה</w:t>
        </w:r>
        <w:r w:rsidRPr="003C40C8">
          <w:rPr>
            <w:rStyle w:val="Hyperlink"/>
            <w:rtl/>
          </w:rPr>
          <w:t xml:space="preserve"> (2010)</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Toc456027362 \h</w:instrText>
        </w:r>
        <w:r>
          <w:rPr>
            <w:webHidden/>
            <w:rtl/>
          </w:rPr>
          <w:instrText xml:space="preserve"> </w:instrText>
        </w:r>
        <w:r>
          <w:rPr>
            <w:webHidden/>
            <w:rtl/>
          </w:rPr>
        </w:r>
        <w:r>
          <w:rPr>
            <w:webHidden/>
            <w:rtl/>
          </w:rPr>
          <w:fldChar w:fldCharType="separate"/>
        </w:r>
        <w:r>
          <w:rPr>
            <w:webHidden/>
            <w:rtl/>
          </w:rPr>
          <w:t>137</w:t>
        </w:r>
        <w:r>
          <w:rPr>
            <w:webHidden/>
            <w:rtl/>
          </w:rPr>
          <w:fldChar w:fldCharType="end"/>
        </w:r>
      </w:hyperlink>
    </w:p>
    <w:p w:rsidR="00FA11B8" w:rsidRDefault="00FA11B8">
      <w:pPr>
        <w:pStyle w:val="TOC2"/>
        <w:tabs>
          <w:tab w:val="left" w:pos="1880"/>
        </w:tabs>
        <w:rPr>
          <w:rFonts w:eastAsiaTheme="minorEastAsia" w:cstheme="minorBidi"/>
          <w:b w:val="0"/>
          <w:bCs w:val="0"/>
          <w:rtl/>
        </w:rPr>
      </w:pPr>
      <w:hyperlink w:anchor="_Toc456027363" w:history="1">
        <w:r w:rsidRPr="003C40C8">
          <w:rPr>
            <w:rStyle w:val="Hyperlink"/>
            <w:rtl/>
          </w:rPr>
          <w:t>16.</w:t>
        </w:r>
        <w:r>
          <w:rPr>
            <w:rFonts w:eastAsiaTheme="minorEastAsia" w:cstheme="minorBidi"/>
            <w:b w:val="0"/>
            <w:bCs w:val="0"/>
            <w:rtl/>
          </w:rPr>
          <w:tab/>
        </w:r>
        <w:r w:rsidRPr="003C40C8">
          <w:rPr>
            <w:rStyle w:val="Hyperlink"/>
            <w:rFonts w:hint="eastAsia"/>
            <w:rtl/>
          </w:rPr>
          <w:t>ועדת</w:t>
        </w:r>
        <w:r w:rsidRPr="003C40C8">
          <w:rPr>
            <w:rStyle w:val="Hyperlink"/>
            <w:rtl/>
          </w:rPr>
          <w:t xml:space="preserve"> </w:t>
        </w:r>
        <w:r w:rsidRPr="003C40C8">
          <w:rPr>
            <w:rStyle w:val="Hyperlink"/>
            <w:rFonts w:hint="eastAsia"/>
            <w:rtl/>
          </w:rPr>
          <w:t>מזכ</w:t>
        </w:r>
        <w:r w:rsidRPr="003C40C8">
          <w:rPr>
            <w:rStyle w:val="Hyperlink"/>
            <w:rtl/>
          </w:rPr>
          <w:t>"</w:t>
        </w:r>
        <w:r w:rsidRPr="003C40C8">
          <w:rPr>
            <w:rStyle w:val="Hyperlink"/>
            <w:rFonts w:hint="eastAsia"/>
            <w:rtl/>
          </w:rPr>
          <w:t>ל</w:t>
        </w:r>
        <w:r w:rsidRPr="003C40C8">
          <w:rPr>
            <w:rStyle w:val="Hyperlink"/>
            <w:rtl/>
          </w:rPr>
          <w:t xml:space="preserve"> </w:t>
        </w:r>
        <w:r w:rsidRPr="003C40C8">
          <w:rPr>
            <w:rStyle w:val="Hyperlink"/>
            <w:rFonts w:hint="eastAsia"/>
            <w:rtl/>
          </w:rPr>
          <w:t>האו</w:t>
        </w:r>
        <w:r w:rsidRPr="003C40C8">
          <w:rPr>
            <w:rStyle w:val="Hyperlink"/>
            <w:rtl/>
          </w:rPr>
          <w:t>"</w:t>
        </w:r>
        <w:r w:rsidRPr="003C40C8">
          <w:rPr>
            <w:rStyle w:val="Hyperlink"/>
            <w:rFonts w:hint="eastAsia"/>
            <w:rtl/>
          </w:rPr>
          <w:t>ם</w:t>
        </w:r>
        <w:r w:rsidRPr="003C40C8">
          <w:rPr>
            <w:rStyle w:val="Hyperlink"/>
            <w:rtl/>
          </w:rPr>
          <w:t xml:space="preserve"> </w:t>
        </w:r>
        <w:r w:rsidRPr="003C40C8">
          <w:rPr>
            <w:rStyle w:val="Hyperlink"/>
            <w:rFonts w:hint="eastAsia"/>
            <w:rtl/>
          </w:rPr>
          <w:t>לחקירת</w:t>
        </w:r>
        <w:r w:rsidRPr="003C40C8">
          <w:rPr>
            <w:rStyle w:val="Hyperlink"/>
            <w:rtl/>
          </w:rPr>
          <w:t xml:space="preserve"> </w:t>
        </w:r>
        <w:r w:rsidRPr="003C40C8">
          <w:rPr>
            <w:rStyle w:val="Hyperlink"/>
            <w:rFonts w:hint="eastAsia"/>
            <w:rtl/>
          </w:rPr>
          <w:t>המשט</w:t>
        </w:r>
        <w:r w:rsidRPr="003C40C8">
          <w:rPr>
            <w:rStyle w:val="Hyperlink"/>
            <w:rtl/>
          </w:rPr>
          <w:t xml:space="preserve"> </w:t>
        </w:r>
        <w:r w:rsidRPr="003C40C8">
          <w:rPr>
            <w:rStyle w:val="Hyperlink"/>
            <w:rFonts w:hint="eastAsia"/>
            <w:rtl/>
          </w:rPr>
          <w:t>לרצועת</w:t>
        </w:r>
        <w:r w:rsidRPr="003C40C8">
          <w:rPr>
            <w:rStyle w:val="Hyperlink"/>
            <w:rtl/>
          </w:rPr>
          <w:t xml:space="preserve"> </w:t>
        </w:r>
        <w:r w:rsidRPr="003C40C8">
          <w:rPr>
            <w:rStyle w:val="Hyperlink"/>
            <w:rFonts w:hint="eastAsia"/>
            <w:rtl/>
          </w:rPr>
          <w:t>עזה</w:t>
        </w:r>
        <w:r w:rsidRPr="003C40C8">
          <w:rPr>
            <w:rStyle w:val="Hyperlink"/>
            <w:rtl/>
          </w:rPr>
          <w:t xml:space="preserve"> (2010)</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Toc456027363 \h</w:instrText>
        </w:r>
        <w:r>
          <w:rPr>
            <w:webHidden/>
            <w:rtl/>
          </w:rPr>
          <w:instrText xml:space="preserve"> </w:instrText>
        </w:r>
        <w:r>
          <w:rPr>
            <w:webHidden/>
            <w:rtl/>
          </w:rPr>
        </w:r>
        <w:r>
          <w:rPr>
            <w:webHidden/>
            <w:rtl/>
          </w:rPr>
          <w:fldChar w:fldCharType="separate"/>
        </w:r>
        <w:r>
          <w:rPr>
            <w:webHidden/>
            <w:rtl/>
          </w:rPr>
          <w:t>137</w:t>
        </w:r>
        <w:r>
          <w:rPr>
            <w:webHidden/>
            <w:rtl/>
          </w:rPr>
          <w:fldChar w:fldCharType="end"/>
        </w:r>
      </w:hyperlink>
    </w:p>
    <w:p w:rsidR="00FA11B8" w:rsidRDefault="00FA11B8">
      <w:pPr>
        <w:pStyle w:val="TOC2"/>
        <w:tabs>
          <w:tab w:val="left" w:pos="1820"/>
        </w:tabs>
        <w:rPr>
          <w:rFonts w:eastAsiaTheme="minorEastAsia" w:cstheme="minorBidi"/>
          <w:b w:val="0"/>
          <w:bCs w:val="0"/>
          <w:rtl/>
        </w:rPr>
      </w:pPr>
      <w:hyperlink w:anchor="_Toc456027364" w:history="1">
        <w:r w:rsidRPr="003C40C8">
          <w:rPr>
            <w:rStyle w:val="Hyperlink"/>
            <w:rtl/>
          </w:rPr>
          <w:t>17.</w:t>
        </w:r>
        <w:r>
          <w:rPr>
            <w:rFonts w:eastAsiaTheme="minorEastAsia" w:cstheme="minorBidi"/>
            <w:b w:val="0"/>
            <w:bCs w:val="0"/>
            <w:rtl/>
          </w:rPr>
          <w:tab/>
        </w:r>
        <w:r w:rsidRPr="003C40C8">
          <w:rPr>
            <w:rStyle w:val="Hyperlink"/>
            <w:rFonts w:hint="eastAsia"/>
            <w:rtl/>
          </w:rPr>
          <w:t>ועדת</w:t>
        </w:r>
        <w:r w:rsidRPr="003C40C8">
          <w:rPr>
            <w:rStyle w:val="Hyperlink"/>
            <w:rtl/>
          </w:rPr>
          <w:t xml:space="preserve"> </w:t>
        </w:r>
        <w:r w:rsidRPr="003C40C8">
          <w:rPr>
            <w:rStyle w:val="Hyperlink"/>
            <w:rFonts w:hint="eastAsia"/>
            <w:rtl/>
          </w:rPr>
          <w:t>מומחים</w:t>
        </w:r>
        <w:r w:rsidRPr="003C40C8">
          <w:rPr>
            <w:rStyle w:val="Hyperlink"/>
            <w:rtl/>
          </w:rPr>
          <w:t xml:space="preserve"> </w:t>
        </w:r>
        <w:r w:rsidRPr="003C40C8">
          <w:rPr>
            <w:rStyle w:val="Hyperlink"/>
            <w:rFonts w:hint="eastAsia"/>
            <w:rtl/>
          </w:rPr>
          <w:t>עצמאיים</w:t>
        </w:r>
        <w:r w:rsidRPr="003C40C8">
          <w:rPr>
            <w:rStyle w:val="Hyperlink"/>
            <w:rtl/>
          </w:rPr>
          <w:t xml:space="preserve"> </w:t>
        </w:r>
        <w:r w:rsidRPr="003C40C8">
          <w:rPr>
            <w:rStyle w:val="Hyperlink"/>
            <w:rFonts w:hint="eastAsia"/>
            <w:rtl/>
          </w:rPr>
          <w:t>שנייה</w:t>
        </w:r>
        <w:r w:rsidRPr="003C40C8">
          <w:rPr>
            <w:rStyle w:val="Hyperlink"/>
            <w:rtl/>
          </w:rPr>
          <w:t xml:space="preserve"> </w:t>
        </w:r>
        <w:r w:rsidRPr="003C40C8">
          <w:rPr>
            <w:rStyle w:val="Hyperlink"/>
            <w:rFonts w:hint="eastAsia"/>
            <w:rtl/>
          </w:rPr>
          <w:t>לבחינת</w:t>
        </w:r>
        <w:r w:rsidRPr="003C40C8">
          <w:rPr>
            <w:rStyle w:val="Hyperlink"/>
            <w:rtl/>
          </w:rPr>
          <w:t xml:space="preserve"> </w:t>
        </w:r>
        <w:r w:rsidRPr="003C40C8">
          <w:rPr>
            <w:rStyle w:val="Hyperlink"/>
            <w:rFonts w:hint="eastAsia"/>
            <w:rtl/>
          </w:rPr>
          <w:t>ההליכים</w:t>
        </w:r>
        <w:r w:rsidRPr="003C40C8">
          <w:rPr>
            <w:rStyle w:val="Hyperlink"/>
            <w:rtl/>
          </w:rPr>
          <w:t xml:space="preserve"> </w:t>
        </w:r>
        <w:r w:rsidRPr="003C40C8">
          <w:rPr>
            <w:rStyle w:val="Hyperlink"/>
            <w:rFonts w:hint="eastAsia"/>
            <w:rtl/>
          </w:rPr>
          <w:t>המשפטיים</w:t>
        </w:r>
        <w:r w:rsidRPr="003C40C8">
          <w:rPr>
            <w:rStyle w:val="Hyperlink"/>
            <w:rtl/>
          </w:rPr>
          <w:t xml:space="preserve"> </w:t>
        </w:r>
        <w:r w:rsidRPr="003C40C8">
          <w:rPr>
            <w:rStyle w:val="Hyperlink"/>
            <w:rFonts w:hint="eastAsia"/>
            <w:rtl/>
          </w:rPr>
          <w:t>שננקטו</w:t>
        </w:r>
        <w:r w:rsidRPr="003C40C8">
          <w:rPr>
            <w:rStyle w:val="Hyperlink"/>
            <w:rtl/>
          </w:rPr>
          <w:t xml:space="preserve"> </w:t>
        </w:r>
        <w:r w:rsidRPr="003C40C8">
          <w:rPr>
            <w:rStyle w:val="Hyperlink"/>
            <w:rFonts w:hint="eastAsia"/>
            <w:rtl/>
          </w:rPr>
          <w:t>בעקבות</w:t>
        </w:r>
        <w:r w:rsidRPr="003C40C8">
          <w:rPr>
            <w:rStyle w:val="Hyperlink"/>
            <w:rtl/>
          </w:rPr>
          <w:t xml:space="preserve"> </w:t>
        </w:r>
        <w:r w:rsidRPr="003C40C8">
          <w:rPr>
            <w:rStyle w:val="Hyperlink"/>
            <w:rFonts w:hint="eastAsia"/>
            <w:rtl/>
          </w:rPr>
          <w:t>ועדת</w:t>
        </w:r>
        <w:r w:rsidRPr="003C40C8">
          <w:rPr>
            <w:rStyle w:val="Hyperlink"/>
            <w:rtl/>
          </w:rPr>
          <w:t xml:space="preserve"> </w:t>
        </w:r>
        <w:r w:rsidRPr="003C40C8">
          <w:rPr>
            <w:rStyle w:val="Hyperlink"/>
            <w:rFonts w:hint="eastAsia"/>
            <w:rtl/>
          </w:rPr>
          <w:t>גולדסטון</w:t>
        </w:r>
        <w:r w:rsidRPr="003C40C8">
          <w:rPr>
            <w:rStyle w:val="Hyperlink"/>
            <w:rtl/>
          </w:rPr>
          <w:t xml:space="preserve"> (2010)</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Toc456027364 \h</w:instrText>
        </w:r>
        <w:r>
          <w:rPr>
            <w:webHidden/>
            <w:rtl/>
          </w:rPr>
          <w:instrText xml:space="preserve"> </w:instrText>
        </w:r>
        <w:r>
          <w:rPr>
            <w:webHidden/>
            <w:rtl/>
          </w:rPr>
        </w:r>
        <w:r>
          <w:rPr>
            <w:webHidden/>
            <w:rtl/>
          </w:rPr>
          <w:fldChar w:fldCharType="separate"/>
        </w:r>
        <w:r>
          <w:rPr>
            <w:webHidden/>
            <w:rtl/>
          </w:rPr>
          <w:t>138</w:t>
        </w:r>
        <w:r>
          <w:rPr>
            <w:webHidden/>
            <w:rtl/>
          </w:rPr>
          <w:fldChar w:fldCharType="end"/>
        </w:r>
      </w:hyperlink>
    </w:p>
    <w:p w:rsidR="00FA11B8" w:rsidRDefault="00FA11B8">
      <w:pPr>
        <w:pStyle w:val="TOC2"/>
        <w:tabs>
          <w:tab w:val="left" w:pos="1820"/>
        </w:tabs>
        <w:rPr>
          <w:rFonts w:eastAsiaTheme="minorEastAsia" w:cstheme="minorBidi"/>
          <w:b w:val="0"/>
          <w:bCs w:val="0"/>
          <w:rtl/>
        </w:rPr>
      </w:pPr>
      <w:hyperlink w:anchor="_Toc456027365" w:history="1">
        <w:r w:rsidRPr="003C40C8">
          <w:rPr>
            <w:rStyle w:val="Hyperlink"/>
            <w:rtl/>
          </w:rPr>
          <w:t>18.</w:t>
        </w:r>
        <w:r>
          <w:rPr>
            <w:rFonts w:eastAsiaTheme="minorEastAsia" w:cstheme="minorBidi"/>
            <w:b w:val="0"/>
            <w:bCs w:val="0"/>
            <w:rtl/>
          </w:rPr>
          <w:tab/>
        </w:r>
        <w:r w:rsidRPr="003C40C8">
          <w:rPr>
            <w:rStyle w:val="Hyperlink"/>
            <w:rFonts w:hint="eastAsia"/>
            <w:rtl/>
          </w:rPr>
          <w:t>בדיקה</w:t>
        </w:r>
        <w:r w:rsidRPr="003C40C8">
          <w:rPr>
            <w:rStyle w:val="Hyperlink"/>
            <w:rtl/>
          </w:rPr>
          <w:t xml:space="preserve"> </w:t>
        </w:r>
        <w:r w:rsidRPr="003C40C8">
          <w:rPr>
            <w:rStyle w:val="Hyperlink"/>
            <w:rFonts w:hint="eastAsia"/>
            <w:rtl/>
          </w:rPr>
          <w:t>של</w:t>
        </w:r>
        <w:r w:rsidRPr="003C40C8">
          <w:rPr>
            <w:rStyle w:val="Hyperlink"/>
            <w:rtl/>
          </w:rPr>
          <w:t xml:space="preserve"> </w:t>
        </w:r>
        <w:r w:rsidRPr="003C40C8">
          <w:rPr>
            <w:rStyle w:val="Hyperlink"/>
            <w:rFonts w:hint="eastAsia"/>
            <w:rtl/>
          </w:rPr>
          <w:t>משלחת</w:t>
        </w:r>
        <w:r w:rsidRPr="003C40C8">
          <w:rPr>
            <w:rStyle w:val="Hyperlink"/>
            <w:rtl/>
          </w:rPr>
          <w:t xml:space="preserve"> </w:t>
        </w:r>
        <w:r w:rsidRPr="003C40C8">
          <w:rPr>
            <w:rStyle w:val="Hyperlink"/>
            <w:rFonts w:hint="eastAsia"/>
            <w:rtl/>
          </w:rPr>
          <w:t>עורכי</w:t>
        </w:r>
        <w:r w:rsidRPr="003C40C8">
          <w:rPr>
            <w:rStyle w:val="Hyperlink"/>
            <w:rtl/>
          </w:rPr>
          <w:t xml:space="preserve"> </w:t>
        </w:r>
        <w:r w:rsidRPr="003C40C8">
          <w:rPr>
            <w:rStyle w:val="Hyperlink"/>
            <w:rFonts w:hint="eastAsia"/>
            <w:rtl/>
          </w:rPr>
          <w:t>דין</w:t>
        </w:r>
        <w:r w:rsidRPr="003C40C8">
          <w:rPr>
            <w:rStyle w:val="Hyperlink"/>
            <w:rtl/>
          </w:rPr>
          <w:t xml:space="preserve"> </w:t>
        </w:r>
        <w:r w:rsidRPr="003C40C8">
          <w:rPr>
            <w:rStyle w:val="Hyperlink"/>
            <w:rFonts w:hint="eastAsia"/>
            <w:rtl/>
          </w:rPr>
          <w:t>בריטיים</w:t>
        </w:r>
        <w:r w:rsidRPr="003C40C8">
          <w:rPr>
            <w:rStyle w:val="Hyperlink"/>
            <w:rtl/>
          </w:rPr>
          <w:t xml:space="preserve"> </w:t>
        </w:r>
        <w:r w:rsidRPr="003C40C8">
          <w:rPr>
            <w:rStyle w:val="Hyperlink"/>
            <w:rFonts w:hint="eastAsia"/>
            <w:rtl/>
          </w:rPr>
          <w:t>בראשות</w:t>
        </w:r>
        <w:r w:rsidRPr="003C40C8">
          <w:rPr>
            <w:rStyle w:val="Hyperlink"/>
            <w:rtl/>
          </w:rPr>
          <w:t xml:space="preserve"> </w:t>
        </w:r>
        <w:r w:rsidRPr="003C40C8">
          <w:rPr>
            <w:rStyle w:val="Hyperlink"/>
            <w:rFonts w:hint="eastAsia"/>
            <w:rtl/>
          </w:rPr>
          <w:t>הברונית</w:t>
        </w:r>
        <w:r w:rsidRPr="003C40C8">
          <w:rPr>
            <w:rStyle w:val="Hyperlink"/>
            <w:rtl/>
          </w:rPr>
          <w:t xml:space="preserve"> </w:t>
        </w:r>
        <w:r w:rsidRPr="003C40C8">
          <w:rPr>
            <w:rStyle w:val="Hyperlink"/>
            <w:rFonts w:hint="eastAsia"/>
            <w:rtl/>
          </w:rPr>
          <w:t>סקוטלנד</w:t>
        </w:r>
        <w:r w:rsidRPr="003C40C8">
          <w:rPr>
            <w:rStyle w:val="Hyperlink"/>
            <w:rtl/>
          </w:rPr>
          <w:t xml:space="preserve"> </w:t>
        </w:r>
        <w:r w:rsidRPr="003C40C8">
          <w:rPr>
            <w:rStyle w:val="Hyperlink"/>
            <w:rFonts w:hint="eastAsia"/>
            <w:rtl/>
          </w:rPr>
          <w:t>בחסות</w:t>
        </w:r>
        <w:r w:rsidRPr="003C40C8">
          <w:rPr>
            <w:rStyle w:val="Hyperlink"/>
            <w:rtl/>
          </w:rPr>
          <w:t xml:space="preserve"> </w:t>
        </w:r>
        <w:r w:rsidRPr="003C40C8">
          <w:rPr>
            <w:rStyle w:val="Hyperlink"/>
            <w:rFonts w:hint="eastAsia"/>
            <w:rtl/>
          </w:rPr>
          <w:t>משרד</w:t>
        </w:r>
        <w:r w:rsidRPr="003C40C8">
          <w:rPr>
            <w:rStyle w:val="Hyperlink"/>
            <w:rtl/>
          </w:rPr>
          <w:t xml:space="preserve"> </w:t>
        </w:r>
        <w:r w:rsidRPr="003C40C8">
          <w:rPr>
            <w:rStyle w:val="Hyperlink"/>
            <w:rFonts w:hint="eastAsia"/>
            <w:rtl/>
          </w:rPr>
          <w:t>החוץ</w:t>
        </w:r>
        <w:r w:rsidRPr="003C40C8">
          <w:rPr>
            <w:rStyle w:val="Hyperlink"/>
            <w:rtl/>
          </w:rPr>
          <w:t xml:space="preserve"> </w:t>
        </w:r>
        <w:r w:rsidRPr="003C40C8">
          <w:rPr>
            <w:rStyle w:val="Hyperlink"/>
            <w:rFonts w:hint="eastAsia"/>
            <w:rtl/>
          </w:rPr>
          <w:t>הבריטי</w:t>
        </w:r>
        <w:r w:rsidRPr="003C40C8">
          <w:rPr>
            <w:rStyle w:val="Hyperlink"/>
            <w:rtl/>
          </w:rPr>
          <w:t xml:space="preserve"> </w:t>
        </w:r>
        <w:r w:rsidRPr="003C40C8">
          <w:rPr>
            <w:rStyle w:val="Hyperlink"/>
            <w:rFonts w:hint="eastAsia"/>
            <w:rtl/>
          </w:rPr>
          <w:t>ביחס</w:t>
        </w:r>
        <w:r w:rsidRPr="003C40C8">
          <w:rPr>
            <w:rStyle w:val="Hyperlink"/>
            <w:rtl/>
          </w:rPr>
          <w:t xml:space="preserve"> </w:t>
        </w:r>
        <w:r w:rsidRPr="003C40C8">
          <w:rPr>
            <w:rStyle w:val="Hyperlink"/>
            <w:rFonts w:hint="eastAsia"/>
            <w:rtl/>
          </w:rPr>
          <w:t>לטיפול</w:t>
        </w:r>
        <w:r w:rsidRPr="003C40C8">
          <w:rPr>
            <w:rStyle w:val="Hyperlink"/>
            <w:rtl/>
          </w:rPr>
          <w:t xml:space="preserve"> </w:t>
        </w:r>
        <w:r w:rsidRPr="003C40C8">
          <w:rPr>
            <w:rStyle w:val="Hyperlink"/>
            <w:rFonts w:hint="eastAsia"/>
            <w:rtl/>
          </w:rPr>
          <w:t>בילדים</w:t>
        </w:r>
        <w:r w:rsidRPr="003C40C8">
          <w:rPr>
            <w:rStyle w:val="Hyperlink"/>
            <w:rtl/>
          </w:rPr>
          <w:t xml:space="preserve"> </w:t>
        </w:r>
        <w:r w:rsidRPr="003C40C8">
          <w:rPr>
            <w:rStyle w:val="Hyperlink"/>
            <w:rFonts w:hint="eastAsia"/>
            <w:rtl/>
          </w:rPr>
          <w:t>פלסטיניים</w:t>
        </w:r>
        <w:r w:rsidRPr="003C40C8">
          <w:rPr>
            <w:rStyle w:val="Hyperlink"/>
            <w:rtl/>
          </w:rPr>
          <w:t xml:space="preserve"> </w:t>
        </w:r>
        <w:r w:rsidRPr="003C40C8">
          <w:rPr>
            <w:rStyle w:val="Hyperlink"/>
            <w:rFonts w:hint="eastAsia"/>
            <w:rtl/>
          </w:rPr>
          <w:t>לפי</w:t>
        </w:r>
        <w:r w:rsidRPr="003C40C8">
          <w:rPr>
            <w:rStyle w:val="Hyperlink"/>
            <w:rtl/>
          </w:rPr>
          <w:t xml:space="preserve"> </w:t>
        </w:r>
        <w:r w:rsidRPr="003C40C8">
          <w:rPr>
            <w:rStyle w:val="Hyperlink"/>
            <w:rFonts w:hint="eastAsia"/>
            <w:rtl/>
          </w:rPr>
          <w:t>החוק</w:t>
        </w:r>
        <w:r w:rsidRPr="003C40C8">
          <w:rPr>
            <w:rStyle w:val="Hyperlink"/>
            <w:rtl/>
          </w:rPr>
          <w:t xml:space="preserve"> </w:t>
        </w:r>
        <w:r w:rsidRPr="003C40C8">
          <w:rPr>
            <w:rStyle w:val="Hyperlink"/>
            <w:rFonts w:hint="eastAsia"/>
            <w:rtl/>
          </w:rPr>
          <w:t>הצבאי</w:t>
        </w:r>
        <w:r w:rsidRPr="003C40C8">
          <w:rPr>
            <w:rStyle w:val="Hyperlink"/>
            <w:rtl/>
          </w:rPr>
          <w:t xml:space="preserve"> </w:t>
        </w:r>
        <w:r w:rsidRPr="003C40C8">
          <w:rPr>
            <w:rStyle w:val="Hyperlink"/>
            <w:rFonts w:hint="eastAsia"/>
            <w:rtl/>
          </w:rPr>
          <w:t>הישראלי</w:t>
        </w:r>
        <w:r w:rsidRPr="003C40C8">
          <w:rPr>
            <w:rStyle w:val="Hyperlink"/>
            <w:rtl/>
          </w:rPr>
          <w:t xml:space="preserve"> (2011)</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Toc456027365 \h</w:instrText>
        </w:r>
        <w:r>
          <w:rPr>
            <w:webHidden/>
            <w:rtl/>
          </w:rPr>
          <w:instrText xml:space="preserve"> </w:instrText>
        </w:r>
        <w:r>
          <w:rPr>
            <w:webHidden/>
            <w:rtl/>
          </w:rPr>
        </w:r>
        <w:r>
          <w:rPr>
            <w:webHidden/>
            <w:rtl/>
          </w:rPr>
          <w:fldChar w:fldCharType="separate"/>
        </w:r>
        <w:r>
          <w:rPr>
            <w:webHidden/>
            <w:rtl/>
          </w:rPr>
          <w:t>138</w:t>
        </w:r>
        <w:r>
          <w:rPr>
            <w:webHidden/>
            <w:rtl/>
          </w:rPr>
          <w:fldChar w:fldCharType="end"/>
        </w:r>
      </w:hyperlink>
    </w:p>
    <w:p w:rsidR="00FA11B8" w:rsidRDefault="00FA11B8">
      <w:pPr>
        <w:pStyle w:val="TOC2"/>
        <w:tabs>
          <w:tab w:val="left" w:pos="1820"/>
        </w:tabs>
        <w:rPr>
          <w:rFonts w:eastAsiaTheme="minorEastAsia" w:cstheme="minorBidi"/>
          <w:b w:val="0"/>
          <w:bCs w:val="0"/>
          <w:rtl/>
        </w:rPr>
      </w:pPr>
      <w:hyperlink w:anchor="_Toc456027366" w:history="1">
        <w:r w:rsidRPr="003C40C8">
          <w:rPr>
            <w:rStyle w:val="Hyperlink"/>
            <w:rtl/>
          </w:rPr>
          <w:t>19.</w:t>
        </w:r>
        <w:r>
          <w:rPr>
            <w:rFonts w:eastAsiaTheme="minorEastAsia" w:cstheme="minorBidi"/>
            <w:b w:val="0"/>
            <w:bCs w:val="0"/>
            <w:rtl/>
          </w:rPr>
          <w:tab/>
        </w:r>
        <w:r w:rsidRPr="003C40C8">
          <w:rPr>
            <w:rStyle w:val="Hyperlink"/>
            <w:rFonts w:hint="eastAsia"/>
            <w:rtl/>
          </w:rPr>
          <w:t>הוועדה</w:t>
        </w:r>
        <w:r w:rsidRPr="003C40C8">
          <w:rPr>
            <w:rStyle w:val="Hyperlink"/>
            <w:rtl/>
          </w:rPr>
          <w:t xml:space="preserve"> </w:t>
        </w:r>
        <w:r w:rsidRPr="003C40C8">
          <w:rPr>
            <w:rStyle w:val="Hyperlink"/>
            <w:rFonts w:hint="eastAsia"/>
            <w:rtl/>
          </w:rPr>
          <w:t>לבירור</w:t>
        </w:r>
        <w:r w:rsidRPr="003C40C8">
          <w:rPr>
            <w:rStyle w:val="Hyperlink"/>
            <w:rtl/>
          </w:rPr>
          <w:t xml:space="preserve"> </w:t>
        </w:r>
        <w:r w:rsidRPr="003C40C8">
          <w:rPr>
            <w:rStyle w:val="Hyperlink"/>
            <w:rFonts w:hint="eastAsia"/>
            <w:rtl/>
          </w:rPr>
          <w:t>ההשלכות</w:t>
        </w:r>
        <w:r w:rsidRPr="003C40C8">
          <w:rPr>
            <w:rStyle w:val="Hyperlink"/>
            <w:rtl/>
          </w:rPr>
          <w:t xml:space="preserve"> </w:t>
        </w:r>
        <w:r w:rsidRPr="003C40C8">
          <w:rPr>
            <w:rStyle w:val="Hyperlink"/>
            <w:rFonts w:hint="eastAsia"/>
            <w:rtl/>
          </w:rPr>
          <w:t>של</w:t>
        </w:r>
        <w:r w:rsidRPr="003C40C8">
          <w:rPr>
            <w:rStyle w:val="Hyperlink"/>
            <w:rtl/>
          </w:rPr>
          <w:t xml:space="preserve"> </w:t>
        </w:r>
        <w:r w:rsidRPr="003C40C8">
          <w:rPr>
            <w:rStyle w:val="Hyperlink"/>
            <w:rFonts w:hint="eastAsia"/>
            <w:rtl/>
          </w:rPr>
          <w:t>ההתנחלויות</w:t>
        </w:r>
        <w:r w:rsidRPr="003C40C8">
          <w:rPr>
            <w:rStyle w:val="Hyperlink"/>
            <w:rtl/>
          </w:rPr>
          <w:t xml:space="preserve"> </w:t>
        </w:r>
        <w:r w:rsidRPr="003C40C8">
          <w:rPr>
            <w:rStyle w:val="Hyperlink"/>
            <w:rFonts w:hint="eastAsia"/>
            <w:rtl/>
          </w:rPr>
          <w:t>הישראליות</w:t>
        </w:r>
        <w:r w:rsidRPr="003C40C8">
          <w:rPr>
            <w:rStyle w:val="Hyperlink"/>
            <w:rtl/>
          </w:rPr>
          <w:t xml:space="preserve"> </w:t>
        </w:r>
        <w:r w:rsidRPr="003C40C8">
          <w:rPr>
            <w:rStyle w:val="Hyperlink"/>
            <w:rFonts w:hint="eastAsia"/>
            <w:rtl/>
          </w:rPr>
          <w:t>על</w:t>
        </w:r>
        <w:r w:rsidRPr="003C40C8">
          <w:rPr>
            <w:rStyle w:val="Hyperlink"/>
            <w:rtl/>
          </w:rPr>
          <w:t xml:space="preserve"> </w:t>
        </w:r>
        <w:r w:rsidRPr="003C40C8">
          <w:rPr>
            <w:rStyle w:val="Hyperlink"/>
            <w:rFonts w:hint="eastAsia"/>
            <w:rtl/>
          </w:rPr>
          <w:t>זכויות</w:t>
        </w:r>
        <w:r w:rsidRPr="003C40C8">
          <w:rPr>
            <w:rStyle w:val="Hyperlink"/>
            <w:rtl/>
          </w:rPr>
          <w:t xml:space="preserve"> </w:t>
        </w:r>
        <w:r w:rsidRPr="003C40C8">
          <w:rPr>
            <w:rStyle w:val="Hyperlink"/>
            <w:rFonts w:hint="eastAsia"/>
            <w:rtl/>
          </w:rPr>
          <w:t>הפלסטינים</w:t>
        </w:r>
        <w:r w:rsidRPr="003C40C8">
          <w:rPr>
            <w:rStyle w:val="Hyperlink"/>
            <w:rtl/>
          </w:rPr>
          <w:t xml:space="preserve"> </w:t>
        </w:r>
        <w:r w:rsidRPr="003C40C8">
          <w:rPr>
            <w:rStyle w:val="Hyperlink"/>
            <w:rFonts w:hint="eastAsia"/>
            <w:rtl/>
          </w:rPr>
          <w:t>ב</w:t>
        </w:r>
        <w:r w:rsidRPr="003C40C8">
          <w:rPr>
            <w:rStyle w:val="Hyperlink"/>
            <w:rtl/>
          </w:rPr>
          <w:t>"</w:t>
        </w:r>
        <w:r w:rsidRPr="003C40C8">
          <w:rPr>
            <w:rStyle w:val="Hyperlink"/>
            <w:rFonts w:hint="eastAsia"/>
            <w:rtl/>
          </w:rPr>
          <w:t>שטחים</w:t>
        </w:r>
        <w:r w:rsidRPr="003C40C8">
          <w:rPr>
            <w:rStyle w:val="Hyperlink"/>
            <w:rtl/>
          </w:rPr>
          <w:t xml:space="preserve"> </w:t>
        </w:r>
        <w:r w:rsidRPr="003C40C8">
          <w:rPr>
            <w:rStyle w:val="Hyperlink"/>
            <w:rFonts w:hint="eastAsia"/>
            <w:rtl/>
          </w:rPr>
          <w:t>הפלסטיניים</w:t>
        </w:r>
        <w:r w:rsidRPr="003C40C8">
          <w:rPr>
            <w:rStyle w:val="Hyperlink"/>
            <w:rtl/>
          </w:rPr>
          <w:t xml:space="preserve"> </w:t>
        </w:r>
        <w:r w:rsidRPr="003C40C8">
          <w:rPr>
            <w:rStyle w:val="Hyperlink"/>
            <w:rFonts w:hint="eastAsia"/>
            <w:rtl/>
          </w:rPr>
          <w:t>הכבושים</w:t>
        </w:r>
        <w:r w:rsidRPr="003C40C8">
          <w:rPr>
            <w:rStyle w:val="Hyperlink"/>
            <w:rtl/>
          </w:rPr>
          <w:t xml:space="preserve">", </w:t>
        </w:r>
        <w:r w:rsidRPr="003C40C8">
          <w:rPr>
            <w:rStyle w:val="Hyperlink"/>
            <w:rFonts w:hint="eastAsia"/>
            <w:rtl/>
          </w:rPr>
          <w:t>לרבות</w:t>
        </w:r>
        <w:r w:rsidRPr="003C40C8">
          <w:rPr>
            <w:rStyle w:val="Hyperlink"/>
            <w:rtl/>
          </w:rPr>
          <w:t xml:space="preserve"> </w:t>
        </w:r>
        <w:r w:rsidRPr="003C40C8">
          <w:rPr>
            <w:rStyle w:val="Hyperlink"/>
            <w:rFonts w:hint="eastAsia"/>
            <w:rtl/>
          </w:rPr>
          <w:t>מזרח</w:t>
        </w:r>
        <w:r w:rsidRPr="003C40C8">
          <w:rPr>
            <w:rStyle w:val="Hyperlink"/>
            <w:rtl/>
          </w:rPr>
          <w:t xml:space="preserve"> </w:t>
        </w:r>
        <w:r w:rsidRPr="003C40C8">
          <w:rPr>
            <w:rStyle w:val="Hyperlink"/>
            <w:rFonts w:hint="eastAsia"/>
            <w:rtl/>
          </w:rPr>
          <w:t>ירושלים</w:t>
        </w:r>
        <w:r w:rsidRPr="003C40C8">
          <w:rPr>
            <w:rStyle w:val="Hyperlink"/>
            <w:rtl/>
          </w:rPr>
          <w:t xml:space="preserve"> (2012)</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Toc456027366 \h</w:instrText>
        </w:r>
        <w:r>
          <w:rPr>
            <w:webHidden/>
            <w:rtl/>
          </w:rPr>
          <w:instrText xml:space="preserve"> </w:instrText>
        </w:r>
        <w:r>
          <w:rPr>
            <w:webHidden/>
            <w:rtl/>
          </w:rPr>
        </w:r>
        <w:r>
          <w:rPr>
            <w:webHidden/>
            <w:rtl/>
          </w:rPr>
          <w:fldChar w:fldCharType="separate"/>
        </w:r>
        <w:r>
          <w:rPr>
            <w:webHidden/>
            <w:rtl/>
          </w:rPr>
          <w:t>139</w:t>
        </w:r>
        <w:r>
          <w:rPr>
            <w:webHidden/>
            <w:rtl/>
          </w:rPr>
          <w:fldChar w:fldCharType="end"/>
        </w:r>
      </w:hyperlink>
    </w:p>
    <w:p w:rsidR="00FA11B8" w:rsidRDefault="00FA11B8">
      <w:pPr>
        <w:pStyle w:val="TOC2"/>
        <w:tabs>
          <w:tab w:val="left" w:pos="1880"/>
        </w:tabs>
        <w:rPr>
          <w:rFonts w:eastAsiaTheme="minorEastAsia" w:cstheme="minorBidi"/>
          <w:b w:val="0"/>
          <w:bCs w:val="0"/>
          <w:rtl/>
        </w:rPr>
      </w:pPr>
      <w:hyperlink w:anchor="_Toc456027367" w:history="1">
        <w:r w:rsidRPr="003C40C8">
          <w:rPr>
            <w:rStyle w:val="Hyperlink"/>
            <w:rtl/>
          </w:rPr>
          <w:t>20.</w:t>
        </w:r>
        <w:r>
          <w:rPr>
            <w:rFonts w:eastAsiaTheme="minorEastAsia" w:cstheme="minorBidi"/>
            <w:b w:val="0"/>
            <w:bCs w:val="0"/>
            <w:rtl/>
          </w:rPr>
          <w:tab/>
        </w:r>
        <w:r w:rsidRPr="003C40C8">
          <w:rPr>
            <w:rStyle w:val="Hyperlink"/>
            <w:rFonts w:hint="eastAsia"/>
            <w:rtl/>
          </w:rPr>
          <w:t>הוועדה</w:t>
        </w:r>
        <w:r w:rsidRPr="003C40C8">
          <w:rPr>
            <w:rStyle w:val="Hyperlink"/>
            <w:rtl/>
          </w:rPr>
          <w:t xml:space="preserve"> </w:t>
        </w:r>
        <w:r w:rsidRPr="003C40C8">
          <w:rPr>
            <w:rStyle w:val="Hyperlink"/>
            <w:rFonts w:hint="eastAsia"/>
            <w:rtl/>
          </w:rPr>
          <w:t>לחקירת</w:t>
        </w:r>
        <w:r w:rsidRPr="003C40C8">
          <w:rPr>
            <w:rStyle w:val="Hyperlink"/>
            <w:rtl/>
          </w:rPr>
          <w:t xml:space="preserve"> </w:t>
        </w:r>
        <w:r w:rsidRPr="003C40C8">
          <w:rPr>
            <w:rStyle w:val="Hyperlink"/>
            <w:rFonts w:hint="eastAsia"/>
            <w:rtl/>
          </w:rPr>
          <w:t>העימות</w:t>
        </w:r>
        <w:r w:rsidRPr="003C40C8">
          <w:rPr>
            <w:rStyle w:val="Hyperlink"/>
            <w:rtl/>
          </w:rPr>
          <w:t xml:space="preserve"> </w:t>
        </w:r>
        <w:r w:rsidRPr="003C40C8">
          <w:rPr>
            <w:rStyle w:val="Hyperlink"/>
            <w:rFonts w:hint="eastAsia"/>
            <w:rtl/>
          </w:rPr>
          <w:t>בעזה</w:t>
        </w:r>
        <w:r w:rsidRPr="003C40C8">
          <w:rPr>
            <w:rStyle w:val="Hyperlink"/>
            <w:rtl/>
          </w:rPr>
          <w:t xml:space="preserve"> </w:t>
        </w:r>
        <w:r w:rsidRPr="003C40C8">
          <w:rPr>
            <w:rStyle w:val="Hyperlink"/>
            <w:rFonts w:hint="eastAsia"/>
            <w:rtl/>
          </w:rPr>
          <w:t>במבצע</w:t>
        </w:r>
        <w:r w:rsidRPr="003C40C8">
          <w:rPr>
            <w:rStyle w:val="Hyperlink"/>
            <w:rtl/>
          </w:rPr>
          <w:t xml:space="preserve"> "</w:t>
        </w:r>
        <w:r w:rsidRPr="003C40C8">
          <w:rPr>
            <w:rStyle w:val="Hyperlink"/>
            <w:rFonts w:hint="eastAsia"/>
            <w:rtl/>
          </w:rPr>
          <w:t>צוק</w:t>
        </w:r>
        <w:r w:rsidRPr="003C40C8">
          <w:rPr>
            <w:rStyle w:val="Hyperlink"/>
            <w:rtl/>
          </w:rPr>
          <w:t xml:space="preserve"> </w:t>
        </w:r>
        <w:r w:rsidRPr="003C40C8">
          <w:rPr>
            <w:rStyle w:val="Hyperlink"/>
            <w:rFonts w:hint="eastAsia"/>
            <w:rtl/>
          </w:rPr>
          <w:t>איתן</w:t>
        </w:r>
        <w:r w:rsidRPr="003C40C8">
          <w:rPr>
            <w:rStyle w:val="Hyperlink"/>
            <w:rtl/>
          </w:rPr>
          <w:t>" (2014)</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Toc456027367 \h</w:instrText>
        </w:r>
        <w:r>
          <w:rPr>
            <w:webHidden/>
            <w:rtl/>
          </w:rPr>
          <w:instrText xml:space="preserve"> </w:instrText>
        </w:r>
        <w:r>
          <w:rPr>
            <w:webHidden/>
            <w:rtl/>
          </w:rPr>
        </w:r>
        <w:r>
          <w:rPr>
            <w:webHidden/>
            <w:rtl/>
          </w:rPr>
          <w:fldChar w:fldCharType="separate"/>
        </w:r>
        <w:r>
          <w:rPr>
            <w:webHidden/>
            <w:rtl/>
          </w:rPr>
          <w:t>140</w:t>
        </w:r>
        <w:r>
          <w:rPr>
            <w:webHidden/>
            <w:rtl/>
          </w:rPr>
          <w:fldChar w:fldCharType="end"/>
        </w:r>
      </w:hyperlink>
    </w:p>
    <w:p w:rsidR="00FA11B8" w:rsidRDefault="00FA11B8">
      <w:pPr>
        <w:pStyle w:val="TOC2"/>
        <w:tabs>
          <w:tab w:val="left" w:pos="1820"/>
        </w:tabs>
        <w:rPr>
          <w:rFonts w:eastAsiaTheme="minorEastAsia" w:cstheme="minorBidi"/>
          <w:b w:val="0"/>
          <w:bCs w:val="0"/>
          <w:rtl/>
        </w:rPr>
      </w:pPr>
      <w:hyperlink w:anchor="_Toc456027368" w:history="1">
        <w:r w:rsidRPr="003C40C8">
          <w:rPr>
            <w:rStyle w:val="Hyperlink"/>
            <w:rtl/>
          </w:rPr>
          <w:t>21.</w:t>
        </w:r>
        <w:r>
          <w:rPr>
            <w:rFonts w:eastAsiaTheme="minorEastAsia" w:cstheme="minorBidi"/>
            <w:b w:val="0"/>
            <w:bCs w:val="0"/>
            <w:rtl/>
          </w:rPr>
          <w:tab/>
        </w:r>
        <w:r w:rsidRPr="003C40C8">
          <w:rPr>
            <w:rStyle w:val="Hyperlink"/>
            <w:rFonts w:hint="eastAsia"/>
            <w:rtl/>
          </w:rPr>
          <w:t>ועדת</w:t>
        </w:r>
        <w:r w:rsidRPr="003C40C8">
          <w:rPr>
            <w:rStyle w:val="Hyperlink"/>
            <w:rtl/>
          </w:rPr>
          <w:t xml:space="preserve"> </w:t>
        </w:r>
        <w:r w:rsidRPr="003C40C8">
          <w:rPr>
            <w:rStyle w:val="Hyperlink"/>
            <w:rFonts w:hint="eastAsia"/>
            <w:rtl/>
          </w:rPr>
          <w:t>החקירה</w:t>
        </w:r>
        <w:r w:rsidRPr="003C40C8">
          <w:rPr>
            <w:rStyle w:val="Hyperlink"/>
            <w:rtl/>
          </w:rPr>
          <w:t xml:space="preserve"> </w:t>
        </w:r>
        <w:r w:rsidRPr="003C40C8">
          <w:rPr>
            <w:rStyle w:val="Hyperlink"/>
            <w:rFonts w:hint="eastAsia"/>
            <w:rtl/>
          </w:rPr>
          <w:t>בעקבות</w:t>
        </w:r>
        <w:r w:rsidRPr="003C40C8">
          <w:rPr>
            <w:rStyle w:val="Hyperlink"/>
            <w:rtl/>
          </w:rPr>
          <w:t xml:space="preserve"> </w:t>
        </w:r>
        <w:r w:rsidRPr="003C40C8">
          <w:rPr>
            <w:rStyle w:val="Hyperlink"/>
            <w:rFonts w:hint="eastAsia"/>
            <w:rtl/>
          </w:rPr>
          <w:t>הפגיעות</w:t>
        </w:r>
        <w:r w:rsidRPr="003C40C8">
          <w:rPr>
            <w:rStyle w:val="Hyperlink"/>
            <w:rtl/>
          </w:rPr>
          <w:t xml:space="preserve"> </w:t>
        </w:r>
        <w:r w:rsidRPr="003C40C8">
          <w:rPr>
            <w:rStyle w:val="Hyperlink"/>
            <w:rFonts w:hint="eastAsia"/>
            <w:rtl/>
          </w:rPr>
          <w:t>במתקני</w:t>
        </w:r>
        <w:r w:rsidRPr="003C40C8">
          <w:rPr>
            <w:rStyle w:val="Hyperlink"/>
            <w:rtl/>
          </w:rPr>
          <w:t xml:space="preserve"> </w:t>
        </w:r>
        <w:r w:rsidRPr="003C40C8">
          <w:rPr>
            <w:rStyle w:val="Hyperlink"/>
            <w:rFonts w:hint="eastAsia"/>
            <w:rtl/>
          </w:rPr>
          <w:t>או</w:t>
        </w:r>
        <w:r w:rsidRPr="003C40C8">
          <w:rPr>
            <w:rStyle w:val="Hyperlink"/>
            <w:rtl/>
          </w:rPr>
          <w:t>"</w:t>
        </w:r>
        <w:r w:rsidRPr="003C40C8">
          <w:rPr>
            <w:rStyle w:val="Hyperlink"/>
            <w:rFonts w:hint="eastAsia"/>
            <w:rtl/>
          </w:rPr>
          <w:t>ם</w:t>
        </w:r>
        <w:r w:rsidRPr="003C40C8">
          <w:rPr>
            <w:rStyle w:val="Hyperlink"/>
            <w:rtl/>
          </w:rPr>
          <w:t xml:space="preserve"> </w:t>
        </w:r>
        <w:r w:rsidRPr="003C40C8">
          <w:rPr>
            <w:rStyle w:val="Hyperlink"/>
            <w:rFonts w:hint="eastAsia"/>
            <w:rtl/>
          </w:rPr>
          <w:t>או</w:t>
        </w:r>
        <w:r w:rsidRPr="003C40C8">
          <w:rPr>
            <w:rStyle w:val="Hyperlink"/>
            <w:rtl/>
          </w:rPr>
          <w:t xml:space="preserve"> </w:t>
        </w:r>
        <w:r w:rsidRPr="003C40C8">
          <w:rPr>
            <w:rStyle w:val="Hyperlink"/>
            <w:rFonts w:hint="eastAsia"/>
            <w:rtl/>
          </w:rPr>
          <w:t>באנשים</w:t>
        </w:r>
        <w:r w:rsidRPr="003C40C8">
          <w:rPr>
            <w:rStyle w:val="Hyperlink"/>
            <w:rtl/>
          </w:rPr>
          <w:t xml:space="preserve"> </w:t>
        </w:r>
        <w:r w:rsidRPr="003C40C8">
          <w:rPr>
            <w:rStyle w:val="Hyperlink"/>
            <w:rFonts w:hint="eastAsia"/>
            <w:rtl/>
          </w:rPr>
          <w:t>ששהו</w:t>
        </w:r>
        <w:r w:rsidRPr="003C40C8">
          <w:rPr>
            <w:rStyle w:val="Hyperlink"/>
            <w:rtl/>
          </w:rPr>
          <w:t xml:space="preserve"> </w:t>
        </w:r>
        <w:r w:rsidRPr="003C40C8">
          <w:rPr>
            <w:rStyle w:val="Hyperlink"/>
            <w:rFonts w:hint="eastAsia"/>
            <w:rtl/>
          </w:rPr>
          <w:t>בהם</w:t>
        </w:r>
        <w:r w:rsidRPr="003C40C8">
          <w:rPr>
            <w:rStyle w:val="Hyperlink"/>
            <w:rtl/>
          </w:rPr>
          <w:t xml:space="preserve"> </w:t>
        </w:r>
        <w:r w:rsidRPr="003C40C8">
          <w:rPr>
            <w:rStyle w:val="Hyperlink"/>
            <w:rFonts w:hint="eastAsia"/>
            <w:rtl/>
          </w:rPr>
          <w:t>במהלך</w:t>
        </w:r>
        <w:r w:rsidRPr="003C40C8">
          <w:rPr>
            <w:rStyle w:val="Hyperlink"/>
            <w:rtl/>
          </w:rPr>
          <w:t xml:space="preserve"> </w:t>
        </w:r>
        <w:r w:rsidRPr="003C40C8">
          <w:rPr>
            <w:rStyle w:val="Hyperlink"/>
            <w:rFonts w:hint="eastAsia"/>
            <w:rtl/>
          </w:rPr>
          <w:t>מבצע</w:t>
        </w:r>
        <w:r w:rsidRPr="003C40C8">
          <w:rPr>
            <w:rStyle w:val="Hyperlink"/>
            <w:rtl/>
          </w:rPr>
          <w:t xml:space="preserve"> "</w:t>
        </w:r>
        <w:r w:rsidRPr="003C40C8">
          <w:rPr>
            <w:rStyle w:val="Hyperlink"/>
            <w:rFonts w:hint="eastAsia"/>
            <w:rtl/>
          </w:rPr>
          <w:t>צוק</w:t>
        </w:r>
        <w:r w:rsidRPr="003C40C8">
          <w:rPr>
            <w:rStyle w:val="Hyperlink"/>
            <w:rtl/>
          </w:rPr>
          <w:t xml:space="preserve"> </w:t>
        </w:r>
        <w:r w:rsidRPr="003C40C8">
          <w:rPr>
            <w:rStyle w:val="Hyperlink"/>
            <w:rFonts w:hint="eastAsia"/>
            <w:rtl/>
          </w:rPr>
          <w:t>איתן</w:t>
        </w:r>
        <w:r w:rsidRPr="003C40C8">
          <w:rPr>
            <w:rStyle w:val="Hyperlink"/>
            <w:rtl/>
          </w:rPr>
          <w:t>" (2014)</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Toc456027368 \h</w:instrText>
        </w:r>
        <w:r>
          <w:rPr>
            <w:webHidden/>
            <w:rtl/>
          </w:rPr>
          <w:instrText xml:space="preserve"> </w:instrText>
        </w:r>
        <w:r>
          <w:rPr>
            <w:webHidden/>
            <w:rtl/>
          </w:rPr>
        </w:r>
        <w:r>
          <w:rPr>
            <w:webHidden/>
            <w:rtl/>
          </w:rPr>
          <w:fldChar w:fldCharType="separate"/>
        </w:r>
        <w:r>
          <w:rPr>
            <w:webHidden/>
            <w:rtl/>
          </w:rPr>
          <w:t>141</w:t>
        </w:r>
        <w:r>
          <w:rPr>
            <w:webHidden/>
            <w:rtl/>
          </w:rPr>
          <w:fldChar w:fldCharType="end"/>
        </w:r>
      </w:hyperlink>
    </w:p>
    <w:p w:rsidR="00FA11B8" w:rsidRDefault="00FA11B8">
      <w:pPr>
        <w:pStyle w:val="TOC1"/>
        <w:rPr>
          <w:rFonts w:eastAsiaTheme="minorEastAsia" w:cstheme="minorBidi"/>
          <w:b w:val="0"/>
          <w:bCs w:val="0"/>
          <w:sz w:val="22"/>
          <w:szCs w:val="22"/>
          <w:rtl/>
        </w:rPr>
      </w:pPr>
      <w:hyperlink w:anchor="_Toc456027369" w:history="1">
        <w:r w:rsidRPr="003C40C8">
          <w:rPr>
            <w:rStyle w:val="Hyperlink"/>
            <w:rFonts w:hint="eastAsia"/>
            <w:rtl/>
          </w:rPr>
          <w:t>ביב</w:t>
        </w:r>
        <w:r w:rsidRPr="003C40C8">
          <w:rPr>
            <w:rStyle w:val="Hyperlink"/>
            <w:rFonts w:hint="eastAsia"/>
            <w:rtl/>
          </w:rPr>
          <w:t>ל</w:t>
        </w:r>
        <w:r w:rsidRPr="003C40C8">
          <w:rPr>
            <w:rStyle w:val="Hyperlink"/>
            <w:rFonts w:hint="eastAsia"/>
            <w:rtl/>
          </w:rPr>
          <w:t>יוגרפיה</w:t>
        </w:r>
        <w:r>
          <w:rPr>
            <w:webHidden/>
            <w:rtl/>
          </w:rPr>
          <w:tab/>
        </w:r>
        <w:r>
          <w:rPr>
            <w:webHidden/>
            <w:rtl/>
          </w:rPr>
          <w:fldChar w:fldCharType="begin"/>
        </w:r>
        <w:r>
          <w:rPr>
            <w:webHidden/>
            <w:rtl/>
          </w:rPr>
          <w:instrText xml:space="preserve"> </w:instrText>
        </w:r>
        <w:r>
          <w:rPr>
            <w:webHidden/>
          </w:rPr>
          <w:instrText>PAGEREF</w:instrText>
        </w:r>
        <w:r>
          <w:rPr>
            <w:webHidden/>
            <w:rtl/>
          </w:rPr>
          <w:instrText xml:space="preserve"> _</w:instrText>
        </w:r>
        <w:r>
          <w:rPr>
            <w:webHidden/>
          </w:rPr>
          <w:instrText>Toc456027369 \h</w:instrText>
        </w:r>
        <w:r>
          <w:rPr>
            <w:webHidden/>
            <w:rtl/>
          </w:rPr>
          <w:instrText xml:space="preserve"> </w:instrText>
        </w:r>
        <w:r>
          <w:rPr>
            <w:webHidden/>
            <w:rtl/>
          </w:rPr>
        </w:r>
        <w:r>
          <w:rPr>
            <w:webHidden/>
            <w:rtl/>
          </w:rPr>
          <w:fldChar w:fldCharType="separate"/>
        </w:r>
        <w:r>
          <w:rPr>
            <w:webHidden/>
            <w:rtl/>
          </w:rPr>
          <w:t>142</w:t>
        </w:r>
        <w:r>
          <w:rPr>
            <w:webHidden/>
            <w:rtl/>
          </w:rPr>
          <w:fldChar w:fldCharType="end"/>
        </w:r>
      </w:hyperlink>
    </w:p>
    <w:p w:rsidR="00FA11B8" w:rsidRDefault="00FA11B8">
      <w:pPr>
        <w:pStyle w:val="TOC1"/>
        <w:rPr>
          <w:rFonts w:eastAsiaTheme="minorEastAsia" w:cstheme="minorBidi"/>
          <w:b w:val="0"/>
          <w:bCs w:val="0"/>
          <w:sz w:val="22"/>
          <w:szCs w:val="22"/>
          <w:rtl/>
        </w:rPr>
      </w:pPr>
    </w:p>
    <w:p w:rsidR="00441861" w:rsidRDefault="0047648E" w:rsidP="00441861">
      <w:pPr>
        <w:pStyle w:val="1"/>
        <w:bidi/>
        <w:jc w:val="both"/>
        <w:rPr>
          <w:rFonts w:cs="David"/>
          <w:sz w:val="32"/>
          <w:szCs w:val="32"/>
          <w:rtl/>
        </w:rPr>
      </w:pPr>
      <w:r>
        <w:rPr>
          <w:rFonts w:cs="David"/>
          <w:sz w:val="32"/>
          <w:szCs w:val="32"/>
          <w:rtl/>
        </w:rPr>
        <w:fldChar w:fldCharType="end"/>
      </w:r>
    </w:p>
    <w:p w:rsidR="00441861" w:rsidRDefault="00441861">
      <w:pPr>
        <w:bidi w:val="0"/>
        <w:rPr>
          <w:rFonts w:ascii="Times New Roman" w:eastAsia="Times New Roman" w:hAnsi="Times New Roman" w:cs="David"/>
          <w:b/>
          <w:bCs/>
          <w:kern w:val="36"/>
          <w:sz w:val="32"/>
          <w:szCs w:val="32"/>
        </w:rPr>
      </w:pPr>
      <w:r>
        <w:rPr>
          <w:rFonts w:cs="David"/>
          <w:sz w:val="32"/>
          <w:szCs w:val="32"/>
          <w:rtl/>
        </w:rPr>
        <w:br w:type="page"/>
      </w:r>
    </w:p>
    <w:p w:rsidR="00460577" w:rsidRPr="00A755AE" w:rsidRDefault="00D44503" w:rsidP="00A755AE">
      <w:pPr>
        <w:pStyle w:val="1"/>
        <w:bidi/>
        <w:rPr>
          <w:rFonts w:cs="David"/>
          <w:sz w:val="32"/>
          <w:szCs w:val="32"/>
          <w:rtl/>
        </w:rPr>
      </w:pPr>
      <w:bookmarkStart w:id="0" w:name="_Toc456027295"/>
      <w:r w:rsidRPr="00A755AE">
        <w:rPr>
          <w:rFonts w:cs="David" w:hint="cs"/>
          <w:sz w:val="32"/>
          <w:szCs w:val="32"/>
          <w:rtl/>
        </w:rPr>
        <w:lastRenderedPageBreak/>
        <w:t>מבוא</w:t>
      </w:r>
      <w:bookmarkEnd w:id="0"/>
    </w:p>
    <w:p w:rsidR="0000579B" w:rsidRPr="00A755AE" w:rsidRDefault="0000579B" w:rsidP="008B316C">
      <w:pPr>
        <w:spacing w:after="0" w:line="360" w:lineRule="auto"/>
        <w:jc w:val="both"/>
        <w:rPr>
          <w:rFonts w:cs="David"/>
          <w:sz w:val="28"/>
          <w:szCs w:val="28"/>
          <w:rtl/>
        </w:rPr>
      </w:pPr>
    </w:p>
    <w:p w:rsidR="00F635C0" w:rsidRDefault="00F635C0" w:rsidP="00692192">
      <w:pPr>
        <w:spacing w:after="0" w:line="360" w:lineRule="auto"/>
        <w:jc w:val="both"/>
        <w:rPr>
          <w:rFonts w:cs="David"/>
          <w:sz w:val="28"/>
          <w:szCs w:val="28"/>
          <w:rtl/>
        </w:rPr>
      </w:pPr>
      <w:r w:rsidRPr="0004711E">
        <w:rPr>
          <w:rFonts w:eastAsia="Times New Roman" w:cs="David" w:hint="cs"/>
          <w:color w:val="111111"/>
          <w:sz w:val="28"/>
          <w:szCs w:val="28"/>
          <w:rtl/>
        </w:rPr>
        <w:t xml:space="preserve">עבודה זו תנסה לשרטט את </w:t>
      </w:r>
      <w:r w:rsidRPr="0004711E">
        <w:rPr>
          <w:rFonts w:cs="David" w:hint="cs"/>
          <w:sz w:val="28"/>
          <w:szCs w:val="28"/>
          <w:rtl/>
        </w:rPr>
        <w:t xml:space="preserve">מרחב הפעולה האפשרי העומד בפני מקבלי ההחלטות במדינת ישראל בעת קבלת ההחלטה לגבי שיתוף פעולה עם </w:t>
      </w:r>
      <w:r w:rsidR="009F6ED1">
        <w:rPr>
          <w:rFonts w:cs="David" w:hint="cs"/>
          <w:sz w:val="28"/>
          <w:szCs w:val="28"/>
          <w:rtl/>
        </w:rPr>
        <w:t xml:space="preserve">ועדות חקירה </w:t>
      </w:r>
      <w:r w:rsidR="009C039C">
        <w:rPr>
          <w:rFonts w:cs="David" w:hint="cs"/>
          <w:sz w:val="28"/>
          <w:szCs w:val="28"/>
          <w:rtl/>
        </w:rPr>
        <w:t>בינלאומיות</w:t>
      </w:r>
      <w:r w:rsidRPr="0004711E">
        <w:rPr>
          <w:rFonts w:cs="David" w:hint="cs"/>
          <w:sz w:val="28"/>
          <w:szCs w:val="28"/>
          <w:rtl/>
        </w:rPr>
        <w:t>.</w:t>
      </w:r>
      <w:r w:rsidRPr="0004711E">
        <w:rPr>
          <w:rFonts w:eastAsia="Times New Roman" w:cs="David" w:hint="cs"/>
          <w:color w:val="111111"/>
          <w:sz w:val="28"/>
          <w:szCs w:val="28"/>
          <w:rtl/>
        </w:rPr>
        <w:t xml:space="preserve"> </w:t>
      </w:r>
    </w:p>
    <w:p w:rsidR="00F635C0" w:rsidRDefault="00F635C0" w:rsidP="00692192">
      <w:pPr>
        <w:spacing w:after="0" w:line="360" w:lineRule="auto"/>
        <w:jc w:val="both"/>
        <w:rPr>
          <w:rFonts w:cs="David"/>
          <w:sz w:val="28"/>
          <w:szCs w:val="28"/>
          <w:rtl/>
        </w:rPr>
      </w:pPr>
    </w:p>
    <w:p w:rsidR="00AC59BE" w:rsidRPr="0004711E" w:rsidRDefault="0000579B" w:rsidP="00F635C0">
      <w:pPr>
        <w:spacing w:after="0" w:line="360" w:lineRule="auto"/>
        <w:jc w:val="both"/>
        <w:rPr>
          <w:rFonts w:cs="David"/>
          <w:sz w:val="28"/>
          <w:szCs w:val="28"/>
          <w:rtl/>
        </w:rPr>
      </w:pPr>
      <w:r w:rsidRPr="0004711E">
        <w:rPr>
          <w:rFonts w:cs="David" w:hint="cs"/>
          <w:sz w:val="28"/>
          <w:szCs w:val="28"/>
          <w:rtl/>
        </w:rPr>
        <w:t>בשלהי שנת 2008 פתחה מדינת ישראל במבצע "עופרת יצוקה"</w:t>
      </w:r>
      <w:r w:rsidR="006F502D" w:rsidRPr="0004711E">
        <w:rPr>
          <w:rFonts w:cs="David" w:hint="cs"/>
          <w:sz w:val="28"/>
          <w:szCs w:val="28"/>
          <w:rtl/>
        </w:rPr>
        <w:t>,</w:t>
      </w:r>
      <w:r w:rsidRPr="0004711E">
        <w:rPr>
          <w:rFonts w:cs="David" w:hint="cs"/>
          <w:sz w:val="28"/>
          <w:szCs w:val="28"/>
          <w:rtl/>
        </w:rPr>
        <w:t xml:space="preserve"> במטרה להפסיק או לצמצם משמעותית את ירי הרקטות של ארגוני הטרור הפלסטיניים ברצועת עזה</w:t>
      </w:r>
      <w:r w:rsidR="006F502D" w:rsidRPr="0004711E">
        <w:rPr>
          <w:rFonts w:cs="David" w:hint="cs"/>
          <w:sz w:val="28"/>
          <w:szCs w:val="28"/>
          <w:rtl/>
        </w:rPr>
        <w:t>,</w:t>
      </w:r>
      <w:r w:rsidRPr="0004711E">
        <w:rPr>
          <w:rFonts w:cs="David" w:hint="cs"/>
          <w:sz w:val="28"/>
          <w:szCs w:val="28"/>
          <w:rtl/>
        </w:rPr>
        <w:t xml:space="preserve"> ממנו סבלו אזרחי דרום המדינה במשך תקופה ארוכה. המבצע נמשך 23 ימים ונחל הצלחה צבאית משמעותית. עם זאת, המבצע לווה במתקפה משפטית ותקשורתית חסרת תקדים בהיקפה </w:t>
      </w:r>
      <w:r w:rsidR="008F5D96" w:rsidRPr="0004711E">
        <w:rPr>
          <w:rFonts w:cs="David" w:hint="cs"/>
          <w:sz w:val="28"/>
          <w:szCs w:val="28"/>
          <w:rtl/>
        </w:rPr>
        <w:t xml:space="preserve">ובעוצמתה </w:t>
      </w:r>
      <w:r w:rsidRPr="0004711E">
        <w:rPr>
          <w:rFonts w:cs="David" w:hint="cs"/>
          <w:sz w:val="28"/>
          <w:szCs w:val="28"/>
          <w:rtl/>
        </w:rPr>
        <w:t xml:space="preserve">כנגד מדינת ישראל, ששיאה בפרסומו </w:t>
      </w:r>
      <w:r w:rsidR="004C0757" w:rsidRPr="0004711E">
        <w:rPr>
          <w:rFonts w:cs="David" w:hint="cs"/>
          <w:sz w:val="28"/>
          <w:szCs w:val="28"/>
          <w:rtl/>
        </w:rPr>
        <w:t xml:space="preserve">בספטמבר 2009 </w:t>
      </w:r>
      <w:r w:rsidRPr="0004711E">
        <w:rPr>
          <w:rFonts w:cs="David" w:hint="cs"/>
          <w:sz w:val="28"/>
          <w:szCs w:val="28"/>
          <w:rtl/>
        </w:rPr>
        <w:t>של "דוח גולדסטון"</w:t>
      </w:r>
      <w:r w:rsidR="009C039C">
        <w:rPr>
          <w:rFonts w:cs="David" w:hint="cs"/>
          <w:sz w:val="28"/>
          <w:szCs w:val="28"/>
          <w:rtl/>
        </w:rPr>
        <w:t>,</w:t>
      </w:r>
      <w:r w:rsidR="008F5D96" w:rsidRPr="0004711E">
        <w:rPr>
          <w:rFonts w:cs="David" w:hint="cs"/>
          <w:sz w:val="28"/>
          <w:szCs w:val="28"/>
          <w:rtl/>
        </w:rPr>
        <w:t xml:space="preserve"> שנכתב </w:t>
      </w:r>
      <w:r w:rsidR="00692192">
        <w:rPr>
          <w:rFonts w:cs="David" w:hint="cs"/>
          <w:sz w:val="28"/>
          <w:szCs w:val="28"/>
          <w:rtl/>
        </w:rPr>
        <w:t>על ידי</w:t>
      </w:r>
      <w:r w:rsidR="008F5D96" w:rsidRPr="0004711E">
        <w:rPr>
          <w:rFonts w:cs="David" w:hint="cs"/>
          <w:sz w:val="28"/>
          <w:szCs w:val="28"/>
          <w:rtl/>
        </w:rPr>
        <w:t xml:space="preserve"> ועדה שמונתה </w:t>
      </w:r>
      <w:r w:rsidR="00692192">
        <w:rPr>
          <w:rFonts w:cs="David" w:hint="cs"/>
          <w:sz w:val="28"/>
          <w:szCs w:val="28"/>
          <w:rtl/>
        </w:rPr>
        <w:t>על ידי</w:t>
      </w:r>
      <w:r w:rsidR="008F5D96" w:rsidRPr="0004711E">
        <w:rPr>
          <w:rFonts w:cs="David" w:hint="cs"/>
          <w:sz w:val="28"/>
          <w:szCs w:val="28"/>
          <w:rtl/>
        </w:rPr>
        <w:t xml:space="preserve"> מועצת זכויות האדם של האו"ם</w:t>
      </w:r>
      <w:r w:rsidR="009C039C">
        <w:rPr>
          <w:rFonts w:cs="David" w:hint="cs"/>
          <w:sz w:val="28"/>
          <w:szCs w:val="28"/>
          <w:rtl/>
        </w:rPr>
        <w:t>,</w:t>
      </w:r>
      <w:r w:rsidR="008F5D96" w:rsidRPr="0004711E">
        <w:rPr>
          <w:rFonts w:cs="David" w:hint="cs"/>
          <w:sz w:val="28"/>
          <w:szCs w:val="28"/>
          <w:rtl/>
        </w:rPr>
        <w:t xml:space="preserve"> בראשותו של השופט הדרום אפריקאי ריצ'ארד גולדסטון. הדוח כלל האשמות קשות כנגד מדינת ישראל וקבע, בין היתר, כי </w:t>
      </w:r>
      <w:r w:rsidR="00F635C0">
        <w:rPr>
          <w:rFonts w:cs="David" w:hint="cs"/>
          <w:sz w:val="28"/>
          <w:szCs w:val="28"/>
          <w:rtl/>
        </w:rPr>
        <w:t xml:space="preserve">היא </w:t>
      </w:r>
      <w:r w:rsidR="00790AA3" w:rsidRPr="0004711E">
        <w:rPr>
          <w:rFonts w:cs="David" w:hint="cs"/>
          <w:sz w:val="28"/>
          <w:szCs w:val="28"/>
          <w:rtl/>
        </w:rPr>
        <w:t xml:space="preserve">הפרה באופן חמור את דיני זכויות האדם ודיני הלחימה; ביצעה פשעי מלחמה ופשעים נגד האנושות; </w:t>
      </w:r>
      <w:r w:rsidR="008F5D96" w:rsidRPr="0004711E">
        <w:rPr>
          <w:rFonts w:cs="David" w:hint="cs"/>
          <w:sz w:val="28"/>
          <w:szCs w:val="28"/>
          <w:rtl/>
        </w:rPr>
        <w:t xml:space="preserve">נקטה מדיניות מכוונת של פגיעה באוכלוסייה האזרחית ברצועת עזה </w:t>
      </w:r>
      <w:r w:rsidR="00790AA3" w:rsidRPr="0004711E">
        <w:rPr>
          <w:rFonts w:cs="David" w:hint="cs"/>
          <w:sz w:val="28"/>
          <w:szCs w:val="28"/>
          <w:rtl/>
        </w:rPr>
        <w:t xml:space="preserve">במטרה להענישה, להשפילה ולהטיל עליה טרור. לבסוף נקבע, כי </w:t>
      </w:r>
      <w:r w:rsidR="008F5D96" w:rsidRPr="0004711E">
        <w:rPr>
          <w:rFonts w:cs="David" w:hint="cs"/>
          <w:sz w:val="28"/>
          <w:szCs w:val="28"/>
          <w:rtl/>
        </w:rPr>
        <w:t>מערכת המשפט הצבאית של מדינת ישראל אינה פועלת על פי סטנדרטים בינלאומיים מקובלים ולפיכך יש לבחון את פעולותיה של מדינת ישראל בערכאות בינלאומיות חיצוניות.</w:t>
      </w:r>
      <w:r w:rsidR="00223606" w:rsidRPr="0004711E">
        <w:rPr>
          <w:rFonts w:cs="David" w:hint="cs"/>
          <w:sz w:val="28"/>
          <w:szCs w:val="28"/>
          <w:rtl/>
        </w:rPr>
        <w:t xml:space="preserve"> </w:t>
      </w:r>
      <w:r w:rsidR="00AC59BE" w:rsidRPr="0004711E">
        <w:rPr>
          <w:rFonts w:cs="David" w:hint="cs"/>
          <w:sz w:val="28"/>
          <w:szCs w:val="28"/>
          <w:rtl/>
        </w:rPr>
        <w:t>גולדסטון המליץ על שורה ארוכה של צעדים בעקבות הדוח שכתב, ובכללם העברת הדוח לתובע של בית הדין הפלילי הבינלאומי.</w:t>
      </w:r>
      <w:r w:rsidR="00FD46D6" w:rsidRPr="0004711E">
        <w:rPr>
          <w:rFonts w:cs="David" w:hint="cs"/>
          <w:sz w:val="28"/>
          <w:szCs w:val="28"/>
          <w:rtl/>
        </w:rPr>
        <w:t xml:space="preserve"> הדוח אף</w:t>
      </w:r>
      <w:r w:rsidR="002A21BD" w:rsidRPr="0004711E">
        <w:rPr>
          <w:rFonts w:cs="David" w:hint="cs"/>
          <w:sz w:val="28"/>
          <w:szCs w:val="28"/>
          <w:rtl/>
        </w:rPr>
        <w:t xml:space="preserve"> אומץ </w:t>
      </w:r>
      <w:r w:rsidR="00692192">
        <w:rPr>
          <w:rFonts w:cs="David" w:hint="cs"/>
          <w:sz w:val="28"/>
          <w:szCs w:val="28"/>
          <w:rtl/>
        </w:rPr>
        <w:t>על ידי</w:t>
      </w:r>
      <w:r w:rsidR="002A21BD" w:rsidRPr="0004711E">
        <w:rPr>
          <w:rFonts w:cs="David" w:hint="cs"/>
          <w:sz w:val="28"/>
          <w:szCs w:val="28"/>
          <w:rtl/>
        </w:rPr>
        <w:t xml:space="preserve"> העצרת הכללית של האו"ם.</w:t>
      </w:r>
      <w:bookmarkStart w:id="1" w:name="_Ref455325093"/>
      <w:r w:rsidR="002A21BD" w:rsidRPr="0004711E">
        <w:rPr>
          <w:rStyle w:val="a7"/>
          <w:rFonts w:cs="David"/>
          <w:sz w:val="28"/>
          <w:szCs w:val="28"/>
          <w:rtl/>
        </w:rPr>
        <w:footnoteReference w:id="2"/>
      </w:r>
      <w:bookmarkEnd w:id="1"/>
    </w:p>
    <w:p w:rsidR="00AC59BE" w:rsidRPr="0004711E" w:rsidRDefault="00AC59BE" w:rsidP="008B316C">
      <w:pPr>
        <w:spacing w:after="0" w:line="360" w:lineRule="auto"/>
        <w:jc w:val="both"/>
        <w:rPr>
          <w:rFonts w:cs="David"/>
          <w:sz w:val="28"/>
          <w:szCs w:val="28"/>
          <w:rtl/>
        </w:rPr>
      </w:pPr>
    </w:p>
    <w:p w:rsidR="00F635C0" w:rsidRDefault="00223606" w:rsidP="00DD319B">
      <w:pPr>
        <w:spacing w:after="0" w:line="360" w:lineRule="auto"/>
        <w:jc w:val="both"/>
        <w:rPr>
          <w:rFonts w:cs="David"/>
          <w:sz w:val="28"/>
          <w:szCs w:val="28"/>
          <w:rtl/>
        </w:rPr>
      </w:pPr>
      <w:r w:rsidRPr="0004711E">
        <w:rPr>
          <w:rFonts w:cs="David" w:hint="cs"/>
          <w:sz w:val="28"/>
          <w:szCs w:val="28"/>
          <w:rtl/>
        </w:rPr>
        <w:t xml:space="preserve">פרסום הדוח לווה בכיסוי תקשורתי בינלאומי יוצא דופן. מדינת ישראל רעשה וגעשה. העולם </w:t>
      </w:r>
      <w:r w:rsidR="00790AA3" w:rsidRPr="0004711E">
        <w:rPr>
          <w:rFonts w:cs="David" w:hint="cs"/>
          <w:sz w:val="28"/>
          <w:szCs w:val="28"/>
          <w:rtl/>
        </w:rPr>
        <w:t xml:space="preserve">כולו </w:t>
      </w:r>
      <w:r w:rsidRPr="0004711E">
        <w:rPr>
          <w:rFonts w:cs="David" w:hint="cs"/>
          <w:sz w:val="28"/>
          <w:szCs w:val="28"/>
          <w:rtl/>
        </w:rPr>
        <w:t>רעש וגעש.</w:t>
      </w:r>
      <w:r w:rsidR="00790AA3" w:rsidRPr="0004711E">
        <w:rPr>
          <w:rFonts w:cs="David" w:hint="cs"/>
          <w:sz w:val="28"/>
          <w:szCs w:val="28"/>
          <w:rtl/>
        </w:rPr>
        <w:t xml:space="preserve"> גולדסטון, משפטן יהודי מוערך, פגע בבטן הרכה של מדינת ישראל</w:t>
      </w:r>
      <w:r w:rsidR="00F635C0">
        <w:rPr>
          <w:rFonts w:cs="David" w:hint="cs"/>
          <w:sz w:val="28"/>
          <w:szCs w:val="28"/>
          <w:rtl/>
        </w:rPr>
        <w:t xml:space="preserve"> באמצעות הדוח החמור שפרסם</w:t>
      </w:r>
      <w:r w:rsidR="00790AA3" w:rsidRPr="0004711E">
        <w:rPr>
          <w:rFonts w:cs="David" w:hint="cs"/>
          <w:sz w:val="28"/>
          <w:szCs w:val="28"/>
          <w:rtl/>
        </w:rPr>
        <w:t>.</w:t>
      </w:r>
      <w:r w:rsidR="00AC59BE" w:rsidRPr="0004711E">
        <w:rPr>
          <w:rFonts w:cs="David" w:hint="cs"/>
          <w:sz w:val="28"/>
          <w:szCs w:val="28"/>
          <w:rtl/>
        </w:rPr>
        <w:t xml:space="preserve"> ישראל סירבה לשתף פעולה עם ועדת גולדסטון משורת טעמים</w:t>
      </w:r>
      <w:r w:rsidR="00F635C0">
        <w:rPr>
          <w:rFonts w:cs="David" w:hint="cs"/>
          <w:sz w:val="28"/>
          <w:szCs w:val="28"/>
          <w:rtl/>
        </w:rPr>
        <w:t>,</w:t>
      </w:r>
      <w:r w:rsidR="00AC59BE" w:rsidRPr="0004711E">
        <w:rPr>
          <w:rFonts w:cs="David" w:hint="cs"/>
          <w:sz w:val="28"/>
          <w:szCs w:val="28"/>
          <w:rtl/>
        </w:rPr>
        <w:t xml:space="preserve"> שנגעו להטיה המוסדית של מועצת זכויות האדם נגדה, המנדט המוטה שניתן לוועדה והרכב הוועדה, כך שהציפייה הייתה מלכתחילה לדוח ביקורתי. אבל חרף הציפייה הזו, הצליח הדוח להדהים את מדינת ישראל בעוצמתו.</w:t>
      </w:r>
    </w:p>
    <w:p w:rsidR="00F635C0" w:rsidRDefault="00F635C0" w:rsidP="00F635C0">
      <w:pPr>
        <w:spacing w:after="0" w:line="360" w:lineRule="auto"/>
        <w:jc w:val="both"/>
        <w:rPr>
          <w:rFonts w:cs="David"/>
          <w:sz w:val="28"/>
          <w:szCs w:val="28"/>
          <w:rtl/>
        </w:rPr>
      </w:pPr>
    </w:p>
    <w:p w:rsidR="0000579B" w:rsidRPr="0004711E" w:rsidRDefault="00672D74" w:rsidP="00F635C0">
      <w:pPr>
        <w:spacing w:after="0" w:line="360" w:lineRule="auto"/>
        <w:jc w:val="both"/>
        <w:rPr>
          <w:rFonts w:cs="David"/>
          <w:sz w:val="28"/>
          <w:szCs w:val="28"/>
          <w:rtl/>
        </w:rPr>
      </w:pPr>
      <w:r w:rsidRPr="0004711E">
        <w:rPr>
          <w:rFonts w:cs="David" w:hint="cs"/>
          <w:sz w:val="28"/>
          <w:szCs w:val="28"/>
          <w:rtl/>
        </w:rPr>
        <w:lastRenderedPageBreak/>
        <w:t xml:space="preserve">התגובות היו קשות. נשיא המדינה, שמעון פרס, אמר כי הדוח </w:t>
      </w:r>
      <w:r w:rsidRPr="0004711E">
        <w:rPr>
          <w:rFonts w:cs="David"/>
          <w:sz w:val="28"/>
          <w:szCs w:val="28"/>
        </w:rPr>
        <w:t>"</w:t>
      </w:r>
      <w:r w:rsidRPr="0004711E">
        <w:rPr>
          <w:rFonts w:cs="David"/>
          <w:sz w:val="28"/>
          <w:szCs w:val="28"/>
          <w:rtl/>
        </w:rPr>
        <w:t>עושה צחוק מההיסטוריה. הוא אינו מבחין בין תוקפן לבין מתגונן. המלחמה היא פשע והפושע הוא התוקפן. למתגונן אין ברירה</w:t>
      </w:r>
      <w:r w:rsidRPr="0004711E">
        <w:rPr>
          <w:rStyle w:val="a7"/>
          <w:rFonts w:cs="David"/>
          <w:sz w:val="28"/>
          <w:szCs w:val="28"/>
        </w:rPr>
        <w:footnoteReference w:id="3"/>
      </w:r>
      <w:r w:rsidRPr="0004711E">
        <w:rPr>
          <w:rFonts w:cs="David"/>
          <w:sz w:val="28"/>
          <w:szCs w:val="28"/>
        </w:rPr>
        <w:t>"</w:t>
      </w:r>
      <w:r w:rsidRPr="0004711E">
        <w:rPr>
          <w:rFonts w:cs="David" w:hint="cs"/>
          <w:sz w:val="28"/>
          <w:szCs w:val="28"/>
          <w:rtl/>
        </w:rPr>
        <w:t xml:space="preserve">. ראש הממשלה, בנימין נתניהו, אמר כי </w:t>
      </w:r>
      <w:r w:rsidRPr="0004711E">
        <w:rPr>
          <w:rFonts w:cs="David"/>
          <w:sz w:val="28"/>
          <w:szCs w:val="28"/>
        </w:rPr>
        <w:t>"</w:t>
      </w:r>
      <w:r w:rsidR="00692192">
        <w:rPr>
          <w:rFonts w:cs="David"/>
          <w:sz w:val="28"/>
          <w:szCs w:val="28"/>
          <w:rtl/>
        </w:rPr>
        <w:t>דוח</w:t>
      </w:r>
      <w:r w:rsidRPr="0004711E">
        <w:rPr>
          <w:rFonts w:cs="David"/>
          <w:sz w:val="28"/>
          <w:szCs w:val="28"/>
          <w:rtl/>
        </w:rPr>
        <w:t xml:space="preserve"> גולדסטון הוא בית דין שדה, שתוצאותיו נכתבו מראש. זהו פרס לטרור. ה</w:t>
      </w:r>
      <w:r w:rsidR="00692192">
        <w:rPr>
          <w:rFonts w:cs="David"/>
          <w:sz w:val="28"/>
          <w:szCs w:val="28"/>
          <w:rtl/>
        </w:rPr>
        <w:t>דוח</w:t>
      </w:r>
      <w:r w:rsidRPr="0004711E">
        <w:rPr>
          <w:rFonts w:cs="David"/>
          <w:sz w:val="28"/>
          <w:szCs w:val="28"/>
          <w:rtl/>
        </w:rPr>
        <w:t xml:space="preserve"> מקשה על דמוקרטיות להילחם בטרור</w:t>
      </w:r>
      <w:r w:rsidRPr="0004711E">
        <w:rPr>
          <w:rFonts w:cs="David"/>
          <w:sz w:val="28"/>
          <w:szCs w:val="28"/>
        </w:rPr>
        <w:t>".</w:t>
      </w:r>
      <w:r w:rsidRPr="0004711E">
        <w:rPr>
          <w:rStyle w:val="a7"/>
          <w:rFonts w:cs="David"/>
          <w:sz w:val="28"/>
          <w:szCs w:val="28"/>
          <w:rtl/>
        </w:rPr>
        <w:footnoteReference w:id="4"/>
      </w:r>
      <w:r w:rsidR="00223CFE" w:rsidRPr="0004711E">
        <w:rPr>
          <w:rFonts w:cs="David" w:hint="cs"/>
          <w:sz w:val="28"/>
          <w:szCs w:val="28"/>
          <w:rtl/>
        </w:rPr>
        <w:t xml:space="preserve"> בית הנבחרים האמריקני העביר החלטה ברוב מוחץ, בה נקבע כי הדוח מוטה ואינו ראוי </w:t>
      </w:r>
      <w:r w:rsidR="00967D49" w:rsidRPr="0004711E">
        <w:rPr>
          <w:rFonts w:cs="David" w:hint="cs"/>
          <w:sz w:val="28"/>
          <w:szCs w:val="28"/>
          <w:rtl/>
        </w:rPr>
        <w:t>להתחשבות נוספת או ללגיטימציה</w:t>
      </w:r>
      <w:r w:rsidR="00967D49" w:rsidRPr="0004711E">
        <w:rPr>
          <w:rStyle w:val="a7"/>
          <w:rFonts w:cs="David"/>
          <w:sz w:val="28"/>
          <w:szCs w:val="28"/>
          <w:rtl/>
        </w:rPr>
        <w:footnoteReference w:id="5"/>
      </w:r>
      <w:r w:rsidR="00967D49" w:rsidRPr="0004711E">
        <w:rPr>
          <w:rFonts w:cs="David" w:hint="cs"/>
          <w:sz w:val="28"/>
          <w:szCs w:val="28"/>
          <w:rtl/>
        </w:rPr>
        <w:t xml:space="preserve">. </w:t>
      </w:r>
      <w:r w:rsidR="00E72BDE" w:rsidRPr="0004711E">
        <w:rPr>
          <w:rFonts w:cs="David" w:hint="cs"/>
          <w:sz w:val="28"/>
          <w:szCs w:val="28"/>
          <w:rtl/>
        </w:rPr>
        <w:t>מן העבר השני, מרבית מדינות העולם אימצו את הדוח וקראו למדינת ישראל לחקור את ההפרות הנזכרות בו.</w:t>
      </w:r>
    </w:p>
    <w:p w:rsidR="00E72BDE" w:rsidRPr="0004711E" w:rsidRDefault="00E72BDE" w:rsidP="008B316C">
      <w:pPr>
        <w:spacing w:after="0" w:line="360" w:lineRule="auto"/>
        <w:jc w:val="both"/>
        <w:rPr>
          <w:rFonts w:cs="David"/>
          <w:sz w:val="28"/>
          <w:szCs w:val="28"/>
          <w:rtl/>
        </w:rPr>
      </w:pPr>
    </w:p>
    <w:p w:rsidR="00E72BDE" w:rsidRPr="0004711E" w:rsidRDefault="00E72BDE" w:rsidP="00F635C0">
      <w:pPr>
        <w:spacing w:after="0" w:line="360" w:lineRule="auto"/>
        <w:jc w:val="both"/>
        <w:rPr>
          <w:rFonts w:cs="David"/>
          <w:sz w:val="28"/>
          <w:szCs w:val="28"/>
          <w:rtl/>
        </w:rPr>
      </w:pPr>
      <w:r w:rsidRPr="0004711E">
        <w:rPr>
          <w:rFonts w:cs="David" w:hint="cs"/>
          <w:sz w:val="28"/>
          <w:szCs w:val="28"/>
          <w:rtl/>
        </w:rPr>
        <w:t>דוח גולדסטון לא ירד מסדר היום התקשורתי במשך זמן רב. מועצת זכויות האדם מינתה שתי ועדות לעקוב אחר יישום המלצות</w:t>
      </w:r>
      <w:r w:rsidR="00F635C0">
        <w:rPr>
          <w:rFonts w:cs="David" w:hint="cs"/>
          <w:sz w:val="28"/>
          <w:szCs w:val="28"/>
          <w:rtl/>
        </w:rPr>
        <w:t>יו</w:t>
      </w:r>
      <w:r w:rsidRPr="0004711E">
        <w:rPr>
          <w:rFonts w:cs="David" w:hint="cs"/>
          <w:sz w:val="28"/>
          <w:szCs w:val="28"/>
          <w:rtl/>
        </w:rPr>
        <w:t xml:space="preserve"> (ועדת טומושאט ולאחריה ועדת מקגאוון-דיוויס). מדינת ישראל</w:t>
      </w:r>
      <w:r w:rsidR="006F502D" w:rsidRPr="0004711E">
        <w:rPr>
          <w:rFonts w:cs="David" w:hint="cs"/>
          <w:sz w:val="28"/>
          <w:szCs w:val="28"/>
          <w:rtl/>
        </w:rPr>
        <w:t>,</w:t>
      </w:r>
      <w:r w:rsidRPr="0004711E">
        <w:rPr>
          <w:rFonts w:cs="David" w:hint="cs"/>
          <w:sz w:val="28"/>
          <w:szCs w:val="28"/>
          <w:rtl/>
        </w:rPr>
        <w:t xml:space="preserve"> מצדה, קיימה שורה ארוכה של חקירות על אודות האירועים שנזכרו בדוח גולדסטון ופרסמה את ממצאיה.</w:t>
      </w:r>
    </w:p>
    <w:p w:rsidR="00E72BDE" w:rsidRPr="0004711E" w:rsidRDefault="00E72BDE" w:rsidP="008B316C">
      <w:pPr>
        <w:spacing w:after="0" w:line="360" w:lineRule="auto"/>
        <w:jc w:val="both"/>
        <w:rPr>
          <w:rFonts w:cs="David"/>
          <w:sz w:val="28"/>
          <w:szCs w:val="28"/>
          <w:rtl/>
        </w:rPr>
      </w:pPr>
    </w:p>
    <w:p w:rsidR="00E72BDE" w:rsidRPr="0004711E" w:rsidRDefault="00E72BDE" w:rsidP="008B316C">
      <w:pPr>
        <w:spacing w:after="0" w:line="360" w:lineRule="auto"/>
        <w:jc w:val="both"/>
        <w:rPr>
          <w:rFonts w:cs="David"/>
          <w:sz w:val="28"/>
          <w:szCs w:val="28"/>
          <w:rtl/>
        </w:rPr>
      </w:pPr>
      <w:r w:rsidRPr="0004711E">
        <w:rPr>
          <w:rFonts w:cs="David" w:hint="cs"/>
          <w:sz w:val="28"/>
          <w:szCs w:val="28"/>
          <w:rtl/>
        </w:rPr>
        <w:t>ב-1 באפריל 2011 הפתיע גולדסטון את העולם</w:t>
      </w:r>
      <w:r w:rsidR="00F635C0">
        <w:rPr>
          <w:rFonts w:cs="David" w:hint="cs"/>
          <w:sz w:val="28"/>
          <w:szCs w:val="28"/>
          <w:rtl/>
        </w:rPr>
        <w:t>,</w:t>
      </w:r>
      <w:r w:rsidRPr="0004711E">
        <w:rPr>
          <w:rFonts w:cs="David" w:hint="cs"/>
          <w:sz w:val="28"/>
          <w:szCs w:val="28"/>
          <w:rtl/>
        </w:rPr>
        <w:t xml:space="preserve"> כשפרסם מאמר בעיתון </w:t>
      </w:r>
      <w:r w:rsidR="00C91637">
        <w:rPr>
          <w:rFonts w:cs="David"/>
          <w:sz w:val="28"/>
          <w:szCs w:val="28"/>
        </w:rPr>
        <w:t>"</w:t>
      </w:r>
      <w:r w:rsidRPr="0004711E">
        <w:rPr>
          <w:rFonts w:cs="David"/>
          <w:sz w:val="28"/>
          <w:szCs w:val="28"/>
        </w:rPr>
        <w:t>The Washington Post</w:t>
      </w:r>
      <w:r w:rsidR="00C91637">
        <w:rPr>
          <w:rFonts w:cs="David" w:hint="cs"/>
          <w:sz w:val="28"/>
          <w:szCs w:val="28"/>
          <w:rtl/>
        </w:rPr>
        <w:t>"</w:t>
      </w:r>
      <w:r w:rsidRPr="0004711E">
        <w:rPr>
          <w:rStyle w:val="a7"/>
          <w:rFonts w:cs="David"/>
          <w:sz w:val="28"/>
          <w:szCs w:val="28"/>
          <w:rtl/>
        </w:rPr>
        <w:footnoteReference w:id="6"/>
      </w:r>
      <w:r w:rsidRPr="0004711E">
        <w:rPr>
          <w:rFonts w:cs="David" w:hint="cs"/>
          <w:sz w:val="28"/>
          <w:szCs w:val="28"/>
          <w:rtl/>
        </w:rPr>
        <w:t xml:space="preserve"> ובו כתב</w:t>
      </w:r>
      <w:r w:rsidR="00A02163" w:rsidRPr="0004711E">
        <w:rPr>
          <w:rFonts w:cs="David" w:hint="cs"/>
          <w:sz w:val="28"/>
          <w:szCs w:val="28"/>
          <w:rtl/>
        </w:rPr>
        <w:t>, בין היתר,</w:t>
      </w:r>
      <w:r w:rsidRPr="0004711E">
        <w:rPr>
          <w:rFonts w:cs="David" w:hint="cs"/>
          <w:sz w:val="28"/>
          <w:szCs w:val="28"/>
          <w:rtl/>
        </w:rPr>
        <w:t xml:space="preserve"> את הדברים הבאים</w:t>
      </w:r>
      <w:r w:rsidR="004C0757" w:rsidRPr="0004711E">
        <w:rPr>
          <w:rFonts w:cs="David" w:hint="cs"/>
          <w:sz w:val="28"/>
          <w:szCs w:val="28"/>
          <w:rtl/>
        </w:rPr>
        <w:t xml:space="preserve"> (ההדגשות אינן במקור </w:t>
      </w:r>
      <w:r w:rsidR="004C0757" w:rsidRPr="0004711E">
        <w:rPr>
          <w:rFonts w:cs="David"/>
          <w:sz w:val="28"/>
          <w:szCs w:val="28"/>
          <w:rtl/>
        </w:rPr>
        <w:t>–</w:t>
      </w:r>
      <w:r w:rsidR="004C0757" w:rsidRPr="0004711E">
        <w:rPr>
          <w:rFonts w:cs="David" w:hint="cs"/>
          <w:sz w:val="28"/>
          <w:szCs w:val="28"/>
          <w:rtl/>
        </w:rPr>
        <w:t xml:space="preserve"> א.ב.א</w:t>
      </w:r>
      <w:r w:rsidR="00E07DF1">
        <w:rPr>
          <w:rFonts w:cs="David" w:hint="cs"/>
          <w:sz w:val="28"/>
          <w:szCs w:val="28"/>
          <w:rtl/>
        </w:rPr>
        <w:t>.</w:t>
      </w:r>
      <w:r w:rsidR="004C0757" w:rsidRPr="0004711E">
        <w:rPr>
          <w:rFonts w:cs="David" w:hint="cs"/>
          <w:sz w:val="28"/>
          <w:szCs w:val="28"/>
          <w:rtl/>
        </w:rPr>
        <w:t>)</w:t>
      </w:r>
      <w:r w:rsidRPr="0004711E">
        <w:rPr>
          <w:rFonts w:cs="David" w:hint="cs"/>
          <w:sz w:val="28"/>
          <w:szCs w:val="28"/>
          <w:rtl/>
        </w:rPr>
        <w:t>:</w:t>
      </w:r>
    </w:p>
    <w:p w:rsidR="00A02163" w:rsidRPr="0004711E" w:rsidRDefault="00A02163" w:rsidP="008B316C">
      <w:pPr>
        <w:spacing w:after="0" w:line="360" w:lineRule="auto"/>
        <w:jc w:val="both"/>
        <w:rPr>
          <w:rFonts w:cs="David"/>
          <w:sz w:val="28"/>
          <w:szCs w:val="28"/>
          <w:rtl/>
        </w:rPr>
      </w:pPr>
    </w:p>
    <w:p w:rsidR="00513DBA" w:rsidRDefault="004C0757">
      <w:pPr>
        <w:bidi w:val="0"/>
        <w:spacing w:after="0" w:line="240" w:lineRule="auto"/>
        <w:jc w:val="both"/>
        <w:rPr>
          <w:rFonts w:eastAsia="Times New Roman" w:cs="Times New Roman"/>
          <w:color w:val="111111"/>
          <w:sz w:val="28"/>
          <w:szCs w:val="28"/>
        </w:rPr>
      </w:pPr>
      <w:r w:rsidRPr="0004711E">
        <w:rPr>
          <w:rFonts w:cs="David"/>
          <w:sz w:val="28"/>
          <w:szCs w:val="28"/>
        </w:rPr>
        <w:t>"</w:t>
      </w:r>
      <w:r w:rsidRPr="0004711E">
        <w:rPr>
          <w:rFonts w:eastAsia="Times New Roman" w:cs="Times New Roman"/>
          <w:color w:val="111111"/>
          <w:sz w:val="28"/>
          <w:szCs w:val="28"/>
        </w:rPr>
        <w:t xml:space="preserve">We know a lot more today about what happened in the Gaza war of 2008-09 than we did when I chaired the fact-finding mission appointed by the U.N. Human Rights Council that produced what has come to be known as the Goldstone Report. </w:t>
      </w:r>
      <w:r w:rsidRPr="0004711E">
        <w:rPr>
          <w:rFonts w:eastAsia="Times New Roman" w:cs="Times New Roman"/>
          <w:b/>
          <w:bCs/>
          <w:color w:val="111111"/>
          <w:sz w:val="28"/>
          <w:szCs w:val="28"/>
        </w:rPr>
        <w:t>If I had known then what I know now, the </w:t>
      </w:r>
      <w:hyperlink r:id="rId9" w:history="1">
        <w:r w:rsidRPr="0004711E">
          <w:rPr>
            <w:rFonts w:eastAsia="Times New Roman" w:cs="Times New Roman"/>
            <w:b/>
            <w:bCs/>
            <w:color w:val="111111"/>
            <w:sz w:val="28"/>
            <w:szCs w:val="28"/>
          </w:rPr>
          <w:t>Goldstone Report</w:t>
        </w:r>
      </w:hyperlink>
      <w:r w:rsidRPr="0004711E">
        <w:rPr>
          <w:rFonts w:eastAsia="Times New Roman" w:cs="Times New Roman"/>
          <w:b/>
          <w:bCs/>
          <w:color w:val="111111"/>
          <w:sz w:val="28"/>
          <w:szCs w:val="28"/>
        </w:rPr>
        <w:t> would have been a different document.</w:t>
      </w:r>
    </w:p>
    <w:p w:rsidR="00513DBA" w:rsidRDefault="00251F0C">
      <w:pPr>
        <w:bidi w:val="0"/>
        <w:spacing w:after="0" w:line="240" w:lineRule="auto"/>
        <w:jc w:val="both"/>
        <w:rPr>
          <w:rFonts w:eastAsia="Times New Roman" w:cs="Times New Roman"/>
          <w:color w:val="111111"/>
          <w:sz w:val="28"/>
          <w:szCs w:val="28"/>
        </w:rPr>
      </w:pPr>
      <w:r w:rsidRPr="0004711E" w:rsidDel="00251F0C">
        <w:rPr>
          <w:rFonts w:eastAsia="Times New Roman" w:cs="Times New Roman"/>
          <w:color w:val="111111"/>
          <w:sz w:val="28"/>
          <w:szCs w:val="28"/>
        </w:rPr>
        <w:t xml:space="preserve"> </w:t>
      </w:r>
      <w:r w:rsidR="00F635C0">
        <w:rPr>
          <w:rFonts w:eastAsia="Times New Roman" w:cs="Times New Roman"/>
          <w:color w:val="111111"/>
          <w:sz w:val="28"/>
          <w:szCs w:val="28"/>
        </w:rPr>
        <w:t>(</w:t>
      </w:r>
      <w:r w:rsidR="004C0757" w:rsidRPr="0004711E">
        <w:rPr>
          <w:rFonts w:eastAsia="Times New Roman" w:cs="Times New Roman"/>
          <w:color w:val="111111"/>
          <w:sz w:val="28"/>
          <w:szCs w:val="28"/>
        </w:rPr>
        <w:t>...</w:t>
      </w:r>
      <w:r w:rsidR="00F635C0">
        <w:rPr>
          <w:rFonts w:eastAsia="Times New Roman" w:cs="Times New Roman"/>
          <w:color w:val="111111"/>
          <w:sz w:val="28"/>
          <w:szCs w:val="28"/>
        </w:rPr>
        <w:t>)</w:t>
      </w:r>
    </w:p>
    <w:p w:rsidR="00513DBA" w:rsidRDefault="004C0757">
      <w:pPr>
        <w:bidi w:val="0"/>
        <w:spacing w:after="0" w:line="240" w:lineRule="auto"/>
        <w:jc w:val="both"/>
        <w:rPr>
          <w:rFonts w:eastAsia="Times New Roman" w:cs="Times New Roman"/>
          <w:color w:val="111111"/>
          <w:sz w:val="28"/>
          <w:szCs w:val="28"/>
        </w:rPr>
      </w:pPr>
      <w:r w:rsidRPr="0004711E">
        <w:rPr>
          <w:rFonts w:eastAsia="Times New Roman" w:cs="Times New Roman"/>
          <w:color w:val="111111"/>
          <w:sz w:val="28"/>
          <w:szCs w:val="28"/>
        </w:rPr>
        <w:t>Although the Israeli evidence that has emerged since publication of our report doesn’t negate the tragic loss of civilian life, I regret that our fact-</w:t>
      </w:r>
      <w:r w:rsidRPr="0004711E">
        <w:rPr>
          <w:rFonts w:eastAsia="Times New Roman" w:cs="Times New Roman"/>
          <w:color w:val="111111"/>
          <w:sz w:val="28"/>
          <w:szCs w:val="28"/>
        </w:rPr>
        <w:lastRenderedPageBreak/>
        <w:t>finding mission did not have such evidence explaining the circumstances in which we said civilians in Gaza were targeted, because it probably would have influenced our findings about intentionality and war crimes.</w:t>
      </w:r>
    </w:p>
    <w:p w:rsidR="00513DBA" w:rsidRDefault="004C0757">
      <w:pPr>
        <w:bidi w:val="0"/>
        <w:spacing w:after="0" w:line="240" w:lineRule="auto"/>
        <w:jc w:val="both"/>
        <w:rPr>
          <w:rFonts w:eastAsia="Times New Roman" w:cs="Times New Roman"/>
          <w:color w:val="111111"/>
          <w:sz w:val="28"/>
          <w:szCs w:val="28"/>
        </w:rPr>
      </w:pPr>
      <w:r w:rsidRPr="0004711E">
        <w:rPr>
          <w:rFonts w:eastAsia="Times New Roman" w:cs="Times New Roman"/>
          <w:b/>
          <w:bCs/>
          <w:color w:val="111111"/>
          <w:sz w:val="28"/>
          <w:szCs w:val="28"/>
        </w:rPr>
        <w:t xml:space="preserve">Israel’s lack of cooperation with our investigation meant that we were not able to corroborate how many Gazans killed were civilians and how many were combatants. </w:t>
      </w:r>
    </w:p>
    <w:p w:rsidR="00513DBA" w:rsidRDefault="00251F0C">
      <w:pPr>
        <w:bidi w:val="0"/>
        <w:spacing w:after="0" w:line="240" w:lineRule="auto"/>
        <w:jc w:val="both"/>
        <w:rPr>
          <w:rFonts w:eastAsia="Times New Roman" w:cs="Times New Roman"/>
          <w:color w:val="111111"/>
          <w:sz w:val="28"/>
          <w:szCs w:val="28"/>
        </w:rPr>
      </w:pPr>
      <w:r w:rsidRPr="00251F0C">
        <w:rPr>
          <w:rFonts w:eastAsia="Times New Roman" w:cs="Times New Roman"/>
          <w:color w:val="111111"/>
          <w:sz w:val="28"/>
          <w:szCs w:val="28"/>
        </w:rPr>
        <w:t>(…)</w:t>
      </w:r>
    </w:p>
    <w:p w:rsidR="00513DBA" w:rsidRDefault="004C0757">
      <w:pPr>
        <w:bidi w:val="0"/>
        <w:spacing w:after="0" w:line="240" w:lineRule="auto"/>
        <w:jc w:val="both"/>
        <w:rPr>
          <w:rFonts w:eastAsia="Times New Roman" w:cs="Times New Roman"/>
          <w:color w:val="111111"/>
          <w:sz w:val="28"/>
          <w:szCs w:val="28"/>
        </w:rPr>
      </w:pPr>
      <w:r w:rsidRPr="0004711E">
        <w:rPr>
          <w:rFonts w:eastAsia="Times New Roman" w:cs="Times New Roman"/>
          <w:b/>
          <w:bCs/>
          <w:color w:val="111111"/>
          <w:sz w:val="28"/>
          <w:szCs w:val="28"/>
        </w:rPr>
        <w:t>As I indicated from the very beginning, I would have welcomed Israel’s cooperation. The purpose of the Goldstone Report was never to prove a foregone conclusion against Israel.</w:t>
      </w:r>
      <w:r w:rsidRPr="0004711E">
        <w:rPr>
          <w:rFonts w:eastAsia="Times New Roman" w:cs="Times New Roman"/>
          <w:color w:val="111111"/>
          <w:sz w:val="28"/>
          <w:szCs w:val="28"/>
        </w:rPr>
        <w:t xml:space="preserve"> I insisted on changing the original mandate adopted by the Human Rights Council, which was skewed against Israel. </w:t>
      </w:r>
      <w:r w:rsidR="00251F0C">
        <w:rPr>
          <w:rFonts w:eastAsia="Times New Roman" w:cs="Times New Roman"/>
          <w:color w:val="111111"/>
          <w:sz w:val="28"/>
          <w:szCs w:val="28"/>
        </w:rPr>
        <w:t>(…)</w:t>
      </w:r>
      <w:r w:rsidRPr="0004711E">
        <w:rPr>
          <w:rFonts w:eastAsia="Times New Roman" w:cs="Times New Roman"/>
          <w:color w:val="111111"/>
          <w:sz w:val="28"/>
          <w:szCs w:val="28"/>
        </w:rPr>
        <w:t xml:space="preserve"> </w:t>
      </w:r>
      <w:r w:rsidRPr="0004711E">
        <w:rPr>
          <w:rFonts w:eastAsia="Times New Roman" w:cs="Times New Roman"/>
          <w:b/>
          <w:bCs/>
          <w:color w:val="111111"/>
          <w:sz w:val="28"/>
          <w:szCs w:val="28"/>
        </w:rPr>
        <w:t>I had hoped that our inquiry into all aspects of the Gaza conflict would begin a new era of evenhandedness at the U.N. Human Rights Council, whose history of bias against Israel cannot be doubted</w:t>
      </w:r>
      <w:r w:rsidRPr="0004711E">
        <w:rPr>
          <w:rFonts w:eastAsia="Times New Roman" w:cs="Times New Roman"/>
          <w:color w:val="111111"/>
          <w:sz w:val="28"/>
          <w:szCs w:val="28"/>
        </w:rPr>
        <w:t>.</w:t>
      </w:r>
    </w:p>
    <w:p w:rsidR="00513DBA" w:rsidRDefault="004C0757">
      <w:pPr>
        <w:bidi w:val="0"/>
        <w:spacing w:after="0" w:line="240" w:lineRule="auto"/>
        <w:jc w:val="both"/>
        <w:rPr>
          <w:rFonts w:eastAsia="Times New Roman" w:cs="Times New Roman"/>
          <w:color w:val="111111"/>
          <w:sz w:val="28"/>
          <w:szCs w:val="28"/>
        </w:rPr>
      </w:pPr>
      <w:r w:rsidRPr="0004711E">
        <w:rPr>
          <w:rFonts w:eastAsia="Times New Roman" w:cs="Times New Roman"/>
          <w:color w:val="111111"/>
          <w:sz w:val="28"/>
          <w:szCs w:val="28"/>
        </w:rPr>
        <w:t xml:space="preserve">Some have charged that the process we followed did not live up to judicial standards. To be clear: Our mission was in no way a judicial or even quasi-judicial proceeding. We did not investigate criminal conduct on the part of any individual in Israel, Gaza or the West Bank. </w:t>
      </w:r>
      <w:r w:rsidRPr="0004711E">
        <w:rPr>
          <w:rFonts w:eastAsia="Times New Roman" w:cs="Times New Roman"/>
          <w:b/>
          <w:bCs/>
          <w:color w:val="111111"/>
          <w:sz w:val="28"/>
          <w:szCs w:val="28"/>
        </w:rPr>
        <w:t xml:space="preserve">We made our recommendations based on the record before us, which unfortunately did not include any evidence provided by the Israeli government. </w:t>
      </w:r>
      <w:r w:rsidRPr="0004711E">
        <w:rPr>
          <w:rFonts w:eastAsia="Times New Roman" w:cs="Times New Roman"/>
          <w:color w:val="111111"/>
          <w:sz w:val="28"/>
          <w:szCs w:val="28"/>
        </w:rPr>
        <w:t>Indeed, our main recommendation was for each party to investigate, transparently and in good faith, the incidents referred to in our report. McGowan Davis has found that Israel has done this to a significant degree; Hamas has done nothing.</w:t>
      </w:r>
    </w:p>
    <w:p w:rsidR="00513DBA" w:rsidRDefault="00251F0C">
      <w:pPr>
        <w:bidi w:val="0"/>
        <w:spacing w:after="0" w:line="240" w:lineRule="auto"/>
        <w:jc w:val="both"/>
        <w:rPr>
          <w:rFonts w:eastAsia="Times New Roman" w:cs="Times New Roman"/>
          <w:color w:val="111111"/>
          <w:sz w:val="28"/>
          <w:szCs w:val="28"/>
        </w:rPr>
      </w:pPr>
      <w:r w:rsidRPr="0004711E" w:rsidDel="00251F0C">
        <w:rPr>
          <w:rFonts w:eastAsia="Times New Roman" w:cs="Times New Roman"/>
          <w:color w:val="111111"/>
          <w:sz w:val="28"/>
          <w:szCs w:val="28"/>
        </w:rPr>
        <w:t xml:space="preserve"> </w:t>
      </w:r>
      <w:r w:rsidR="00F635C0">
        <w:rPr>
          <w:rFonts w:eastAsia="Times New Roman" w:cs="Times New Roman"/>
          <w:color w:val="111111"/>
          <w:sz w:val="28"/>
          <w:szCs w:val="28"/>
        </w:rPr>
        <w:t>(</w:t>
      </w:r>
      <w:r w:rsidR="004C0757" w:rsidRPr="0004711E">
        <w:rPr>
          <w:rFonts w:eastAsia="Times New Roman" w:cs="Times New Roman"/>
          <w:color w:val="111111"/>
          <w:sz w:val="28"/>
          <w:szCs w:val="28"/>
        </w:rPr>
        <w:t>...</w:t>
      </w:r>
      <w:r w:rsidR="00F635C0">
        <w:rPr>
          <w:rFonts w:eastAsia="Times New Roman" w:cs="Times New Roman"/>
          <w:color w:val="111111"/>
          <w:sz w:val="28"/>
          <w:szCs w:val="28"/>
        </w:rPr>
        <w:t>)</w:t>
      </w:r>
      <w:r w:rsidR="004C0757" w:rsidRPr="0004711E">
        <w:rPr>
          <w:rFonts w:eastAsia="Times New Roman" w:cs="Times New Roman"/>
          <w:color w:val="111111"/>
          <w:sz w:val="28"/>
          <w:szCs w:val="28"/>
        </w:rPr>
        <w:t>"</w:t>
      </w:r>
    </w:p>
    <w:p w:rsidR="009C039C" w:rsidRDefault="009C039C" w:rsidP="00C91637">
      <w:pPr>
        <w:spacing w:after="0" w:line="360" w:lineRule="auto"/>
        <w:jc w:val="both"/>
        <w:rPr>
          <w:rFonts w:eastAsia="Times New Roman" w:cs="David"/>
          <w:color w:val="111111"/>
          <w:sz w:val="28"/>
          <w:szCs w:val="28"/>
          <w:rtl/>
        </w:rPr>
      </w:pPr>
    </w:p>
    <w:p w:rsidR="00511E41" w:rsidRPr="0004711E" w:rsidRDefault="004C0757" w:rsidP="00C91637">
      <w:pPr>
        <w:spacing w:after="0" w:line="360" w:lineRule="auto"/>
        <w:jc w:val="both"/>
        <w:rPr>
          <w:rFonts w:eastAsia="Times New Roman" w:cs="David"/>
          <w:color w:val="111111"/>
          <w:sz w:val="28"/>
          <w:szCs w:val="28"/>
          <w:rtl/>
        </w:rPr>
      </w:pPr>
      <w:r w:rsidRPr="0004711E">
        <w:rPr>
          <w:rFonts w:eastAsia="Times New Roman" w:cs="David" w:hint="cs"/>
          <w:color w:val="111111"/>
          <w:sz w:val="28"/>
          <w:szCs w:val="28"/>
          <w:rtl/>
        </w:rPr>
        <w:t>מ</w:t>
      </w:r>
      <w:r w:rsidR="00E27238" w:rsidRPr="0004711E">
        <w:rPr>
          <w:rFonts w:eastAsia="Times New Roman" w:cs="David" w:hint="cs"/>
          <w:color w:val="111111"/>
          <w:sz w:val="28"/>
          <w:szCs w:val="28"/>
          <w:rtl/>
        </w:rPr>
        <w:t>אמר</w:t>
      </w:r>
      <w:r w:rsidRPr="0004711E">
        <w:rPr>
          <w:rFonts w:eastAsia="Times New Roman" w:cs="David" w:hint="cs"/>
          <w:color w:val="111111"/>
          <w:sz w:val="28"/>
          <w:szCs w:val="28"/>
          <w:rtl/>
        </w:rPr>
        <w:t>ו של גולדסטון עורר סערה גדולה בעולם. במידה רבה מאוד, הוא השמיט את הבסיס מתחת לדוח שפ</w:t>
      </w:r>
      <w:r w:rsidR="00C91637">
        <w:rPr>
          <w:rFonts w:eastAsia="Times New Roman" w:cs="David" w:hint="cs"/>
          <w:color w:val="111111"/>
          <w:sz w:val="28"/>
          <w:szCs w:val="28"/>
          <w:rtl/>
        </w:rPr>
        <w:t>ו</w:t>
      </w:r>
      <w:r w:rsidRPr="0004711E">
        <w:rPr>
          <w:rFonts w:eastAsia="Times New Roman" w:cs="David" w:hint="cs"/>
          <w:color w:val="111111"/>
          <w:sz w:val="28"/>
          <w:szCs w:val="28"/>
          <w:rtl/>
        </w:rPr>
        <w:t xml:space="preserve">רסם </w:t>
      </w:r>
      <w:r w:rsidR="00C91637">
        <w:rPr>
          <w:rFonts w:eastAsia="Times New Roman" w:cs="David" w:hint="cs"/>
          <w:color w:val="111111"/>
          <w:sz w:val="28"/>
          <w:szCs w:val="28"/>
          <w:rtl/>
        </w:rPr>
        <w:t xml:space="preserve">על ידו </w:t>
      </w:r>
      <w:r w:rsidRPr="0004711E">
        <w:rPr>
          <w:rFonts w:eastAsia="Times New Roman" w:cs="David" w:hint="cs"/>
          <w:color w:val="111111"/>
          <w:sz w:val="28"/>
          <w:szCs w:val="28"/>
          <w:rtl/>
        </w:rPr>
        <w:t>רק שנה וחצי קודם לכן.</w:t>
      </w:r>
      <w:r w:rsidR="000C460A" w:rsidRPr="0004711E">
        <w:rPr>
          <w:rFonts w:eastAsia="Times New Roman" w:cs="David" w:hint="cs"/>
          <w:color w:val="111111"/>
          <w:sz w:val="28"/>
          <w:szCs w:val="28"/>
          <w:rtl/>
        </w:rPr>
        <w:t xml:space="preserve"> </w:t>
      </w:r>
      <w:r w:rsidRPr="0004711E">
        <w:rPr>
          <w:rFonts w:eastAsia="Times New Roman" w:cs="David" w:hint="cs"/>
          <w:color w:val="111111"/>
          <w:sz w:val="28"/>
          <w:szCs w:val="28"/>
          <w:rtl/>
        </w:rPr>
        <w:t xml:space="preserve">יתר חברי ועדת גולדסטון מיהרו לפרסם הצהרה משלהם בעיתון </w:t>
      </w:r>
      <w:r w:rsidR="00C91637">
        <w:rPr>
          <w:rFonts w:eastAsia="Times New Roman" w:cs="David" w:hint="cs"/>
          <w:color w:val="111111"/>
          <w:sz w:val="28"/>
          <w:szCs w:val="28"/>
          <w:rtl/>
        </w:rPr>
        <w:t>"</w:t>
      </w:r>
      <w:r w:rsidRPr="0004711E">
        <w:rPr>
          <w:rFonts w:eastAsia="Times New Roman" w:cs="David"/>
          <w:color w:val="111111"/>
          <w:sz w:val="28"/>
          <w:szCs w:val="28"/>
        </w:rPr>
        <w:t>The Guardian</w:t>
      </w:r>
      <w:r w:rsidR="00C91637">
        <w:rPr>
          <w:rFonts w:eastAsia="Times New Roman" w:cs="David" w:hint="cs"/>
          <w:color w:val="111111"/>
          <w:sz w:val="28"/>
          <w:szCs w:val="28"/>
          <w:rtl/>
        </w:rPr>
        <w:t>"</w:t>
      </w:r>
      <w:r w:rsidRPr="0004711E">
        <w:rPr>
          <w:rFonts w:eastAsia="Times New Roman" w:cs="David" w:hint="cs"/>
          <w:color w:val="111111"/>
          <w:sz w:val="28"/>
          <w:szCs w:val="28"/>
          <w:rtl/>
        </w:rPr>
        <w:t xml:space="preserve"> הבריטי</w:t>
      </w:r>
      <w:r w:rsidR="000C460A" w:rsidRPr="0004711E">
        <w:rPr>
          <w:rStyle w:val="a7"/>
          <w:rFonts w:eastAsia="Times New Roman" w:cs="David"/>
          <w:color w:val="111111"/>
          <w:sz w:val="28"/>
          <w:szCs w:val="28"/>
          <w:rtl/>
        </w:rPr>
        <w:footnoteReference w:id="7"/>
      </w:r>
      <w:r w:rsidRPr="0004711E">
        <w:rPr>
          <w:rFonts w:eastAsia="Times New Roman" w:cs="David" w:hint="cs"/>
          <w:color w:val="111111"/>
          <w:sz w:val="28"/>
          <w:szCs w:val="28"/>
          <w:rtl/>
        </w:rPr>
        <w:t xml:space="preserve">, בה </w:t>
      </w:r>
      <w:r w:rsidR="000C460A" w:rsidRPr="0004711E">
        <w:rPr>
          <w:rFonts w:eastAsia="Times New Roman" w:cs="David" w:hint="cs"/>
          <w:color w:val="111111"/>
          <w:sz w:val="28"/>
          <w:szCs w:val="28"/>
          <w:rtl/>
        </w:rPr>
        <w:t>ציינו כי דבר לא השתנה מאז פרסום הדוח וכי הם דבקים בכל מה שנכתב בו ואינם מוצאים כל סיבה לשקול מחדש את הדברים.</w:t>
      </w:r>
      <w:r w:rsidR="00596123" w:rsidRPr="0004711E">
        <w:rPr>
          <w:rFonts w:eastAsia="Times New Roman" w:cs="David" w:hint="cs"/>
          <w:color w:val="111111"/>
          <w:sz w:val="28"/>
          <w:szCs w:val="28"/>
          <w:rtl/>
        </w:rPr>
        <w:t xml:space="preserve"> </w:t>
      </w:r>
    </w:p>
    <w:p w:rsidR="00511E41" w:rsidRPr="0004711E" w:rsidRDefault="00511E41" w:rsidP="008B316C">
      <w:pPr>
        <w:spacing w:after="0" w:line="360" w:lineRule="auto"/>
        <w:jc w:val="both"/>
        <w:rPr>
          <w:rFonts w:eastAsia="Times New Roman" w:cs="David"/>
          <w:color w:val="111111"/>
          <w:sz w:val="28"/>
          <w:szCs w:val="28"/>
          <w:rtl/>
        </w:rPr>
      </w:pPr>
    </w:p>
    <w:p w:rsidR="004C0757" w:rsidRPr="0004711E" w:rsidRDefault="00596123" w:rsidP="009C039C">
      <w:pPr>
        <w:spacing w:after="0" w:line="360" w:lineRule="auto"/>
        <w:jc w:val="both"/>
        <w:rPr>
          <w:rFonts w:eastAsia="Times New Roman" w:cs="David"/>
          <w:color w:val="111111"/>
          <w:sz w:val="28"/>
          <w:szCs w:val="28"/>
          <w:rtl/>
        </w:rPr>
      </w:pPr>
      <w:r w:rsidRPr="0004711E">
        <w:rPr>
          <w:rFonts w:eastAsia="Times New Roman" w:cs="David" w:hint="cs"/>
          <w:color w:val="111111"/>
          <w:sz w:val="28"/>
          <w:szCs w:val="28"/>
          <w:rtl/>
        </w:rPr>
        <w:lastRenderedPageBreak/>
        <w:t>מדינת ישראל</w:t>
      </w:r>
      <w:r w:rsidR="00C91637">
        <w:rPr>
          <w:rFonts w:eastAsia="Times New Roman" w:cs="David" w:hint="cs"/>
          <w:color w:val="111111"/>
          <w:sz w:val="28"/>
          <w:szCs w:val="28"/>
          <w:rtl/>
        </w:rPr>
        <w:t xml:space="preserve"> </w:t>
      </w:r>
      <w:r w:rsidR="00511E41" w:rsidRPr="0004711E">
        <w:rPr>
          <w:rFonts w:eastAsia="Times New Roman" w:cs="David" w:hint="cs"/>
          <w:color w:val="111111"/>
          <w:sz w:val="28"/>
          <w:szCs w:val="28"/>
          <w:rtl/>
        </w:rPr>
        <w:t>עטה על דברי גולדסטון כמוצאת שלל רב</w:t>
      </w:r>
      <w:r w:rsidRPr="0004711E">
        <w:rPr>
          <w:rFonts w:eastAsia="Times New Roman" w:cs="David" w:hint="cs"/>
          <w:color w:val="111111"/>
          <w:sz w:val="28"/>
          <w:szCs w:val="28"/>
          <w:rtl/>
        </w:rPr>
        <w:t xml:space="preserve">. </w:t>
      </w:r>
      <w:r w:rsidR="00E27238" w:rsidRPr="0004711E">
        <w:rPr>
          <w:rFonts w:eastAsia="Times New Roman" w:cs="David" w:hint="cs"/>
          <w:color w:val="111111"/>
          <w:sz w:val="28"/>
          <w:szCs w:val="28"/>
          <w:rtl/>
        </w:rPr>
        <w:t xml:space="preserve">בירושלים </w:t>
      </w:r>
      <w:r w:rsidR="00C91637">
        <w:rPr>
          <w:rFonts w:eastAsia="Times New Roman" w:cs="David" w:hint="cs"/>
          <w:color w:val="111111"/>
          <w:sz w:val="28"/>
          <w:szCs w:val="28"/>
          <w:rtl/>
        </w:rPr>
        <w:t xml:space="preserve">אף </w:t>
      </w:r>
      <w:r w:rsidR="00E27238" w:rsidRPr="0004711E">
        <w:rPr>
          <w:rFonts w:eastAsia="Times New Roman" w:cs="David" w:hint="cs"/>
          <w:color w:val="111111"/>
          <w:sz w:val="28"/>
          <w:szCs w:val="28"/>
          <w:rtl/>
        </w:rPr>
        <w:t xml:space="preserve">דיברו על כך </w:t>
      </w:r>
      <w:r w:rsidR="00C91637" w:rsidRPr="0004711E">
        <w:rPr>
          <w:rFonts w:eastAsia="Times New Roman" w:cs="David" w:hint="cs"/>
          <w:color w:val="111111"/>
          <w:sz w:val="28"/>
          <w:szCs w:val="28"/>
          <w:rtl/>
        </w:rPr>
        <w:t>ש</w:t>
      </w:r>
      <w:r w:rsidR="00C91637">
        <w:rPr>
          <w:rFonts w:eastAsia="Times New Roman" w:cs="David" w:hint="cs"/>
          <w:color w:val="111111"/>
          <w:sz w:val="28"/>
          <w:szCs w:val="28"/>
          <w:rtl/>
        </w:rPr>
        <w:t xml:space="preserve">יש </w:t>
      </w:r>
      <w:r w:rsidR="00E27238" w:rsidRPr="0004711E">
        <w:rPr>
          <w:rFonts w:eastAsia="Times New Roman" w:cs="David" w:hint="cs"/>
          <w:color w:val="111111"/>
          <w:sz w:val="28"/>
          <w:szCs w:val="28"/>
          <w:rtl/>
        </w:rPr>
        <w:t>לבטל את החלטת העצרת הכללית שאימצה את הדוח, כפי שב-1991 בוטלה</w:t>
      </w:r>
      <w:r w:rsidR="00803213" w:rsidRPr="0004711E">
        <w:rPr>
          <w:rStyle w:val="a7"/>
          <w:rFonts w:eastAsia="Times New Roman" w:cs="David"/>
          <w:color w:val="111111"/>
          <w:sz w:val="28"/>
          <w:szCs w:val="28"/>
          <w:rtl/>
        </w:rPr>
        <w:footnoteReference w:id="8"/>
      </w:r>
      <w:r w:rsidR="00E27238" w:rsidRPr="0004711E">
        <w:rPr>
          <w:rFonts w:eastAsia="Times New Roman" w:cs="David" w:hint="cs"/>
          <w:color w:val="111111"/>
          <w:sz w:val="28"/>
          <w:szCs w:val="28"/>
          <w:rtl/>
        </w:rPr>
        <w:t xml:space="preserve"> החלטת העצרת 3379 משנת 1975</w:t>
      </w:r>
      <w:r w:rsidR="00803213" w:rsidRPr="0004711E">
        <w:rPr>
          <w:rStyle w:val="a7"/>
          <w:rFonts w:eastAsia="Times New Roman" w:cs="David"/>
          <w:color w:val="111111"/>
          <w:sz w:val="28"/>
          <w:szCs w:val="28"/>
          <w:rtl/>
        </w:rPr>
        <w:footnoteReference w:id="9"/>
      </w:r>
      <w:r w:rsidR="00E27238" w:rsidRPr="0004711E">
        <w:rPr>
          <w:rFonts w:eastAsia="Times New Roman" w:cs="David" w:hint="cs"/>
          <w:color w:val="111111"/>
          <w:sz w:val="28"/>
          <w:szCs w:val="28"/>
          <w:rtl/>
        </w:rPr>
        <w:t>, שקבעה שהציונות היא סוג של גזענות, א</w:t>
      </w:r>
      <w:r w:rsidR="00C91637">
        <w:rPr>
          <w:rFonts w:eastAsia="Times New Roman" w:cs="David" w:hint="cs"/>
          <w:color w:val="111111"/>
          <w:sz w:val="28"/>
          <w:szCs w:val="28"/>
          <w:rtl/>
        </w:rPr>
        <w:t>ולם</w:t>
      </w:r>
      <w:r w:rsidR="00E27238" w:rsidRPr="0004711E">
        <w:rPr>
          <w:rFonts w:eastAsia="Times New Roman" w:cs="David" w:hint="cs"/>
          <w:color w:val="111111"/>
          <w:sz w:val="28"/>
          <w:szCs w:val="28"/>
          <w:rtl/>
        </w:rPr>
        <w:t xml:space="preserve"> הבינו שהסיכוי למהלך כזה </w:t>
      </w:r>
      <w:r w:rsidR="00C91637">
        <w:rPr>
          <w:rFonts w:eastAsia="Times New Roman" w:cs="David" w:hint="cs"/>
          <w:color w:val="111111"/>
          <w:sz w:val="28"/>
          <w:szCs w:val="28"/>
          <w:rtl/>
        </w:rPr>
        <w:t xml:space="preserve">הוא </w:t>
      </w:r>
      <w:r w:rsidR="00E27238" w:rsidRPr="0004711E">
        <w:rPr>
          <w:rFonts w:eastAsia="Times New Roman" w:cs="David" w:hint="cs"/>
          <w:color w:val="111111"/>
          <w:sz w:val="28"/>
          <w:szCs w:val="28"/>
          <w:rtl/>
        </w:rPr>
        <w:t>אפסי</w:t>
      </w:r>
      <w:r w:rsidR="00E27238" w:rsidRPr="0004711E">
        <w:rPr>
          <w:rStyle w:val="a7"/>
          <w:rFonts w:eastAsia="Times New Roman" w:cs="David"/>
          <w:color w:val="111111"/>
          <w:sz w:val="28"/>
          <w:szCs w:val="28"/>
          <w:rtl/>
        </w:rPr>
        <w:footnoteReference w:id="10"/>
      </w:r>
      <w:r w:rsidR="00E27238" w:rsidRPr="0004711E">
        <w:rPr>
          <w:rFonts w:eastAsia="Times New Roman" w:cs="David" w:hint="cs"/>
          <w:color w:val="111111"/>
          <w:sz w:val="28"/>
          <w:szCs w:val="28"/>
          <w:rtl/>
        </w:rPr>
        <w:t xml:space="preserve">. </w:t>
      </w:r>
      <w:r w:rsidRPr="0004711E">
        <w:rPr>
          <w:rFonts w:eastAsia="Times New Roman" w:cs="David" w:hint="cs"/>
          <w:color w:val="111111"/>
          <w:sz w:val="28"/>
          <w:szCs w:val="28"/>
          <w:rtl/>
        </w:rPr>
        <w:t>ראש הממשלה, בנימין נתניהו, אמר כי "צ</w:t>
      </w:r>
      <w:r w:rsidRPr="0004711E">
        <w:rPr>
          <w:rFonts w:eastAsia="Times New Roman" w:cs="David"/>
          <w:color w:val="111111"/>
          <w:sz w:val="28"/>
          <w:szCs w:val="28"/>
          <w:rtl/>
        </w:rPr>
        <w:t>ריך לזרוק את ה</w:t>
      </w:r>
      <w:r w:rsidR="00692192">
        <w:rPr>
          <w:rFonts w:eastAsia="Times New Roman" w:cs="David"/>
          <w:color w:val="111111"/>
          <w:sz w:val="28"/>
          <w:szCs w:val="28"/>
          <w:rtl/>
        </w:rPr>
        <w:t>דוח</w:t>
      </w:r>
      <w:r w:rsidRPr="0004711E">
        <w:rPr>
          <w:rFonts w:eastAsia="Times New Roman" w:cs="David"/>
          <w:color w:val="111111"/>
          <w:sz w:val="28"/>
          <w:szCs w:val="28"/>
          <w:rtl/>
        </w:rPr>
        <w:t xml:space="preserve"> הזה לפח האשפה של ההיסטוריה. אין צבא מוסרי יותר מצה"ל. זו האמת שצריכה לעמוד בפני העולם והאו"</w:t>
      </w:r>
      <w:r w:rsidR="009C039C">
        <w:rPr>
          <w:rFonts w:eastAsia="Times New Roman" w:cs="David" w:hint="cs"/>
          <w:color w:val="111111"/>
          <w:sz w:val="28"/>
          <w:szCs w:val="28"/>
          <w:rtl/>
        </w:rPr>
        <w:t>ם".</w:t>
      </w:r>
      <w:bookmarkStart w:id="2" w:name="_Ref455325107"/>
      <w:r w:rsidR="009C039C" w:rsidRPr="0004711E">
        <w:rPr>
          <w:rStyle w:val="a7"/>
          <w:rFonts w:eastAsia="Times New Roman" w:cs="David"/>
          <w:color w:val="111111"/>
          <w:sz w:val="28"/>
          <w:szCs w:val="28"/>
          <w:rtl/>
        </w:rPr>
        <w:footnoteReference w:id="11"/>
      </w:r>
      <w:bookmarkEnd w:id="2"/>
      <w:r w:rsidR="009C039C" w:rsidRPr="0004711E">
        <w:rPr>
          <w:rFonts w:eastAsia="Times New Roman" w:cs="David" w:hint="cs"/>
          <w:color w:val="111111"/>
          <w:sz w:val="28"/>
          <w:szCs w:val="28"/>
          <w:rtl/>
        </w:rPr>
        <w:t xml:space="preserve"> </w:t>
      </w:r>
      <w:r w:rsidR="00511E41" w:rsidRPr="0004711E">
        <w:rPr>
          <w:rFonts w:ascii="Arial" w:hAnsi="Arial" w:cs="David"/>
          <w:color w:val="102435"/>
          <w:sz w:val="28"/>
          <w:szCs w:val="28"/>
          <w:rtl/>
        </w:rPr>
        <w:t>שר הביטחון</w:t>
      </w:r>
      <w:r w:rsidR="00511E41" w:rsidRPr="0004711E">
        <w:rPr>
          <w:rFonts w:ascii="Arial" w:hAnsi="Arial" w:cs="David" w:hint="cs"/>
          <w:color w:val="102435"/>
          <w:sz w:val="28"/>
          <w:szCs w:val="28"/>
          <w:rtl/>
        </w:rPr>
        <w:t xml:space="preserve">, </w:t>
      </w:r>
      <w:hyperlink r:id="rId10" w:tgtFrame="_blank" w:tooltip="כל המידע והכתבות אודות אהוד ברק" w:history="1">
        <w:r w:rsidR="00511E41" w:rsidRPr="0004711E">
          <w:rPr>
            <w:rFonts w:ascii="Arial" w:hAnsi="Arial" w:cs="David"/>
            <w:color w:val="102435"/>
            <w:sz w:val="28"/>
            <w:szCs w:val="28"/>
            <w:rtl/>
          </w:rPr>
          <w:t>אהוד ברק</w:t>
        </w:r>
      </w:hyperlink>
      <w:r w:rsidR="00511E41" w:rsidRPr="0004711E">
        <w:rPr>
          <w:rFonts w:ascii="Arial" w:hAnsi="Arial" w:cs="David" w:hint="cs"/>
          <w:color w:val="102435"/>
          <w:sz w:val="28"/>
          <w:szCs w:val="28"/>
          <w:rtl/>
        </w:rPr>
        <w:t xml:space="preserve">, אמר </w:t>
      </w:r>
      <w:r w:rsidR="00511E41" w:rsidRPr="0004711E">
        <w:rPr>
          <w:rFonts w:ascii="Arial" w:hAnsi="Arial" w:cs="David"/>
          <w:color w:val="102435"/>
          <w:sz w:val="28"/>
          <w:szCs w:val="28"/>
          <w:rtl/>
        </w:rPr>
        <w:t>"כתב המינוי של הוועדה היה עלילת דם, היא לא נדרשה לקבוע מה היה שם אלא לחקור את פשעי המלחמה שביצעה ישראל. מדינה שנכנסת לוועדה כזאת מתאבדת</w:t>
      </w:r>
      <w:r w:rsidR="00511E41" w:rsidRPr="0004711E">
        <w:rPr>
          <w:rFonts w:ascii="Arial" w:hAnsi="Arial" w:cs="David" w:hint="cs"/>
          <w:color w:val="102435"/>
          <w:sz w:val="28"/>
          <w:szCs w:val="28"/>
          <w:rtl/>
        </w:rPr>
        <w:t>"</w:t>
      </w:r>
      <w:r w:rsidR="009C039C">
        <w:rPr>
          <w:rFonts w:ascii="Arial" w:hAnsi="Arial" w:cs="David" w:hint="cs"/>
          <w:color w:val="102435"/>
          <w:sz w:val="28"/>
          <w:szCs w:val="28"/>
          <w:rtl/>
        </w:rPr>
        <w:t>.</w:t>
      </w:r>
      <w:r w:rsidR="00511E41" w:rsidRPr="0004711E">
        <w:rPr>
          <w:rStyle w:val="a7"/>
          <w:rFonts w:eastAsia="Times New Roman" w:cs="David"/>
          <w:color w:val="111111"/>
          <w:sz w:val="28"/>
          <w:szCs w:val="28"/>
          <w:rtl/>
        </w:rPr>
        <w:footnoteReference w:id="12"/>
      </w:r>
      <w:r w:rsidR="00291A79">
        <w:rPr>
          <w:rFonts w:eastAsia="Times New Roman" w:cs="David" w:hint="cs"/>
          <w:color w:val="111111"/>
          <w:sz w:val="28"/>
          <w:szCs w:val="28"/>
          <w:rtl/>
        </w:rPr>
        <w:t xml:space="preserve"> לבסוף, </w:t>
      </w:r>
      <w:r w:rsidR="00FD46D6" w:rsidRPr="0004711E">
        <w:rPr>
          <w:rFonts w:eastAsia="Times New Roman" w:cs="David" w:hint="cs"/>
          <w:color w:val="111111"/>
          <w:sz w:val="28"/>
          <w:szCs w:val="28"/>
          <w:rtl/>
        </w:rPr>
        <w:t>שר החוץ</w:t>
      </w:r>
      <w:r w:rsidR="00511E41" w:rsidRPr="0004711E">
        <w:rPr>
          <w:rFonts w:eastAsia="Times New Roman" w:cs="David" w:hint="cs"/>
          <w:color w:val="111111"/>
          <w:sz w:val="28"/>
          <w:szCs w:val="28"/>
          <w:rtl/>
        </w:rPr>
        <w:t>,</w:t>
      </w:r>
      <w:r w:rsidR="00FD46D6" w:rsidRPr="0004711E">
        <w:rPr>
          <w:rFonts w:eastAsia="Times New Roman" w:cs="David" w:hint="cs"/>
          <w:color w:val="111111"/>
          <w:sz w:val="28"/>
          <w:szCs w:val="28"/>
          <w:rtl/>
        </w:rPr>
        <w:t xml:space="preserve"> אביגדור ליברמן</w:t>
      </w:r>
      <w:r w:rsidR="00511E41" w:rsidRPr="0004711E">
        <w:rPr>
          <w:rFonts w:eastAsia="Times New Roman" w:cs="David" w:hint="cs"/>
          <w:color w:val="111111"/>
          <w:sz w:val="28"/>
          <w:szCs w:val="28"/>
          <w:rtl/>
        </w:rPr>
        <w:t>,</w:t>
      </w:r>
      <w:r w:rsidR="00FD46D6" w:rsidRPr="0004711E">
        <w:rPr>
          <w:rFonts w:eastAsia="Times New Roman" w:cs="David" w:hint="cs"/>
          <w:color w:val="111111"/>
          <w:sz w:val="28"/>
          <w:szCs w:val="28"/>
          <w:rtl/>
        </w:rPr>
        <w:t xml:space="preserve"> אמר:</w:t>
      </w:r>
      <w:r w:rsidR="00D84DA9" w:rsidRPr="0004711E">
        <w:rPr>
          <w:rFonts w:eastAsia="Times New Roman" w:cs="David" w:hint="cs"/>
          <w:color w:val="111111"/>
          <w:sz w:val="28"/>
          <w:szCs w:val="28"/>
          <w:rtl/>
        </w:rPr>
        <w:t xml:space="preserve"> </w:t>
      </w:r>
      <w:r w:rsidR="00D84DA9" w:rsidRPr="0004711E">
        <w:rPr>
          <w:rFonts w:ascii="Arial" w:hAnsi="Arial" w:cs="David" w:hint="cs"/>
          <w:color w:val="000000"/>
          <w:sz w:val="28"/>
          <w:szCs w:val="28"/>
          <w:rtl/>
        </w:rPr>
        <w:t>"</w:t>
      </w:r>
      <w:r w:rsidR="00D84DA9" w:rsidRPr="0004711E">
        <w:rPr>
          <w:rFonts w:ascii="Arial" w:hAnsi="Arial" w:cs="David"/>
          <w:color w:val="000000"/>
          <w:sz w:val="28"/>
          <w:szCs w:val="28"/>
          <w:rtl/>
        </w:rPr>
        <w:t xml:space="preserve">האמת ברורה, ואי אפשר לעמוד מול האמת. המחיר של ההתמודדות בשנתיים האחרונות היה שווה את זה". </w:t>
      </w:r>
      <w:r w:rsidR="00D84DA9" w:rsidRPr="0004711E">
        <w:rPr>
          <w:rFonts w:ascii="Arial" w:hAnsi="Arial" w:cs="David" w:hint="cs"/>
          <w:color w:val="000000"/>
          <w:sz w:val="28"/>
          <w:szCs w:val="28"/>
          <w:rtl/>
        </w:rPr>
        <w:t xml:space="preserve">באשר להחלטה שלא לשתף פעולה עם גולדסטון אמר </w:t>
      </w:r>
      <w:r w:rsidR="00D84DA9" w:rsidRPr="0004711E">
        <w:rPr>
          <w:rFonts w:ascii="Arial" w:hAnsi="Arial" w:cs="David"/>
          <w:color w:val="000000"/>
          <w:sz w:val="28"/>
          <w:szCs w:val="28"/>
          <w:rtl/>
        </w:rPr>
        <w:t>שר החוץ</w:t>
      </w:r>
      <w:r w:rsidR="00D84DA9" w:rsidRPr="0004711E">
        <w:rPr>
          <w:rFonts w:ascii="Arial" w:hAnsi="Arial" w:cs="David" w:hint="cs"/>
          <w:color w:val="000000"/>
          <w:sz w:val="28"/>
          <w:szCs w:val="28"/>
          <w:rtl/>
        </w:rPr>
        <w:t>,</w:t>
      </w:r>
      <w:r w:rsidR="00D84DA9" w:rsidRPr="0004711E">
        <w:rPr>
          <w:rFonts w:ascii="Arial" w:hAnsi="Arial" w:cs="David"/>
          <w:color w:val="000000"/>
          <w:sz w:val="28"/>
          <w:szCs w:val="28"/>
          <w:rtl/>
        </w:rPr>
        <w:t xml:space="preserve"> כי היו לבטים אם לשתף פעולה: "היו ויכוחים לא מעטים, גם עם מרידור וגם עם הרצוג. בסופו של דבר הצלחתי לשכנע את כולם ועמדתי התקבלה, שאם נחשוף בפני גולדסטון את כל השיקולים המבצעיים והמדיניים, ואיך זה עבד בצבא ובשירותי המודיעין והביטחון, כל אחד יבוא ויבקש מידע מהמקומות הללו. העדפנו להתמודד עם ה</w:t>
      </w:r>
      <w:r w:rsidR="00692192">
        <w:rPr>
          <w:rFonts w:ascii="Arial" w:hAnsi="Arial" w:cs="David"/>
          <w:color w:val="000000"/>
          <w:sz w:val="28"/>
          <w:szCs w:val="28"/>
          <w:rtl/>
        </w:rPr>
        <w:t>דוח</w:t>
      </w:r>
      <w:r w:rsidR="00D84DA9" w:rsidRPr="0004711E">
        <w:rPr>
          <w:rFonts w:ascii="Arial" w:hAnsi="Arial" w:cs="David"/>
          <w:color w:val="000000"/>
          <w:sz w:val="28"/>
          <w:szCs w:val="28"/>
          <w:rtl/>
        </w:rPr>
        <w:t xml:space="preserve"> גם בלי להכניס אותם לכא</w:t>
      </w:r>
      <w:r w:rsidR="00D84DA9" w:rsidRPr="0004711E">
        <w:rPr>
          <w:rFonts w:ascii="Arial" w:hAnsi="Arial" w:cs="David" w:hint="cs"/>
          <w:color w:val="000000"/>
          <w:sz w:val="28"/>
          <w:szCs w:val="28"/>
          <w:rtl/>
        </w:rPr>
        <w:t>ן".</w:t>
      </w:r>
      <w:r w:rsidR="00D84DA9" w:rsidRPr="0004711E">
        <w:rPr>
          <w:rStyle w:val="a7"/>
          <w:rFonts w:ascii="Arial" w:hAnsi="Arial" w:cs="David"/>
          <w:color w:val="000000"/>
          <w:sz w:val="28"/>
          <w:szCs w:val="28"/>
          <w:rtl/>
        </w:rPr>
        <w:footnoteReference w:id="13"/>
      </w:r>
    </w:p>
    <w:p w:rsidR="000C460A" w:rsidRPr="0004711E" w:rsidRDefault="000C460A" w:rsidP="008B316C">
      <w:pPr>
        <w:spacing w:after="0" w:line="360" w:lineRule="auto"/>
        <w:jc w:val="both"/>
        <w:rPr>
          <w:rFonts w:eastAsia="Times New Roman" w:cs="David"/>
          <w:color w:val="111111"/>
          <w:sz w:val="28"/>
          <w:szCs w:val="28"/>
          <w:rtl/>
        </w:rPr>
      </w:pPr>
    </w:p>
    <w:p w:rsidR="000C460A" w:rsidRPr="0004711E" w:rsidRDefault="000C460A" w:rsidP="00C91637">
      <w:pPr>
        <w:spacing w:after="0" w:line="360" w:lineRule="auto"/>
        <w:jc w:val="both"/>
        <w:rPr>
          <w:rFonts w:eastAsia="Times New Roman" w:cs="David"/>
          <w:color w:val="111111"/>
          <w:sz w:val="28"/>
          <w:szCs w:val="28"/>
          <w:rtl/>
        </w:rPr>
      </w:pPr>
      <w:r w:rsidRPr="0004711E">
        <w:rPr>
          <w:rFonts w:eastAsia="Times New Roman" w:cs="David" w:hint="cs"/>
          <w:color w:val="111111"/>
          <w:sz w:val="28"/>
          <w:szCs w:val="28"/>
          <w:rtl/>
        </w:rPr>
        <w:t>מ</w:t>
      </w:r>
      <w:r w:rsidR="00E27238" w:rsidRPr="0004711E">
        <w:rPr>
          <w:rFonts w:eastAsia="Times New Roman" w:cs="David" w:hint="cs"/>
          <w:color w:val="111111"/>
          <w:sz w:val="28"/>
          <w:szCs w:val="28"/>
          <w:rtl/>
        </w:rPr>
        <w:t>אמר</w:t>
      </w:r>
      <w:r w:rsidRPr="0004711E">
        <w:rPr>
          <w:rFonts w:eastAsia="Times New Roman" w:cs="David" w:hint="cs"/>
          <w:color w:val="111111"/>
          <w:sz w:val="28"/>
          <w:szCs w:val="28"/>
          <w:rtl/>
        </w:rPr>
        <w:t xml:space="preserve">ו של גולדסטון עורר את השאלה </w:t>
      </w:r>
      <w:r w:rsidR="00C91637">
        <w:rPr>
          <w:rFonts w:eastAsia="Times New Roman" w:cs="David" w:hint="cs"/>
          <w:color w:val="111111"/>
          <w:sz w:val="28"/>
          <w:szCs w:val="28"/>
          <w:rtl/>
        </w:rPr>
        <w:t xml:space="preserve">באיזו מידה בחרה </w:t>
      </w:r>
      <w:r w:rsidRPr="0004711E">
        <w:rPr>
          <w:rFonts w:eastAsia="Times New Roman" w:cs="David" w:hint="cs"/>
          <w:color w:val="111111"/>
          <w:sz w:val="28"/>
          <w:szCs w:val="28"/>
          <w:rtl/>
        </w:rPr>
        <w:t xml:space="preserve">מדינת ישראל </w:t>
      </w:r>
      <w:r w:rsidR="00C91637">
        <w:rPr>
          <w:rFonts w:eastAsia="Times New Roman" w:cs="David" w:hint="cs"/>
          <w:color w:val="111111"/>
          <w:sz w:val="28"/>
          <w:szCs w:val="28"/>
          <w:rtl/>
        </w:rPr>
        <w:t xml:space="preserve">בדרך הנכונה </w:t>
      </w:r>
      <w:r w:rsidRPr="0004711E">
        <w:rPr>
          <w:rFonts w:eastAsia="Times New Roman" w:cs="David" w:hint="cs"/>
          <w:color w:val="111111"/>
          <w:sz w:val="28"/>
          <w:szCs w:val="28"/>
          <w:rtl/>
        </w:rPr>
        <w:t xml:space="preserve">כאשר </w:t>
      </w:r>
      <w:r w:rsidR="00C91637">
        <w:rPr>
          <w:rFonts w:eastAsia="Times New Roman" w:cs="David" w:hint="cs"/>
          <w:color w:val="111111"/>
          <w:sz w:val="28"/>
          <w:szCs w:val="28"/>
          <w:rtl/>
        </w:rPr>
        <w:t xml:space="preserve">החליטה </w:t>
      </w:r>
      <w:r w:rsidRPr="0004711E">
        <w:rPr>
          <w:rFonts w:eastAsia="Times New Roman" w:cs="David" w:hint="cs"/>
          <w:color w:val="111111"/>
          <w:sz w:val="28"/>
          <w:szCs w:val="28"/>
          <w:rtl/>
        </w:rPr>
        <w:t>להחרים את ועדת גולדסטון ולא לשתף עמה</w:t>
      </w:r>
      <w:r w:rsidR="00C91637">
        <w:rPr>
          <w:rFonts w:eastAsia="Times New Roman" w:cs="David" w:hint="cs"/>
          <w:color w:val="111111"/>
          <w:sz w:val="28"/>
          <w:szCs w:val="28"/>
          <w:rtl/>
        </w:rPr>
        <w:t xml:space="preserve"> </w:t>
      </w:r>
      <w:r w:rsidR="00C91637" w:rsidRPr="0004711E">
        <w:rPr>
          <w:rFonts w:eastAsia="Times New Roman" w:cs="David" w:hint="cs"/>
          <w:color w:val="111111"/>
          <w:sz w:val="28"/>
          <w:szCs w:val="28"/>
          <w:rtl/>
        </w:rPr>
        <w:t>פעולה</w:t>
      </w:r>
      <w:r w:rsidRPr="0004711E">
        <w:rPr>
          <w:rFonts w:eastAsia="Times New Roman" w:cs="David" w:hint="cs"/>
          <w:color w:val="111111"/>
          <w:sz w:val="28"/>
          <w:szCs w:val="28"/>
          <w:rtl/>
        </w:rPr>
        <w:t xml:space="preserve">. </w:t>
      </w:r>
      <w:r w:rsidR="006E791A" w:rsidRPr="0004711E">
        <w:rPr>
          <w:rFonts w:eastAsia="Times New Roman" w:cs="David" w:hint="cs"/>
          <w:color w:val="111111"/>
          <w:sz w:val="28"/>
          <w:szCs w:val="28"/>
          <w:rtl/>
        </w:rPr>
        <w:t>עוד לפני המאמר הזה הלין גולדסטון בכמה הזדמנויות על בחירתה של ממשלת ישראל להחרימו. בהרצאה שנשא ביום 27 בפברואר 2011 באוניברסיטת ברקלי בקליפורניה טען שפנה לממשלת ישראל בשלושה מכתבים שונים וביקש את שיתוף הפעולה שלה בקביעת דרך העבודה של הוועדה והנושאים אותם תבחן</w:t>
      </w:r>
      <w:r w:rsidR="006E791A" w:rsidRPr="0004711E">
        <w:rPr>
          <w:rStyle w:val="a7"/>
          <w:rFonts w:eastAsia="Times New Roman" w:cs="David"/>
          <w:color w:val="111111"/>
          <w:sz w:val="28"/>
          <w:szCs w:val="28"/>
          <w:rtl/>
        </w:rPr>
        <w:footnoteReference w:id="14"/>
      </w:r>
      <w:r w:rsidR="006E791A" w:rsidRPr="0004711E">
        <w:rPr>
          <w:rFonts w:eastAsia="Times New Roman" w:cs="David" w:hint="cs"/>
          <w:color w:val="111111"/>
          <w:sz w:val="28"/>
          <w:szCs w:val="28"/>
          <w:rtl/>
        </w:rPr>
        <w:t xml:space="preserve">. </w:t>
      </w:r>
      <w:r w:rsidRPr="0004711E">
        <w:rPr>
          <w:rFonts w:eastAsia="Times New Roman" w:cs="David" w:hint="cs"/>
          <w:color w:val="111111"/>
          <w:sz w:val="28"/>
          <w:szCs w:val="28"/>
          <w:rtl/>
        </w:rPr>
        <w:t xml:space="preserve">האם </w:t>
      </w:r>
      <w:r w:rsidR="006E791A" w:rsidRPr="0004711E">
        <w:rPr>
          <w:rFonts w:eastAsia="Times New Roman" w:cs="David" w:hint="cs"/>
          <w:color w:val="111111"/>
          <w:sz w:val="28"/>
          <w:szCs w:val="28"/>
          <w:rtl/>
        </w:rPr>
        <w:t xml:space="preserve">אכן </w:t>
      </w:r>
      <w:r w:rsidRPr="0004711E">
        <w:rPr>
          <w:rFonts w:eastAsia="Times New Roman" w:cs="David" w:hint="cs"/>
          <w:color w:val="111111"/>
          <w:sz w:val="28"/>
          <w:szCs w:val="28"/>
          <w:rtl/>
        </w:rPr>
        <w:t xml:space="preserve">ניתן היה להגיע לדוח פחות ביקורתי ובכך למנוע או למזער את הסערה הציבורית </w:t>
      </w:r>
      <w:r w:rsidRPr="0004711E">
        <w:rPr>
          <w:rFonts w:eastAsia="Times New Roman" w:cs="David" w:hint="cs"/>
          <w:color w:val="111111"/>
          <w:sz w:val="28"/>
          <w:szCs w:val="28"/>
          <w:rtl/>
        </w:rPr>
        <w:lastRenderedPageBreak/>
        <w:t>והבינלאומית שבעקבותיו, אילו הייתה המדינה משתפת פעולה עם גו</w:t>
      </w:r>
      <w:r w:rsidR="00B80944" w:rsidRPr="0004711E">
        <w:rPr>
          <w:rFonts w:eastAsia="Times New Roman" w:cs="David" w:hint="cs"/>
          <w:color w:val="111111"/>
          <w:sz w:val="28"/>
          <w:szCs w:val="28"/>
          <w:rtl/>
        </w:rPr>
        <w:t>ל</w:t>
      </w:r>
      <w:r w:rsidRPr="0004711E">
        <w:rPr>
          <w:rFonts w:eastAsia="Times New Roman" w:cs="David" w:hint="cs"/>
          <w:color w:val="111111"/>
          <w:sz w:val="28"/>
          <w:szCs w:val="28"/>
          <w:rtl/>
        </w:rPr>
        <w:t xml:space="preserve">דסטון? </w:t>
      </w:r>
      <w:r w:rsidR="00935876" w:rsidRPr="0004711E">
        <w:rPr>
          <w:rFonts w:eastAsia="Times New Roman" w:cs="David" w:hint="cs"/>
          <w:color w:val="111111"/>
          <w:sz w:val="28"/>
          <w:szCs w:val="28"/>
          <w:rtl/>
        </w:rPr>
        <w:t>היו שכך סברו</w:t>
      </w:r>
      <w:r w:rsidR="00935876" w:rsidRPr="0004711E">
        <w:rPr>
          <w:rStyle w:val="a7"/>
          <w:rFonts w:eastAsia="Times New Roman" w:cs="David"/>
          <w:color w:val="111111"/>
          <w:sz w:val="28"/>
          <w:szCs w:val="28"/>
          <w:rtl/>
        </w:rPr>
        <w:footnoteReference w:id="15"/>
      </w:r>
      <w:r w:rsidR="00935876" w:rsidRPr="0004711E">
        <w:rPr>
          <w:rFonts w:eastAsia="Times New Roman" w:cs="David" w:hint="cs"/>
          <w:color w:val="111111"/>
          <w:sz w:val="28"/>
          <w:szCs w:val="28"/>
          <w:rtl/>
        </w:rPr>
        <w:t xml:space="preserve">. </w:t>
      </w:r>
      <w:r w:rsidRPr="0004711E">
        <w:rPr>
          <w:rFonts w:eastAsia="Times New Roman" w:cs="David" w:hint="cs"/>
          <w:color w:val="111111"/>
          <w:sz w:val="28"/>
          <w:szCs w:val="28"/>
          <w:rtl/>
        </w:rPr>
        <w:t xml:space="preserve">על פניו, גולדסטון </w:t>
      </w:r>
      <w:r w:rsidR="00935876" w:rsidRPr="0004711E">
        <w:rPr>
          <w:rFonts w:eastAsia="Times New Roman" w:cs="David" w:hint="cs"/>
          <w:color w:val="111111"/>
          <w:sz w:val="28"/>
          <w:szCs w:val="28"/>
          <w:rtl/>
        </w:rPr>
        <w:t xml:space="preserve">אף </w:t>
      </w:r>
      <w:r w:rsidRPr="0004711E">
        <w:rPr>
          <w:rFonts w:eastAsia="Times New Roman" w:cs="David" w:hint="cs"/>
          <w:color w:val="111111"/>
          <w:sz w:val="28"/>
          <w:szCs w:val="28"/>
          <w:rtl/>
        </w:rPr>
        <w:t>כותב זאת במפורש</w:t>
      </w:r>
      <w:r w:rsidR="00E27238" w:rsidRPr="0004711E">
        <w:rPr>
          <w:rFonts w:eastAsia="Times New Roman" w:cs="David" w:hint="cs"/>
          <w:color w:val="111111"/>
          <w:sz w:val="28"/>
          <w:szCs w:val="28"/>
          <w:rtl/>
        </w:rPr>
        <w:t xml:space="preserve"> במאמרו</w:t>
      </w:r>
      <w:r w:rsidR="00C91637">
        <w:rPr>
          <w:rFonts w:eastAsia="Times New Roman" w:cs="David" w:hint="cs"/>
          <w:color w:val="111111"/>
          <w:sz w:val="28"/>
          <w:szCs w:val="28"/>
          <w:rtl/>
        </w:rPr>
        <w:t xml:space="preserve">, אולם </w:t>
      </w:r>
      <w:r w:rsidRPr="0004711E">
        <w:rPr>
          <w:rFonts w:eastAsia="Times New Roman" w:cs="David" w:hint="cs"/>
          <w:color w:val="111111"/>
          <w:sz w:val="28"/>
          <w:szCs w:val="28"/>
          <w:rtl/>
        </w:rPr>
        <w:t xml:space="preserve">אינו </w:t>
      </w:r>
      <w:r w:rsidR="00935876" w:rsidRPr="0004711E">
        <w:rPr>
          <w:rFonts w:eastAsia="Times New Roman" w:cs="David" w:hint="cs"/>
          <w:color w:val="111111"/>
          <w:sz w:val="28"/>
          <w:szCs w:val="28"/>
          <w:rtl/>
        </w:rPr>
        <w:t xml:space="preserve">מפרט באופן מלא כיצד </w:t>
      </w:r>
      <w:r w:rsidRPr="0004711E">
        <w:rPr>
          <w:rFonts w:eastAsia="Times New Roman" w:cs="David" w:hint="cs"/>
          <w:color w:val="111111"/>
          <w:sz w:val="28"/>
          <w:szCs w:val="28"/>
          <w:rtl/>
        </w:rPr>
        <w:t>היה הדוח שלו שונה לו הייתה מדינת ישראל משתפת עמו</w:t>
      </w:r>
      <w:r w:rsidR="00C91637">
        <w:rPr>
          <w:rFonts w:eastAsia="Times New Roman" w:cs="David" w:hint="cs"/>
          <w:color w:val="111111"/>
          <w:sz w:val="28"/>
          <w:szCs w:val="28"/>
          <w:rtl/>
        </w:rPr>
        <w:t xml:space="preserve"> </w:t>
      </w:r>
      <w:r w:rsidR="00C91637" w:rsidRPr="0004711E">
        <w:rPr>
          <w:rFonts w:eastAsia="Times New Roman" w:cs="David" w:hint="cs"/>
          <w:color w:val="111111"/>
          <w:sz w:val="28"/>
          <w:szCs w:val="28"/>
          <w:rtl/>
        </w:rPr>
        <w:t>פעולה</w:t>
      </w:r>
      <w:r w:rsidRPr="0004711E">
        <w:rPr>
          <w:rFonts w:eastAsia="Times New Roman" w:cs="David" w:hint="cs"/>
          <w:color w:val="111111"/>
          <w:sz w:val="28"/>
          <w:szCs w:val="28"/>
          <w:rtl/>
        </w:rPr>
        <w:t>. הוא אומנם חוזר בו מהקביעה המפורשת שישראל נקטה מדיניות מכוונת של פגיעה באזרחים, אך אינו מתייחס לשורה ארוכה של קביעות חמורות אחרות כלפי ישראל</w:t>
      </w:r>
      <w:r w:rsidR="00C91637">
        <w:rPr>
          <w:rFonts w:eastAsia="Times New Roman" w:cs="David" w:hint="cs"/>
          <w:color w:val="111111"/>
          <w:sz w:val="28"/>
          <w:szCs w:val="28"/>
          <w:rtl/>
        </w:rPr>
        <w:t>,</w:t>
      </w:r>
      <w:r w:rsidRPr="0004711E">
        <w:rPr>
          <w:rFonts w:eastAsia="Times New Roman" w:cs="David" w:hint="cs"/>
          <w:color w:val="111111"/>
          <w:sz w:val="28"/>
          <w:szCs w:val="28"/>
          <w:rtl/>
        </w:rPr>
        <w:t xml:space="preserve"> המפורטות בדוח.</w:t>
      </w:r>
      <w:r w:rsidR="00935876" w:rsidRPr="0004711E">
        <w:rPr>
          <w:rFonts w:eastAsia="Times New Roman" w:cs="David" w:hint="cs"/>
          <w:color w:val="111111"/>
          <w:sz w:val="28"/>
          <w:szCs w:val="28"/>
          <w:rtl/>
        </w:rPr>
        <w:t xml:space="preserve"> מתגובתם של </w:t>
      </w:r>
      <w:r w:rsidR="00C91637">
        <w:rPr>
          <w:rFonts w:eastAsia="Times New Roman" w:cs="David" w:hint="cs"/>
          <w:color w:val="111111"/>
          <w:sz w:val="28"/>
          <w:szCs w:val="28"/>
          <w:rtl/>
        </w:rPr>
        <w:t>שאר</w:t>
      </w:r>
      <w:r w:rsidR="00C91637" w:rsidRPr="0004711E">
        <w:rPr>
          <w:rFonts w:eastAsia="Times New Roman" w:cs="David" w:hint="cs"/>
          <w:color w:val="111111"/>
          <w:sz w:val="28"/>
          <w:szCs w:val="28"/>
          <w:rtl/>
        </w:rPr>
        <w:t xml:space="preserve"> </w:t>
      </w:r>
      <w:r w:rsidR="00935876" w:rsidRPr="0004711E">
        <w:rPr>
          <w:rFonts w:eastAsia="Times New Roman" w:cs="David" w:hint="cs"/>
          <w:color w:val="111111"/>
          <w:sz w:val="28"/>
          <w:szCs w:val="28"/>
          <w:rtl/>
        </w:rPr>
        <w:t>מחברי הדוח</w:t>
      </w:r>
      <w:r w:rsidR="00C91637">
        <w:rPr>
          <w:rFonts w:eastAsia="Times New Roman" w:cs="David" w:hint="cs"/>
          <w:color w:val="111111"/>
          <w:sz w:val="28"/>
          <w:szCs w:val="28"/>
          <w:rtl/>
        </w:rPr>
        <w:t>,</w:t>
      </w:r>
      <w:r w:rsidR="00935876" w:rsidRPr="0004711E">
        <w:rPr>
          <w:rFonts w:eastAsia="Times New Roman" w:cs="David" w:hint="cs"/>
          <w:color w:val="111111"/>
          <w:sz w:val="28"/>
          <w:szCs w:val="28"/>
          <w:rtl/>
        </w:rPr>
        <w:t xml:space="preserve"> ניכר כי אין זה בטוח כלל ששיתוף פעולה ישראלי היה משנה את אופי הדוח באופן משמעותי. כנראה שלא ניתן יהיה להשיב </w:t>
      </w:r>
      <w:r w:rsidR="00C91637">
        <w:rPr>
          <w:rFonts w:eastAsia="Times New Roman" w:cs="David" w:hint="cs"/>
          <w:color w:val="111111"/>
          <w:sz w:val="28"/>
          <w:szCs w:val="28"/>
          <w:rtl/>
        </w:rPr>
        <w:t>ע</w:t>
      </w:r>
      <w:r w:rsidR="00935876" w:rsidRPr="0004711E">
        <w:rPr>
          <w:rFonts w:eastAsia="Times New Roman" w:cs="David" w:hint="cs"/>
          <w:color w:val="111111"/>
          <w:sz w:val="28"/>
          <w:szCs w:val="28"/>
          <w:rtl/>
        </w:rPr>
        <w:t>ל</w:t>
      </w:r>
      <w:r w:rsidR="00C91637">
        <w:rPr>
          <w:rFonts w:eastAsia="Times New Roman" w:cs="David" w:hint="cs"/>
          <w:color w:val="111111"/>
          <w:sz w:val="28"/>
          <w:szCs w:val="28"/>
          <w:rtl/>
        </w:rPr>
        <w:t xml:space="preserve"> </w:t>
      </w:r>
      <w:r w:rsidR="00935876" w:rsidRPr="0004711E">
        <w:rPr>
          <w:rFonts w:eastAsia="Times New Roman" w:cs="David" w:hint="cs"/>
          <w:color w:val="111111"/>
          <w:sz w:val="28"/>
          <w:szCs w:val="28"/>
          <w:rtl/>
        </w:rPr>
        <w:t>שאלה זו</w:t>
      </w:r>
      <w:r w:rsidR="00C91637">
        <w:rPr>
          <w:rFonts w:eastAsia="Times New Roman" w:cs="David" w:hint="cs"/>
          <w:color w:val="111111"/>
          <w:sz w:val="28"/>
          <w:szCs w:val="28"/>
          <w:rtl/>
        </w:rPr>
        <w:t xml:space="preserve"> </w:t>
      </w:r>
      <w:r w:rsidR="00C91637" w:rsidRPr="0004711E">
        <w:rPr>
          <w:rFonts w:eastAsia="Times New Roman" w:cs="David" w:hint="cs"/>
          <w:color w:val="111111"/>
          <w:sz w:val="28"/>
          <w:szCs w:val="28"/>
          <w:rtl/>
        </w:rPr>
        <w:t>לעולם</w:t>
      </w:r>
      <w:r w:rsidR="00935876" w:rsidRPr="0004711E">
        <w:rPr>
          <w:rFonts w:eastAsia="Times New Roman" w:cs="David" w:hint="cs"/>
          <w:color w:val="111111"/>
          <w:sz w:val="28"/>
          <w:szCs w:val="28"/>
          <w:rtl/>
        </w:rPr>
        <w:t>.</w:t>
      </w:r>
    </w:p>
    <w:p w:rsidR="00935876" w:rsidRPr="0004711E" w:rsidRDefault="00935876" w:rsidP="008B316C">
      <w:pPr>
        <w:spacing w:after="0" w:line="360" w:lineRule="auto"/>
        <w:jc w:val="both"/>
        <w:rPr>
          <w:rFonts w:eastAsia="Times New Roman" w:cs="David"/>
          <w:color w:val="111111"/>
          <w:sz w:val="28"/>
          <w:szCs w:val="28"/>
          <w:rtl/>
        </w:rPr>
      </w:pPr>
    </w:p>
    <w:p w:rsidR="00EB5E8E" w:rsidRPr="0004711E" w:rsidRDefault="00935876" w:rsidP="004157CB">
      <w:pPr>
        <w:spacing w:after="0" w:line="360" w:lineRule="auto"/>
        <w:jc w:val="both"/>
        <w:rPr>
          <w:rFonts w:eastAsia="Times New Roman" w:cs="David"/>
          <w:color w:val="111111"/>
          <w:sz w:val="28"/>
          <w:szCs w:val="28"/>
          <w:rtl/>
        </w:rPr>
      </w:pPr>
      <w:r w:rsidRPr="0004711E">
        <w:rPr>
          <w:rFonts w:eastAsia="Times New Roman" w:cs="David" w:hint="cs"/>
          <w:color w:val="111111"/>
          <w:sz w:val="28"/>
          <w:szCs w:val="28"/>
          <w:rtl/>
        </w:rPr>
        <w:t xml:space="preserve">עם זאת, הסוגיה העקרונית של שיתוף פעולה עם </w:t>
      </w:r>
      <w:r w:rsidR="009C039C">
        <w:rPr>
          <w:rFonts w:eastAsia="Times New Roman" w:cs="David" w:hint="cs"/>
          <w:color w:val="111111"/>
          <w:sz w:val="28"/>
          <w:szCs w:val="28"/>
          <w:rtl/>
        </w:rPr>
        <w:t>ועדות חקירה בינלאומיות</w:t>
      </w:r>
      <w:r w:rsidRPr="0004711E">
        <w:rPr>
          <w:rFonts w:eastAsia="Times New Roman" w:cs="David" w:hint="cs"/>
          <w:color w:val="111111"/>
          <w:sz w:val="28"/>
          <w:szCs w:val="28"/>
          <w:rtl/>
        </w:rPr>
        <w:t xml:space="preserve"> ראויה לבחינה כשלעצמה, והיא שעומדת בבסיס המחקר דנן.</w:t>
      </w:r>
      <w:r w:rsidR="00DA0B54" w:rsidRPr="0004711E">
        <w:rPr>
          <w:rFonts w:eastAsia="Times New Roman" w:cs="David" w:hint="cs"/>
          <w:color w:val="111111"/>
          <w:sz w:val="28"/>
          <w:szCs w:val="28"/>
          <w:rtl/>
        </w:rPr>
        <w:t xml:space="preserve"> </w:t>
      </w:r>
      <w:r w:rsidRPr="0004711E">
        <w:rPr>
          <w:rFonts w:eastAsia="Times New Roman" w:cs="David" w:hint="cs"/>
          <w:color w:val="111111"/>
          <w:sz w:val="28"/>
          <w:szCs w:val="28"/>
          <w:rtl/>
        </w:rPr>
        <w:t>כפי שתדגים עבודה זו, שאלה זו אינה עומדת בפני עצמה, והיא קשורה בטבורה לשורה ארוכה של שאלות ושיקולים אחרים</w:t>
      </w:r>
      <w:r w:rsidR="004157CB">
        <w:rPr>
          <w:rFonts w:eastAsia="Times New Roman" w:cs="David" w:hint="cs"/>
          <w:color w:val="111111"/>
          <w:sz w:val="28"/>
          <w:szCs w:val="28"/>
          <w:rtl/>
        </w:rPr>
        <w:t xml:space="preserve">. </w:t>
      </w:r>
      <w:r w:rsidR="004157CB" w:rsidRPr="004157CB">
        <w:rPr>
          <w:rFonts w:eastAsia="Times New Roman" w:cs="David" w:hint="cs"/>
          <w:color w:val="111111"/>
          <w:sz w:val="28"/>
          <w:szCs w:val="28"/>
          <w:rtl/>
        </w:rPr>
        <w:t xml:space="preserve"> </w:t>
      </w:r>
      <w:r w:rsidR="004157CB">
        <w:rPr>
          <w:rFonts w:eastAsia="Times New Roman" w:cs="David" w:hint="cs"/>
          <w:color w:val="111111"/>
          <w:sz w:val="28"/>
          <w:szCs w:val="28"/>
          <w:rtl/>
        </w:rPr>
        <w:t>אין ספק, שההתמודדות של מדינת ישראל בזירה המשפטית הבינלאומית קשה היום פי כמה מכפי שהייתה לפני פרסום דוח גולדסטון. כך, לדוגמה, תזכיר העבודה את התמודדותה של מדינת ישראל עם הליכים בבית המשפט הפלילי הבינלאומי ובמדינות שמחילות סמכות שיפוט אוניברסאלית במערכות המשפט שלהן. גם המערכת המשפטית הישראלית הפנימית חוותה שינויים רבים מאז פרסום הדוח, כמו לדוגמה בהיקף הייעוץ המשפטי שניתן לפעולות לחימה. חלק מהתהליכים הללו הם תולדה של תהליכים משפטיים גלובליים</w:t>
      </w:r>
      <w:r w:rsidRPr="0004711E">
        <w:rPr>
          <w:rFonts w:eastAsia="Times New Roman" w:cs="David" w:hint="cs"/>
          <w:color w:val="111111"/>
          <w:sz w:val="28"/>
          <w:szCs w:val="28"/>
          <w:rtl/>
        </w:rPr>
        <w:t xml:space="preserve"> </w:t>
      </w:r>
      <w:r w:rsidR="004157CB">
        <w:rPr>
          <w:rFonts w:eastAsia="Times New Roman" w:cs="David" w:hint="cs"/>
          <w:color w:val="111111"/>
          <w:sz w:val="28"/>
          <w:szCs w:val="28"/>
          <w:rtl/>
        </w:rPr>
        <w:t xml:space="preserve">וחלקם קשורים אולי ישירות לפרסומו של דוח גולדסטון, אך בכל מקרה </w:t>
      </w:r>
      <w:r w:rsidRPr="0004711E">
        <w:rPr>
          <w:rFonts w:eastAsia="Times New Roman" w:cs="David" w:hint="cs"/>
          <w:color w:val="111111"/>
          <w:sz w:val="28"/>
          <w:szCs w:val="28"/>
          <w:rtl/>
        </w:rPr>
        <w:t xml:space="preserve">קשה להעריך, גם היום, </w:t>
      </w:r>
      <w:r w:rsidR="006F502D" w:rsidRPr="0004711E">
        <w:rPr>
          <w:rFonts w:eastAsia="Times New Roman" w:cs="David" w:hint="cs"/>
          <w:color w:val="111111"/>
          <w:sz w:val="28"/>
          <w:szCs w:val="28"/>
          <w:rtl/>
        </w:rPr>
        <w:t xml:space="preserve">באיזו מידה </w:t>
      </w:r>
      <w:r w:rsidRPr="0004711E">
        <w:rPr>
          <w:rFonts w:eastAsia="Times New Roman" w:cs="David" w:hint="cs"/>
          <w:color w:val="111111"/>
          <w:sz w:val="28"/>
          <w:szCs w:val="28"/>
          <w:rtl/>
        </w:rPr>
        <w:t xml:space="preserve">ניתן היה למנוע את </w:t>
      </w:r>
      <w:r w:rsidR="006F502D" w:rsidRPr="0004711E">
        <w:rPr>
          <w:rFonts w:eastAsia="Times New Roman" w:cs="David" w:hint="cs"/>
          <w:color w:val="111111"/>
          <w:sz w:val="28"/>
          <w:szCs w:val="28"/>
          <w:rtl/>
        </w:rPr>
        <w:t>הטלטלה הקשה שחוותה מדינת ישראל בעקבות דוח גולדסטון</w:t>
      </w:r>
      <w:r w:rsidR="00E27238" w:rsidRPr="0004711E">
        <w:rPr>
          <w:rFonts w:eastAsia="Times New Roman" w:cs="David" w:hint="cs"/>
          <w:color w:val="111111"/>
          <w:sz w:val="28"/>
          <w:szCs w:val="28"/>
          <w:rtl/>
        </w:rPr>
        <w:t>, שאת נזקיה הקשים כבר לא ניתן היה לתקן, למרות מאמר החרטה של גולדסטון</w:t>
      </w:r>
      <w:r w:rsidRPr="0004711E">
        <w:rPr>
          <w:rFonts w:eastAsia="Times New Roman" w:cs="David" w:hint="cs"/>
          <w:color w:val="111111"/>
          <w:sz w:val="28"/>
          <w:szCs w:val="28"/>
          <w:rtl/>
        </w:rPr>
        <w:t>.</w:t>
      </w:r>
      <w:r w:rsidR="00237777">
        <w:rPr>
          <w:rFonts w:eastAsia="Times New Roman" w:cs="David" w:hint="cs"/>
          <w:color w:val="111111"/>
          <w:sz w:val="28"/>
          <w:szCs w:val="28"/>
          <w:rtl/>
        </w:rPr>
        <w:t xml:space="preserve"> </w:t>
      </w:r>
    </w:p>
    <w:p w:rsidR="00C91637" w:rsidRDefault="00C91637" w:rsidP="00026B55">
      <w:pPr>
        <w:spacing w:after="0" w:line="360" w:lineRule="auto"/>
        <w:jc w:val="both"/>
        <w:rPr>
          <w:rFonts w:eastAsia="Times New Roman" w:cs="David"/>
          <w:color w:val="111111"/>
          <w:sz w:val="28"/>
          <w:szCs w:val="28"/>
          <w:rtl/>
        </w:rPr>
      </w:pPr>
    </w:p>
    <w:p w:rsidR="00EB5E8E" w:rsidRPr="0004711E" w:rsidRDefault="001E019A" w:rsidP="003810AD">
      <w:pPr>
        <w:spacing w:after="0" w:line="360" w:lineRule="auto"/>
        <w:jc w:val="both"/>
        <w:rPr>
          <w:rFonts w:eastAsia="Times New Roman" w:cs="David"/>
          <w:color w:val="111111"/>
          <w:sz w:val="28"/>
          <w:szCs w:val="28"/>
          <w:rtl/>
        </w:rPr>
      </w:pPr>
      <w:r w:rsidRPr="0004711E">
        <w:rPr>
          <w:rFonts w:eastAsia="Times New Roman" w:cs="David" w:hint="cs"/>
          <w:color w:val="111111"/>
          <w:sz w:val="28"/>
          <w:szCs w:val="28"/>
          <w:rtl/>
        </w:rPr>
        <w:t>שאל</w:t>
      </w:r>
      <w:r w:rsidR="00026B55">
        <w:rPr>
          <w:rFonts w:eastAsia="Times New Roman" w:cs="David" w:hint="cs"/>
          <w:color w:val="111111"/>
          <w:sz w:val="28"/>
          <w:szCs w:val="28"/>
          <w:rtl/>
        </w:rPr>
        <w:t>ו</w:t>
      </w:r>
      <w:r w:rsidRPr="0004711E">
        <w:rPr>
          <w:rFonts w:eastAsia="Times New Roman" w:cs="David" w:hint="cs"/>
          <w:color w:val="111111"/>
          <w:sz w:val="28"/>
          <w:szCs w:val="28"/>
          <w:rtl/>
        </w:rPr>
        <w:t>ת המחקר תהי</w:t>
      </w:r>
      <w:r w:rsidR="00026B55">
        <w:rPr>
          <w:rFonts w:eastAsia="Times New Roman" w:cs="David" w:hint="cs"/>
          <w:color w:val="111111"/>
          <w:sz w:val="28"/>
          <w:szCs w:val="28"/>
          <w:rtl/>
        </w:rPr>
        <w:t>ינ</w:t>
      </w:r>
      <w:r w:rsidRPr="0004711E">
        <w:rPr>
          <w:rFonts w:eastAsia="Times New Roman" w:cs="David" w:hint="cs"/>
          <w:color w:val="111111"/>
          <w:sz w:val="28"/>
          <w:szCs w:val="28"/>
          <w:rtl/>
        </w:rPr>
        <w:t>ה</w:t>
      </w:r>
      <w:r w:rsidR="00C91637">
        <w:rPr>
          <w:rFonts w:eastAsia="Times New Roman" w:cs="David" w:hint="cs"/>
          <w:color w:val="111111"/>
          <w:sz w:val="28"/>
          <w:szCs w:val="28"/>
          <w:rtl/>
        </w:rPr>
        <w:t>, אם כן,</w:t>
      </w:r>
      <w:r w:rsidRPr="0004711E">
        <w:rPr>
          <w:rFonts w:eastAsia="Times New Roman" w:cs="David" w:hint="cs"/>
          <w:color w:val="111111"/>
          <w:sz w:val="28"/>
          <w:szCs w:val="28"/>
          <w:rtl/>
        </w:rPr>
        <w:t xml:space="preserve"> </w:t>
      </w:r>
      <w:r w:rsidR="00026B55" w:rsidRPr="008854DC">
        <w:rPr>
          <w:rFonts w:cs="David" w:hint="cs"/>
          <w:sz w:val="28"/>
          <w:szCs w:val="28"/>
          <w:rtl/>
        </w:rPr>
        <w:t xml:space="preserve">מהם השיקולים שצריכים להיבחן בעת קבלת החלטה לגבי שיתוף פעולה עם </w:t>
      </w:r>
      <w:r w:rsidR="009C039C">
        <w:rPr>
          <w:rFonts w:cs="David" w:hint="cs"/>
          <w:sz w:val="28"/>
          <w:szCs w:val="28"/>
          <w:rtl/>
        </w:rPr>
        <w:t>ועדות חקירה בינלאומיות</w:t>
      </w:r>
      <w:r w:rsidR="00026B55" w:rsidRPr="0004711E">
        <w:rPr>
          <w:rFonts w:eastAsia="Times New Roman" w:cs="David" w:hint="cs"/>
          <w:color w:val="111111"/>
          <w:sz w:val="28"/>
          <w:szCs w:val="28"/>
          <w:rtl/>
        </w:rPr>
        <w:t xml:space="preserve"> </w:t>
      </w:r>
      <w:r w:rsidR="00026B55">
        <w:rPr>
          <w:rFonts w:eastAsia="Times New Roman" w:cs="David" w:hint="cs"/>
          <w:color w:val="111111"/>
          <w:sz w:val="28"/>
          <w:szCs w:val="28"/>
          <w:rtl/>
        </w:rPr>
        <w:t>ו</w:t>
      </w:r>
      <w:r w:rsidRPr="0004711E">
        <w:rPr>
          <w:rFonts w:eastAsia="Times New Roman" w:cs="David" w:hint="cs"/>
          <w:color w:val="111111"/>
          <w:sz w:val="28"/>
          <w:szCs w:val="28"/>
          <w:rtl/>
        </w:rPr>
        <w:t xml:space="preserve">מהן דרכי הפעולה </w:t>
      </w:r>
      <w:r w:rsidRPr="0004711E">
        <w:rPr>
          <w:rFonts w:cs="David" w:hint="cs"/>
          <w:sz w:val="28"/>
          <w:szCs w:val="28"/>
          <w:rtl/>
        </w:rPr>
        <w:t xml:space="preserve">השונות שאותן יכולה וצריכה מדינת ישראל לנקוט בפעולתה מול </w:t>
      </w:r>
      <w:r w:rsidR="009C039C">
        <w:rPr>
          <w:rFonts w:cs="David" w:hint="cs"/>
          <w:sz w:val="28"/>
          <w:szCs w:val="28"/>
          <w:rtl/>
        </w:rPr>
        <w:t>ועדות חקירה בינלאומיות</w:t>
      </w:r>
      <w:r w:rsidR="003810AD">
        <w:rPr>
          <w:rFonts w:eastAsia="Times New Roman" w:cs="David" w:hint="cs"/>
          <w:color w:val="111111"/>
          <w:sz w:val="28"/>
          <w:szCs w:val="28"/>
          <w:rtl/>
        </w:rPr>
        <w:t>?</w:t>
      </w:r>
      <w:r w:rsidRPr="0004711E">
        <w:rPr>
          <w:rFonts w:eastAsia="Times New Roman" w:cs="David" w:hint="cs"/>
          <w:color w:val="111111"/>
          <w:sz w:val="28"/>
          <w:szCs w:val="28"/>
          <w:rtl/>
        </w:rPr>
        <w:t xml:space="preserve"> </w:t>
      </w:r>
      <w:r w:rsidR="00EB5E8E" w:rsidRPr="0004711E">
        <w:rPr>
          <w:rFonts w:eastAsia="Times New Roman" w:cs="David" w:hint="cs"/>
          <w:color w:val="111111"/>
          <w:sz w:val="28"/>
          <w:szCs w:val="28"/>
          <w:rtl/>
        </w:rPr>
        <w:t>בתוך כך, תנסה העבודה לעמוד על האינטרסים הכלליים והפרטניים ש</w:t>
      </w:r>
      <w:r w:rsidR="003810AD">
        <w:rPr>
          <w:rFonts w:eastAsia="Times New Roman" w:cs="David" w:hint="cs"/>
          <w:color w:val="111111"/>
          <w:sz w:val="28"/>
          <w:szCs w:val="28"/>
          <w:rtl/>
        </w:rPr>
        <w:t xml:space="preserve">יש לשקול </w:t>
      </w:r>
      <w:r w:rsidR="00EB5E8E" w:rsidRPr="0004711E">
        <w:rPr>
          <w:rFonts w:eastAsia="Times New Roman" w:cs="David" w:hint="cs"/>
          <w:color w:val="111111"/>
          <w:sz w:val="28"/>
          <w:szCs w:val="28"/>
          <w:rtl/>
        </w:rPr>
        <w:t xml:space="preserve">בעת קבלת החלטה מעין זו. העבודה תנסה להציע </w:t>
      </w:r>
      <w:r w:rsidR="003810AD" w:rsidRPr="0004711E">
        <w:rPr>
          <w:rFonts w:eastAsia="Times New Roman" w:cs="David" w:hint="cs"/>
          <w:color w:val="111111"/>
          <w:sz w:val="28"/>
          <w:szCs w:val="28"/>
          <w:rtl/>
        </w:rPr>
        <w:t xml:space="preserve">גם </w:t>
      </w:r>
      <w:r w:rsidR="00EB5E8E" w:rsidRPr="0004711E">
        <w:rPr>
          <w:rFonts w:eastAsia="Times New Roman" w:cs="David" w:hint="cs"/>
          <w:color w:val="111111"/>
          <w:sz w:val="28"/>
          <w:szCs w:val="28"/>
          <w:rtl/>
        </w:rPr>
        <w:t xml:space="preserve">צעדים מעשיים </w:t>
      </w:r>
      <w:r w:rsidR="003810AD">
        <w:rPr>
          <w:rFonts w:eastAsia="Times New Roman" w:cs="David" w:hint="cs"/>
          <w:color w:val="111111"/>
          <w:sz w:val="28"/>
          <w:szCs w:val="28"/>
          <w:rtl/>
        </w:rPr>
        <w:t xml:space="preserve">שעשויים </w:t>
      </w:r>
      <w:r w:rsidR="00EB5E8E" w:rsidRPr="0004711E">
        <w:rPr>
          <w:rFonts w:eastAsia="Times New Roman" w:cs="David" w:hint="cs"/>
          <w:color w:val="111111"/>
          <w:sz w:val="28"/>
          <w:szCs w:val="28"/>
          <w:rtl/>
        </w:rPr>
        <w:t>להשפיע על התהליכים המתרחשים בעת שנדרשת החלטה כזו</w:t>
      </w:r>
      <w:r w:rsidR="003810AD">
        <w:rPr>
          <w:rFonts w:eastAsia="Times New Roman" w:cs="David" w:hint="cs"/>
          <w:color w:val="111111"/>
          <w:sz w:val="28"/>
          <w:szCs w:val="28"/>
          <w:rtl/>
        </w:rPr>
        <w:t>,</w:t>
      </w:r>
      <w:r w:rsidR="00EB5E8E" w:rsidRPr="0004711E">
        <w:rPr>
          <w:rFonts w:eastAsia="Times New Roman" w:cs="David" w:hint="cs"/>
          <w:color w:val="111111"/>
          <w:sz w:val="28"/>
          <w:szCs w:val="28"/>
          <w:rtl/>
        </w:rPr>
        <w:t xml:space="preserve"> ו</w:t>
      </w:r>
      <w:r w:rsidR="003810AD">
        <w:rPr>
          <w:rFonts w:eastAsia="Times New Roman" w:cs="David" w:hint="cs"/>
          <w:color w:val="111111"/>
          <w:sz w:val="28"/>
          <w:szCs w:val="28"/>
          <w:rtl/>
        </w:rPr>
        <w:t xml:space="preserve">כיצד </w:t>
      </w:r>
      <w:r w:rsidR="00EB5E8E" w:rsidRPr="0004711E">
        <w:rPr>
          <w:rFonts w:eastAsia="Times New Roman" w:cs="David" w:hint="cs"/>
          <w:color w:val="111111"/>
          <w:sz w:val="28"/>
          <w:szCs w:val="28"/>
          <w:rtl/>
        </w:rPr>
        <w:t xml:space="preserve">להיערך </w:t>
      </w:r>
      <w:r w:rsidR="003810AD">
        <w:rPr>
          <w:rFonts w:eastAsia="Times New Roman" w:cs="David" w:hint="cs"/>
          <w:color w:val="111111"/>
          <w:sz w:val="28"/>
          <w:szCs w:val="28"/>
          <w:rtl/>
        </w:rPr>
        <w:t>א</w:t>
      </w:r>
      <w:r w:rsidR="00EB5E8E" w:rsidRPr="0004711E">
        <w:rPr>
          <w:rFonts w:eastAsia="Times New Roman" w:cs="David" w:hint="cs"/>
          <w:color w:val="111111"/>
          <w:sz w:val="28"/>
          <w:szCs w:val="28"/>
          <w:rtl/>
        </w:rPr>
        <w:t>ל</w:t>
      </w:r>
      <w:r w:rsidR="003810AD">
        <w:rPr>
          <w:rFonts w:eastAsia="Times New Roman" w:cs="David" w:hint="cs"/>
          <w:color w:val="111111"/>
          <w:sz w:val="28"/>
          <w:szCs w:val="28"/>
          <w:rtl/>
        </w:rPr>
        <w:t>י</w:t>
      </w:r>
      <w:r w:rsidR="00EB5E8E" w:rsidRPr="0004711E">
        <w:rPr>
          <w:rFonts w:eastAsia="Times New Roman" w:cs="David" w:hint="cs"/>
          <w:color w:val="111111"/>
          <w:sz w:val="28"/>
          <w:szCs w:val="28"/>
          <w:rtl/>
        </w:rPr>
        <w:t>הם כראוי.</w:t>
      </w:r>
    </w:p>
    <w:p w:rsidR="00EB5E8E" w:rsidRPr="0004711E" w:rsidRDefault="00EB5E8E" w:rsidP="008B316C">
      <w:pPr>
        <w:spacing w:after="0" w:line="360" w:lineRule="auto"/>
        <w:jc w:val="both"/>
        <w:rPr>
          <w:rFonts w:eastAsia="Times New Roman" w:cs="David"/>
          <w:color w:val="111111"/>
          <w:sz w:val="28"/>
          <w:szCs w:val="28"/>
          <w:rtl/>
        </w:rPr>
      </w:pPr>
    </w:p>
    <w:p w:rsidR="00EB5E8E" w:rsidRPr="0004711E" w:rsidRDefault="003810AD" w:rsidP="00A3718C">
      <w:pPr>
        <w:spacing w:after="0" w:line="360" w:lineRule="auto"/>
        <w:jc w:val="both"/>
        <w:rPr>
          <w:rFonts w:eastAsia="Times New Roman" w:cs="David"/>
          <w:color w:val="111111"/>
          <w:sz w:val="28"/>
          <w:szCs w:val="28"/>
          <w:rtl/>
        </w:rPr>
      </w:pPr>
      <w:r>
        <w:rPr>
          <w:rFonts w:eastAsia="Times New Roman" w:cs="David" w:hint="cs"/>
          <w:color w:val="111111"/>
          <w:sz w:val="28"/>
          <w:szCs w:val="28"/>
          <w:rtl/>
        </w:rPr>
        <w:t>יש לציין</w:t>
      </w:r>
      <w:r w:rsidR="00EB5E8E" w:rsidRPr="0004711E">
        <w:rPr>
          <w:rFonts w:eastAsia="Times New Roman" w:cs="David" w:hint="cs"/>
          <w:color w:val="111111"/>
          <w:sz w:val="28"/>
          <w:szCs w:val="28"/>
          <w:rtl/>
        </w:rPr>
        <w:t>, כי הביטוי "</w:t>
      </w:r>
      <w:r w:rsidR="009C039C">
        <w:rPr>
          <w:rFonts w:eastAsia="Times New Roman" w:cs="David" w:hint="cs"/>
          <w:color w:val="111111"/>
          <w:sz w:val="28"/>
          <w:szCs w:val="28"/>
          <w:rtl/>
        </w:rPr>
        <w:t>ועדות חקירה בינלאומיות</w:t>
      </w:r>
      <w:r w:rsidR="00EB5E8E" w:rsidRPr="0004711E">
        <w:rPr>
          <w:rFonts w:eastAsia="Times New Roman" w:cs="David" w:hint="cs"/>
          <w:color w:val="111111"/>
          <w:sz w:val="28"/>
          <w:szCs w:val="28"/>
          <w:rtl/>
        </w:rPr>
        <w:t xml:space="preserve">" אינו ביטוי בעל משמעות ברורה ומוגדרת. הוא נבחר </w:t>
      </w:r>
      <w:r w:rsidR="00026B55">
        <w:rPr>
          <w:rFonts w:eastAsia="Times New Roman" w:cs="David" w:hint="cs"/>
          <w:color w:val="111111"/>
          <w:sz w:val="28"/>
          <w:szCs w:val="28"/>
          <w:rtl/>
        </w:rPr>
        <w:t>בלית ביטוי אחר</w:t>
      </w:r>
      <w:r w:rsidR="00D1249D" w:rsidRPr="0004711E">
        <w:rPr>
          <w:rFonts w:eastAsia="Times New Roman" w:cs="David" w:hint="cs"/>
          <w:color w:val="111111"/>
          <w:sz w:val="28"/>
          <w:szCs w:val="28"/>
          <w:rtl/>
        </w:rPr>
        <w:t xml:space="preserve">, טוב ממנו. כפי שתדגים העבודה, הביטוי כולל בתוכו </w:t>
      </w:r>
      <w:r w:rsidR="009F6ED1">
        <w:rPr>
          <w:rFonts w:eastAsia="Times New Roman" w:cs="David" w:hint="cs"/>
          <w:color w:val="111111"/>
          <w:sz w:val="28"/>
          <w:szCs w:val="28"/>
          <w:rtl/>
        </w:rPr>
        <w:t xml:space="preserve">ועדות חקירה </w:t>
      </w:r>
      <w:r w:rsidR="00D1249D" w:rsidRPr="0004711E">
        <w:rPr>
          <w:rFonts w:eastAsia="Times New Roman" w:cs="David" w:hint="cs"/>
          <w:color w:val="111111"/>
          <w:sz w:val="28"/>
          <w:szCs w:val="28"/>
          <w:rtl/>
        </w:rPr>
        <w:t xml:space="preserve">או </w:t>
      </w:r>
      <w:r w:rsidR="00A3718C">
        <w:rPr>
          <w:rFonts w:eastAsia="Times New Roman" w:cs="David" w:hint="cs"/>
          <w:color w:val="111111"/>
          <w:sz w:val="28"/>
          <w:szCs w:val="28"/>
          <w:rtl/>
        </w:rPr>
        <w:t xml:space="preserve">משלחות </w:t>
      </w:r>
      <w:r w:rsidR="00D1249D" w:rsidRPr="0004711E">
        <w:rPr>
          <w:rFonts w:eastAsia="Times New Roman" w:cs="David" w:hint="cs"/>
          <w:color w:val="111111"/>
          <w:sz w:val="28"/>
          <w:szCs w:val="28"/>
          <w:rtl/>
        </w:rPr>
        <w:t>ל</w:t>
      </w:r>
      <w:r w:rsidR="00026B55">
        <w:rPr>
          <w:rFonts w:eastAsia="Times New Roman" w:cs="David" w:hint="cs"/>
          <w:color w:val="111111"/>
          <w:sz w:val="28"/>
          <w:szCs w:val="28"/>
          <w:rtl/>
        </w:rPr>
        <w:t xml:space="preserve">בירור </w:t>
      </w:r>
      <w:r w:rsidR="00D1249D" w:rsidRPr="0004711E">
        <w:rPr>
          <w:rFonts w:eastAsia="Times New Roman" w:cs="David" w:hint="cs"/>
          <w:color w:val="111111"/>
          <w:sz w:val="28"/>
          <w:szCs w:val="28"/>
          <w:rtl/>
        </w:rPr>
        <w:t xml:space="preserve">עובדות של ארגונים בין-ממשלתיים (בינלאומיים) שונים ושל אורגנים שלהם (מועצת הביטחון של האו"ם, העצרת הכללית, מזכ"ל האו"ם, מועצת זכויות האדם וכדומה). ועדות אלה יכולות להיות בעלות אופי משפטי, אופי פוליטי, או אופי משפטי-פוליטי משולב. </w:t>
      </w:r>
      <w:r w:rsidR="0081674D" w:rsidRPr="0004711E">
        <w:rPr>
          <w:rFonts w:eastAsia="Times New Roman" w:cs="David" w:hint="cs"/>
          <w:color w:val="111111"/>
          <w:sz w:val="28"/>
          <w:szCs w:val="28"/>
          <w:rtl/>
        </w:rPr>
        <w:t xml:space="preserve">לעיתים יכול </w:t>
      </w:r>
      <w:r w:rsidR="009C039C">
        <w:rPr>
          <w:rFonts w:eastAsia="Times New Roman" w:cs="David" w:hint="cs"/>
          <w:color w:val="111111"/>
          <w:sz w:val="28"/>
          <w:szCs w:val="28"/>
          <w:rtl/>
        </w:rPr>
        <w:t>ועדת חקירה</w:t>
      </w:r>
      <w:r w:rsidR="0081674D" w:rsidRPr="0004711E">
        <w:rPr>
          <w:rFonts w:eastAsia="Times New Roman" w:cs="David" w:hint="cs"/>
          <w:color w:val="111111"/>
          <w:sz w:val="28"/>
          <w:szCs w:val="28"/>
          <w:rtl/>
        </w:rPr>
        <w:t xml:space="preserve"> להתמנות מטעם מדינה זרה ולא מטעם ארגון בינלאומי</w:t>
      </w:r>
      <w:r w:rsidR="008C3495">
        <w:rPr>
          <w:rStyle w:val="a7"/>
          <w:rFonts w:eastAsia="Times New Roman" w:cs="David"/>
          <w:color w:val="111111"/>
          <w:sz w:val="28"/>
          <w:szCs w:val="28"/>
          <w:rtl/>
        </w:rPr>
        <w:footnoteReference w:id="16"/>
      </w:r>
      <w:r w:rsidR="0081674D" w:rsidRPr="0004711E">
        <w:rPr>
          <w:rFonts w:eastAsia="Times New Roman" w:cs="David" w:hint="cs"/>
          <w:color w:val="111111"/>
          <w:sz w:val="28"/>
          <w:szCs w:val="28"/>
          <w:rtl/>
        </w:rPr>
        <w:t xml:space="preserve">. </w:t>
      </w:r>
    </w:p>
    <w:p w:rsidR="00D1249D" w:rsidRDefault="00D1249D" w:rsidP="008B316C">
      <w:pPr>
        <w:spacing w:after="0" w:line="360" w:lineRule="auto"/>
        <w:jc w:val="both"/>
        <w:rPr>
          <w:rFonts w:eastAsia="Times New Roman" w:cs="David"/>
          <w:color w:val="111111"/>
          <w:sz w:val="28"/>
          <w:szCs w:val="28"/>
          <w:rtl/>
        </w:rPr>
      </w:pPr>
    </w:p>
    <w:p w:rsidR="00FF478D" w:rsidRDefault="003810AD" w:rsidP="00521ED6">
      <w:pPr>
        <w:spacing w:after="0" w:line="360" w:lineRule="auto"/>
        <w:jc w:val="both"/>
        <w:rPr>
          <w:rFonts w:eastAsia="Times New Roman" w:cs="David"/>
          <w:color w:val="111111"/>
          <w:sz w:val="28"/>
          <w:szCs w:val="28"/>
          <w:rtl/>
        </w:rPr>
      </w:pPr>
      <w:r w:rsidRPr="0004711E">
        <w:rPr>
          <w:rFonts w:eastAsia="Times New Roman" w:cs="David" w:hint="cs"/>
          <w:color w:val="111111"/>
          <w:sz w:val="28"/>
          <w:szCs w:val="28"/>
          <w:rtl/>
        </w:rPr>
        <w:t>לעניינה של עבודה זו</w:t>
      </w:r>
      <w:r>
        <w:rPr>
          <w:rFonts w:eastAsia="Times New Roman" w:cs="David" w:hint="cs"/>
          <w:color w:val="111111"/>
          <w:sz w:val="28"/>
          <w:szCs w:val="28"/>
          <w:rtl/>
        </w:rPr>
        <w:t>,</w:t>
      </w:r>
      <w:r w:rsidRPr="0004711E">
        <w:rPr>
          <w:rFonts w:eastAsia="Times New Roman" w:cs="David" w:hint="cs"/>
          <w:color w:val="111111"/>
          <w:sz w:val="28"/>
          <w:szCs w:val="28"/>
          <w:rtl/>
        </w:rPr>
        <w:t xml:space="preserve"> </w:t>
      </w:r>
      <w:r w:rsidR="00FF478D" w:rsidRPr="0004711E">
        <w:rPr>
          <w:rFonts w:eastAsia="Times New Roman" w:cs="David" w:hint="cs"/>
          <w:color w:val="111111"/>
          <w:sz w:val="28"/>
          <w:szCs w:val="28"/>
          <w:rtl/>
        </w:rPr>
        <w:t>הביטוי "</w:t>
      </w:r>
      <w:r w:rsidR="009C039C">
        <w:rPr>
          <w:rFonts w:eastAsia="Times New Roman" w:cs="David" w:hint="cs"/>
          <w:color w:val="111111"/>
          <w:sz w:val="28"/>
          <w:szCs w:val="28"/>
          <w:rtl/>
        </w:rPr>
        <w:t>ועדת חקירה בינלאומית</w:t>
      </w:r>
      <w:r w:rsidR="00FF478D" w:rsidRPr="0004711E">
        <w:rPr>
          <w:rFonts w:eastAsia="Times New Roman" w:cs="David" w:hint="cs"/>
          <w:color w:val="111111"/>
          <w:sz w:val="28"/>
          <w:szCs w:val="28"/>
          <w:rtl/>
        </w:rPr>
        <w:t xml:space="preserve">" </w:t>
      </w:r>
      <w:r w:rsidR="00FF478D" w:rsidRPr="0004711E">
        <w:rPr>
          <w:rFonts w:eastAsia="Times New Roman" w:cs="David" w:hint="cs"/>
          <w:b/>
          <w:bCs/>
          <w:color w:val="111111"/>
          <w:sz w:val="28"/>
          <w:szCs w:val="28"/>
          <w:rtl/>
        </w:rPr>
        <w:t>אינו כולל</w:t>
      </w:r>
      <w:r w:rsidR="00FF478D" w:rsidRPr="0004711E">
        <w:rPr>
          <w:rFonts w:eastAsia="Times New Roman" w:cs="David" w:hint="cs"/>
          <w:color w:val="111111"/>
          <w:sz w:val="28"/>
          <w:szCs w:val="28"/>
          <w:rtl/>
        </w:rPr>
        <w:t xml:space="preserve"> ארגונים לא ממשלתיים בינלאומיים, הגם שחלק מארגונים אלה (כמו </w:t>
      </w:r>
      <w:r w:rsidR="00FF478D" w:rsidRPr="0004711E">
        <w:rPr>
          <w:rFonts w:eastAsia="Times New Roman" w:cs="David"/>
          <w:color w:val="111111"/>
          <w:sz w:val="28"/>
          <w:szCs w:val="28"/>
        </w:rPr>
        <w:t>Human Rights Watch</w:t>
      </w:r>
      <w:r w:rsidR="00FF478D" w:rsidRPr="0004711E">
        <w:rPr>
          <w:rFonts w:eastAsia="Times New Roman" w:cs="David" w:hint="cs"/>
          <w:color w:val="111111"/>
          <w:sz w:val="28"/>
          <w:szCs w:val="28"/>
          <w:rtl/>
        </w:rPr>
        <w:t xml:space="preserve"> ו-</w:t>
      </w:r>
      <w:r w:rsidR="00FF478D" w:rsidRPr="0004711E">
        <w:rPr>
          <w:rFonts w:eastAsia="Times New Roman" w:cs="David"/>
          <w:color w:val="111111"/>
          <w:sz w:val="28"/>
          <w:szCs w:val="28"/>
        </w:rPr>
        <w:t>Amnesty International</w:t>
      </w:r>
      <w:r w:rsidR="00FF478D" w:rsidRPr="0004711E">
        <w:rPr>
          <w:rFonts w:eastAsia="Times New Roman" w:cs="David" w:hint="cs"/>
          <w:color w:val="111111"/>
          <w:sz w:val="28"/>
          <w:szCs w:val="28"/>
          <w:rtl/>
        </w:rPr>
        <w:t xml:space="preserve">) הם בעלי היקפי פעילות והשפעה </w:t>
      </w:r>
      <w:r w:rsidR="00C14BD7" w:rsidRPr="0004711E">
        <w:rPr>
          <w:rFonts w:eastAsia="Times New Roman" w:cs="David" w:hint="cs"/>
          <w:color w:val="111111"/>
          <w:sz w:val="28"/>
          <w:szCs w:val="28"/>
          <w:rtl/>
        </w:rPr>
        <w:t xml:space="preserve">משמעותיים </w:t>
      </w:r>
      <w:r w:rsidR="00FF478D" w:rsidRPr="0004711E">
        <w:rPr>
          <w:rFonts w:eastAsia="Times New Roman" w:cs="David" w:hint="cs"/>
          <w:color w:val="111111"/>
          <w:sz w:val="28"/>
          <w:szCs w:val="28"/>
          <w:rtl/>
        </w:rPr>
        <w:t xml:space="preserve">בהקשר הנדון, </w:t>
      </w:r>
      <w:r>
        <w:rPr>
          <w:rFonts w:eastAsia="Times New Roman" w:cs="David" w:hint="cs"/>
          <w:color w:val="111111"/>
          <w:sz w:val="28"/>
          <w:szCs w:val="28"/>
          <w:rtl/>
        </w:rPr>
        <w:t>ו</w:t>
      </w:r>
      <w:r w:rsidR="00FF478D" w:rsidRPr="0004711E">
        <w:rPr>
          <w:rFonts w:eastAsia="Times New Roman" w:cs="David" w:hint="cs"/>
          <w:color w:val="111111"/>
          <w:sz w:val="28"/>
          <w:szCs w:val="28"/>
          <w:rtl/>
        </w:rPr>
        <w:t xml:space="preserve">עבודתם אף משפיעה מאוד על </w:t>
      </w:r>
      <w:r w:rsidR="009C039C">
        <w:rPr>
          <w:rFonts w:eastAsia="Times New Roman" w:cs="David" w:hint="cs"/>
          <w:color w:val="111111"/>
          <w:sz w:val="28"/>
          <w:szCs w:val="28"/>
          <w:rtl/>
        </w:rPr>
        <w:t>ועדות חקירה בינלאומיות</w:t>
      </w:r>
      <w:r w:rsidR="00FF478D" w:rsidRPr="0004711E">
        <w:rPr>
          <w:rFonts w:eastAsia="Times New Roman" w:cs="David" w:hint="cs"/>
          <w:color w:val="111111"/>
          <w:sz w:val="28"/>
          <w:szCs w:val="28"/>
          <w:rtl/>
        </w:rPr>
        <w:t>, כפי שיודגם במסגרת העבודה.</w:t>
      </w:r>
      <w:r w:rsidR="00640BF4" w:rsidRPr="0004711E">
        <w:rPr>
          <w:rFonts w:eastAsia="Times New Roman" w:cs="David" w:hint="cs"/>
          <w:color w:val="111111"/>
          <w:sz w:val="28"/>
          <w:szCs w:val="28"/>
          <w:rtl/>
        </w:rPr>
        <w:t xml:space="preserve"> כך גם לא תעסוק עבודה זו במיזמים אזרחיים נטולי מעמד משפטי כגון "טריבונאל ראסל על פלסטין" (</w:t>
      </w:r>
      <w:r w:rsidR="00640BF4" w:rsidRPr="0004711E">
        <w:rPr>
          <w:rFonts w:eastAsia="Times New Roman" w:cs="David"/>
          <w:color w:val="111111"/>
          <w:sz w:val="28"/>
          <w:szCs w:val="28"/>
        </w:rPr>
        <w:t>Russell Tribunal on Palestine</w:t>
      </w:r>
      <w:r w:rsidR="00640BF4" w:rsidRPr="0004711E">
        <w:rPr>
          <w:rFonts w:eastAsia="Times New Roman" w:cs="David" w:hint="cs"/>
          <w:color w:val="111111"/>
          <w:sz w:val="28"/>
          <w:szCs w:val="28"/>
          <w:rtl/>
        </w:rPr>
        <w:t>)</w:t>
      </w:r>
      <w:bookmarkStart w:id="3" w:name="_Ref449967192"/>
      <w:r w:rsidR="00640BF4" w:rsidRPr="0004711E">
        <w:rPr>
          <w:rStyle w:val="a7"/>
          <w:rFonts w:eastAsia="Times New Roman" w:cs="David"/>
          <w:color w:val="111111"/>
          <w:sz w:val="28"/>
          <w:szCs w:val="28"/>
          <w:rtl/>
        </w:rPr>
        <w:footnoteReference w:id="17"/>
      </w:r>
      <w:bookmarkEnd w:id="3"/>
      <w:r w:rsidR="00640BF4" w:rsidRPr="0004711E">
        <w:rPr>
          <w:rFonts w:eastAsia="Times New Roman" w:cs="David" w:hint="cs"/>
          <w:color w:val="111111"/>
          <w:sz w:val="28"/>
          <w:szCs w:val="28"/>
          <w:rtl/>
        </w:rPr>
        <w:t>, שמדינת ישראל הוזמנה ליטול בו חלק ולא נענתה להזמנה</w:t>
      </w:r>
      <w:r w:rsidR="00D41FCD" w:rsidRPr="0004711E">
        <w:rPr>
          <w:rStyle w:val="a7"/>
          <w:rFonts w:eastAsia="Times New Roman" w:cs="David"/>
          <w:color w:val="111111"/>
          <w:sz w:val="28"/>
          <w:szCs w:val="28"/>
          <w:rtl/>
        </w:rPr>
        <w:footnoteReference w:id="18"/>
      </w:r>
      <w:r w:rsidR="00640BF4" w:rsidRPr="0004711E">
        <w:rPr>
          <w:rFonts w:eastAsia="Times New Roman" w:cs="David" w:hint="cs"/>
          <w:color w:val="111111"/>
          <w:sz w:val="28"/>
          <w:szCs w:val="28"/>
          <w:rtl/>
        </w:rPr>
        <w:t>.</w:t>
      </w:r>
    </w:p>
    <w:p w:rsidR="00A3718C" w:rsidRDefault="00A3718C" w:rsidP="00521ED6">
      <w:pPr>
        <w:spacing w:after="0" w:line="360" w:lineRule="auto"/>
        <w:jc w:val="both"/>
        <w:rPr>
          <w:rFonts w:eastAsia="Times New Roman" w:cs="David"/>
          <w:color w:val="111111"/>
          <w:sz w:val="28"/>
          <w:szCs w:val="28"/>
          <w:rtl/>
        </w:rPr>
      </w:pPr>
    </w:p>
    <w:p w:rsidR="00A3718C" w:rsidRDefault="009F6ED1" w:rsidP="005C71F7">
      <w:pPr>
        <w:spacing w:after="0" w:line="360" w:lineRule="auto"/>
        <w:jc w:val="both"/>
        <w:rPr>
          <w:rFonts w:eastAsia="Times New Roman" w:cs="David"/>
          <w:color w:val="111111"/>
          <w:sz w:val="28"/>
          <w:szCs w:val="28"/>
          <w:rtl/>
        </w:rPr>
      </w:pPr>
      <w:r>
        <w:rPr>
          <w:rFonts w:eastAsia="Times New Roman" w:cs="David" w:hint="cs"/>
          <w:color w:val="111111"/>
          <w:sz w:val="28"/>
          <w:szCs w:val="28"/>
          <w:rtl/>
        </w:rPr>
        <w:t xml:space="preserve">כמו כן, לאחר התלבטות מסוימת, הוחלט שלא להכליל במסגרת העבודה גופים בינלאומיים נוספים שלגביהם מתעוררת לעיתים שאלת שיתוף הפעולה מצדה של ישראל, כגון </w:t>
      </w:r>
      <w:r w:rsidR="00A3718C" w:rsidRPr="0004711E">
        <w:rPr>
          <w:rFonts w:eastAsia="Times New Roman" w:cs="David" w:hint="cs"/>
          <w:color w:val="111111"/>
          <w:sz w:val="28"/>
          <w:szCs w:val="28"/>
          <w:rtl/>
        </w:rPr>
        <w:t>גופי אמנות זכויות אדם</w:t>
      </w:r>
      <w:r>
        <w:rPr>
          <w:rFonts w:eastAsia="Times New Roman" w:cs="David" w:hint="cs"/>
          <w:color w:val="111111"/>
          <w:sz w:val="28"/>
          <w:szCs w:val="28"/>
          <w:rtl/>
        </w:rPr>
        <w:t>;</w:t>
      </w:r>
      <w:r w:rsidR="00A3718C" w:rsidRPr="0004711E">
        <w:rPr>
          <w:rFonts w:eastAsia="Times New Roman" w:cs="David" w:hint="cs"/>
          <w:color w:val="111111"/>
          <w:sz w:val="28"/>
          <w:szCs w:val="28"/>
          <w:rtl/>
        </w:rPr>
        <w:t xml:space="preserve"> </w:t>
      </w:r>
      <w:r w:rsidR="0074404A">
        <w:rPr>
          <w:rFonts w:eastAsia="Times New Roman" w:cs="David" w:hint="cs"/>
          <w:color w:val="111111"/>
          <w:sz w:val="28"/>
          <w:szCs w:val="28"/>
          <w:rtl/>
        </w:rPr>
        <w:t>ועדה</w:t>
      </w:r>
      <w:r>
        <w:rPr>
          <w:rFonts w:eastAsia="Times New Roman" w:cs="David" w:hint="cs"/>
          <w:color w:val="111111"/>
          <w:sz w:val="28"/>
          <w:szCs w:val="28"/>
          <w:rtl/>
        </w:rPr>
        <w:t xml:space="preserve"> הביקורת העתית </w:t>
      </w:r>
      <w:r>
        <w:rPr>
          <w:rFonts w:eastAsia="Times New Roman" w:cs="David" w:hint="eastAsia"/>
          <w:color w:val="111111"/>
          <w:sz w:val="28"/>
          <w:szCs w:val="28"/>
          <w:rtl/>
        </w:rPr>
        <w:t>האוניברסאלית</w:t>
      </w:r>
      <w:r>
        <w:rPr>
          <w:rFonts w:eastAsia="Times New Roman" w:cs="David" w:hint="cs"/>
          <w:color w:val="111111"/>
          <w:sz w:val="28"/>
          <w:szCs w:val="28"/>
          <w:rtl/>
        </w:rPr>
        <w:t xml:space="preserve"> (</w:t>
      </w:r>
      <w:r>
        <w:rPr>
          <w:rFonts w:eastAsia="Times New Roman" w:cs="David" w:hint="cs"/>
          <w:color w:val="111111"/>
          <w:sz w:val="28"/>
          <w:szCs w:val="28"/>
        </w:rPr>
        <w:t>UPR</w:t>
      </w:r>
      <w:r>
        <w:rPr>
          <w:rFonts w:eastAsia="Times New Roman" w:cs="David" w:hint="cs"/>
          <w:color w:val="111111"/>
          <w:sz w:val="28"/>
          <w:szCs w:val="28"/>
          <w:rtl/>
        </w:rPr>
        <w:t xml:space="preserve">) של מועצת זכויות האדם; </w:t>
      </w:r>
      <w:r w:rsidR="00A3718C" w:rsidRPr="0004711E">
        <w:rPr>
          <w:rFonts w:eastAsia="Times New Roman" w:cs="David" w:hint="cs"/>
          <w:color w:val="111111"/>
          <w:sz w:val="28"/>
          <w:szCs w:val="28"/>
          <w:rtl/>
        </w:rPr>
        <w:t xml:space="preserve">דווחים </w:t>
      </w:r>
      <w:r>
        <w:rPr>
          <w:rFonts w:eastAsia="Times New Roman" w:cs="David" w:hint="cs"/>
          <w:color w:val="111111"/>
          <w:sz w:val="28"/>
          <w:szCs w:val="28"/>
          <w:rtl/>
        </w:rPr>
        <w:t>מיוחדים</w:t>
      </w:r>
      <w:r w:rsidR="00A3718C">
        <w:rPr>
          <w:rFonts w:eastAsia="Times New Roman" w:cs="David" w:hint="cs"/>
          <w:color w:val="111111"/>
          <w:sz w:val="28"/>
          <w:szCs w:val="28"/>
          <w:rtl/>
        </w:rPr>
        <w:t>,</w:t>
      </w:r>
      <w:r w:rsidR="00A3718C" w:rsidRPr="0004711E">
        <w:rPr>
          <w:rFonts w:eastAsia="Times New Roman" w:cs="David" w:hint="cs"/>
          <w:color w:val="111111"/>
          <w:sz w:val="28"/>
          <w:szCs w:val="28"/>
          <w:rtl/>
        </w:rPr>
        <w:t xml:space="preserve"> הפועלים מטעם מועצת זכויות האדם</w:t>
      </w:r>
      <w:r>
        <w:rPr>
          <w:rFonts w:eastAsia="Times New Roman" w:cs="David" w:hint="cs"/>
          <w:color w:val="111111"/>
          <w:sz w:val="28"/>
          <w:szCs w:val="28"/>
          <w:rtl/>
        </w:rPr>
        <w:t xml:space="preserve">; </w:t>
      </w:r>
      <w:r w:rsidR="00A3718C" w:rsidRPr="0004711E">
        <w:rPr>
          <w:rFonts w:eastAsia="Times New Roman" w:cs="David" w:hint="cs"/>
          <w:color w:val="111111"/>
          <w:sz w:val="28"/>
          <w:szCs w:val="28"/>
          <w:rtl/>
        </w:rPr>
        <w:t>בית הדין הבינלאומי לצדק (</w:t>
      </w:r>
      <w:r w:rsidR="00A3718C" w:rsidRPr="0004711E">
        <w:rPr>
          <w:rFonts w:eastAsia="Times New Roman" w:cs="David"/>
          <w:color w:val="111111"/>
          <w:sz w:val="28"/>
          <w:szCs w:val="28"/>
        </w:rPr>
        <w:t>The International Court of Justice</w:t>
      </w:r>
      <w:r w:rsidR="00A3718C" w:rsidRPr="0004711E">
        <w:rPr>
          <w:rFonts w:eastAsia="Times New Roman" w:cs="David" w:hint="cs"/>
          <w:color w:val="111111"/>
          <w:sz w:val="28"/>
          <w:szCs w:val="28"/>
          <w:rtl/>
        </w:rPr>
        <w:t>)</w:t>
      </w:r>
      <w:r>
        <w:rPr>
          <w:rFonts w:eastAsia="Times New Roman" w:cs="David" w:hint="cs"/>
          <w:color w:val="111111"/>
          <w:sz w:val="28"/>
          <w:szCs w:val="28"/>
          <w:rtl/>
        </w:rPr>
        <w:t>;</w:t>
      </w:r>
      <w:r w:rsidR="00A3718C" w:rsidRPr="0004711E">
        <w:rPr>
          <w:rFonts w:eastAsia="Times New Roman" w:cs="David" w:hint="cs"/>
          <w:color w:val="111111"/>
          <w:sz w:val="28"/>
          <w:szCs w:val="28"/>
          <w:rtl/>
        </w:rPr>
        <w:t xml:space="preserve"> בית הדין הפלילי הבינלאומי (</w:t>
      </w:r>
      <w:r w:rsidR="00A3718C" w:rsidRPr="0004711E">
        <w:rPr>
          <w:rFonts w:eastAsia="Times New Roman" w:cs="David"/>
          <w:color w:val="111111"/>
          <w:sz w:val="28"/>
          <w:szCs w:val="28"/>
        </w:rPr>
        <w:t>The International Criminal Court</w:t>
      </w:r>
      <w:r w:rsidR="00A3718C" w:rsidRPr="0004711E">
        <w:rPr>
          <w:rFonts w:eastAsia="Times New Roman" w:cs="David" w:hint="cs"/>
          <w:color w:val="111111"/>
          <w:sz w:val="28"/>
          <w:szCs w:val="28"/>
          <w:rtl/>
        </w:rPr>
        <w:t xml:space="preserve">). </w:t>
      </w:r>
      <w:r>
        <w:rPr>
          <w:rFonts w:eastAsia="Times New Roman" w:cs="David" w:hint="cs"/>
          <w:color w:val="111111"/>
          <w:sz w:val="28"/>
          <w:szCs w:val="28"/>
          <w:rtl/>
        </w:rPr>
        <w:t xml:space="preserve">ההחלטה שלא להכליל גופים אלה במסגרת העבודה נבעה מהשוני </w:t>
      </w:r>
      <w:r>
        <w:rPr>
          <w:rFonts w:eastAsia="Times New Roman" w:cs="David"/>
          <w:color w:val="111111"/>
          <w:sz w:val="28"/>
          <w:szCs w:val="28"/>
          <w:rtl/>
        </w:rPr>
        <w:t>–</w:t>
      </w:r>
      <w:r>
        <w:rPr>
          <w:rFonts w:eastAsia="Times New Roman" w:cs="David" w:hint="cs"/>
          <w:color w:val="111111"/>
          <w:sz w:val="28"/>
          <w:szCs w:val="28"/>
          <w:rtl/>
        </w:rPr>
        <w:t xml:space="preserve"> לעיתים המשמעותי </w:t>
      </w:r>
      <w:r>
        <w:rPr>
          <w:rFonts w:eastAsia="Times New Roman" w:cs="David"/>
          <w:color w:val="111111"/>
          <w:sz w:val="28"/>
          <w:szCs w:val="28"/>
          <w:rtl/>
        </w:rPr>
        <w:t>–</w:t>
      </w:r>
      <w:r>
        <w:rPr>
          <w:rFonts w:eastAsia="Times New Roman" w:cs="David" w:hint="cs"/>
          <w:color w:val="111111"/>
          <w:sz w:val="28"/>
          <w:szCs w:val="28"/>
          <w:rtl/>
        </w:rPr>
        <w:t xml:space="preserve"> באופיים</w:t>
      </w:r>
      <w:r w:rsidR="005C71F7">
        <w:rPr>
          <w:rFonts w:eastAsia="Times New Roman" w:cs="David" w:hint="cs"/>
          <w:color w:val="111111"/>
          <w:sz w:val="28"/>
          <w:szCs w:val="28"/>
          <w:rtl/>
        </w:rPr>
        <w:t>,</w:t>
      </w:r>
      <w:r>
        <w:rPr>
          <w:rFonts w:eastAsia="Times New Roman" w:cs="David" w:hint="cs"/>
          <w:color w:val="111111"/>
          <w:sz w:val="28"/>
          <w:szCs w:val="28"/>
          <w:rtl/>
        </w:rPr>
        <w:t xml:space="preserve"> לעומת אופיין של ועדות החקירה, ונועדה למקד את העבודה ככל הניתן.</w:t>
      </w:r>
      <w:r w:rsidR="005C71F7">
        <w:rPr>
          <w:rFonts w:eastAsia="Times New Roman" w:cs="David" w:hint="cs"/>
          <w:color w:val="111111"/>
          <w:sz w:val="28"/>
          <w:szCs w:val="28"/>
          <w:rtl/>
        </w:rPr>
        <w:t xml:space="preserve"> השוני בין ועדות החקירה הבינלאומיות ליתר המנגנונים הנזכרים לעיל יכול לנבוע ממקורות שונים. </w:t>
      </w:r>
      <w:r w:rsidR="005C71F7">
        <w:rPr>
          <w:rFonts w:eastAsia="Times New Roman" w:cs="David" w:hint="cs"/>
          <w:color w:val="111111"/>
          <w:sz w:val="28"/>
          <w:szCs w:val="28"/>
          <w:rtl/>
        </w:rPr>
        <w:lastRenderedPageBreak/>
        <w:t xml:space="preserve">כך, לדוגמה, מדווחת מדינת ישראל לגופי אמנות זכויות אדם מכוח מחויבותה לאמנות זכויות האדם שעליהן היא חתומה; מנגד, כפי שנראה, אין מחויבות דומה לשתף פעולה עם ועדות חקירה </w:t>
      </w:r>
      <w:r w:rsidR="005C71F7">
        <w:rPr>
          <w:rFonts w:eastAsia="Times New Roman" w:cs="David" w:hint="eastAsia"/>
          <w:color w:val="111111"/>
          <w:sz w:val="28"/>
          <w:szCs w:val="28"/>
          <w:rtl/>
        </w:rPr>
        <w:t>בינלאומיות</w:t>
      </w:r>
      <w:r w:rsidR="005C71F7">
        <w:rPr>
          <w:rFonts w:eastAsia="Times New Roman" w:cs="David" w:hint="cs"/>
          <w:color w:val="111111"/>
          <w:sz w:val="28"/>
          <w:szCs w:val="28"/>
          <w:rtl/>
        </w:rPr>
        <w:t>. כדוגמה אחרת ניתן להזכיר את בית הדין הפלילי הבינלאומי, שאוחז בסמכויות חקירה ומעצר הניתנות לאכיפה  בינלאומית מכוח אמנת רומא, בעוד שלוועדות חקירה בינלאומיות אין סמכויות מעין אלה. כמו כן, תהליך קבלת ההחלטות בבית הדין מו</w:t>
      </w:r>
      <w:r w:rsidR="009D35F6">
        <w:rPr>
          <w:rFonts w:eastAsia="Times New Roman" w:cs="David" w:hint="cs"/>
          <w:color w:val="111111"/>
          <w:sz w:val="28"/>
          <w:szCs w:val="28"/>
          <w:rtl/>
        </w:rPr>
        <w:t>ּ</w:t>
      </w:r>
      <w:r w:rsidR="005C71F7">
        <w:rPr>
          <w:rFonts w:eastAsia="Times New Roman" w:cs="David" w:hint="cs"/>
          <w:color w:val="111111"/>
          <w:sz w:val="28"/>
          <w:szCs w:val="28"/>
          <w:rtl/>
        </w:rPr>
        <w:t>נ</w:t>
      </w:r>
      <w:r w:rsidR="009D35F6">
        <w:rPr>
          <w:rFonts w:eastAsia="Times New Roman" w:cs="David" w:hint="cs"/>
          <w:color w:val="111111"/>
          <w:sz w:val="28"/>
          <w:szCs w:val="28"/>
          <w:rtl/>
        </w:rPr>
        <w:t>ָ</w:t>
      </w:r>
      <w:r w:rsidR="005C71F7">
        <w:rPr>
          <w:rFonts w:eastAsia="Times New Roman" w:cs="David" w:hint="cs"/>
          <w:color w:val="111111"/>
          <w:sz w:val="28"/>
          <w:szCs w:val="28"/>
          <w:rtl/>
        </w:rPr>
        <w:t>ע בדרך כלל משיקולים משפטיים מקצועיים, בעוד שהכוח המניע מאחורי ועדות חקירה בינלאומיות הוא לא אחת פוליטי, כפי שתדגים עבודה זו.</w:t>
      </w:r>
    </w:p>
    <w:p w:rsidR="005C71F7" w:rsidRDefault="005C71F7" w:rsidP="005C71F7">
      <w:pPr>
        <w:spacing w:after="0" w:line="360" w:lineRule="auto"/>
        <w:jc w:val="both"/>
        <w:rPr>
          <w:rFonts w:eastAsia="Times New Roman" w:cs="David"/>
          <w:color w:val="111111"/>
          <w:sz w:val="28"/>
          <w:szCs w:val="28"/>
          <w:rtl/>
        </w:rPr>
      </w:pPr>
    </w:p>
    <w:p w:rsidR="005C71F7" w:rsidRPr="0004711E" w:rsidRDefault="005C71F7" w:rsidP="009D35F6">
      <w:pPr>
        <w:spacing w:after="0" w:line="360" w:lineRule="auto"/>
        <w:jc w:val="both"/>
        <w:rPr>
          <w:rFonts w:eastAsia="Times New Roman" w:cs="David"/>
          <w:color w:val="111111"/>
          <w:sz w:val="28"/>
          <w:szCs w:val="28"/>
          <w:rtl/>
        </w:rPr>
      </w:pPr>
      <w:r>
        <w:rPr>
          <w:rFonts w:eastAsia="Times New Roman" w:cs="David" w:hint="cs"/>
          <w:color w:val="111111"/>
          <w:sz w:val="28"/>
          <w:szCs w:val="28"/>
          <w:rtl/>
        </w:rPr>
        <w:t xml:space="preserve">חרף השוני בין ועדות החקירה הבינלאומיות ליתר המנגנונים, דומה שניתן ללמוד מהמסקנות שתציג עבודה זו לגבי שאלת שיתוף הפעולה עם ועדות החקירה הבינלאומיות גם לגבי שיתוף הפעולה עם יתר </w:t>
      </w:r>
      <w:r>
        <w:rPr>
          <w:rFonts w:eastAsia="Times New Roman" w:cs="David" w:hint="eastAsia"/>
          <w:color w:val="111111"/>
          <w:sz w:val="28"/>
          <w:szCs w:val="28"/>
          <w:rtl/>
        </w:rPr>
        <w:t>המנגנוני</w:t>
      </w:r>
      <w:r>
        <w:rPr>
          <w:rFonts w:eastAsia="Times New Roman" w:cs="David" w:hint="cs"/>
          <w:color w:val="111111"/>
          <w:sz w:val="28"/>
          <w:szCs w:val="28"/>
          <w:rtl/>
        </w:rPr>
        <w:t xml:space="preserve">ם </w:t>
      </w:r>
      <w:r>
        <w:rPr>
          <w:rFonts w:eastAsia="Times New Roman" w:cs="David" w:hint="eastAsia"/>
          <w:color w:val="111111"/>
          <w:sz w:val="28"/>
          <w:szCs w:val="28"/>
          <w:rtl/>
        </w:rPr>
        <w:t>הבינלאומיים</w:t>
      </w:r>
      <w:r>
        <w:rPr>
          <w:rFonts w:eastAsia="Times New Roman" w:cs="David" w:hint="cs"/>
          <w:color w:val="111111"/>
          <w:sz w:val="28"/>
          <w:szCs w:val="28"/>
          <w:rtl/>
        </w:rPr>
        <w:t xml:space="preserve">. כך, </w:t>
      </w:r>
      <w:r w:rsidR="009D35F6">
        <w:rPr>
          <w:rFonts w:eastAsia="Times New Roman" w:cs="David" w:hint="cs"/>
          <w:color w:val="111111"/>
          <w:sz w:val="28"/>
          <w:szCs w:val="28"/>
          <w:rtl/>
        </w:rPr>
        <w:t xml:space="preserve">כוחם של </w:t>
      </w:r>
      <w:r>
        <w:rPr>
          <w:rFonts w:eastAsia="Times New Roman" w:cs="David" w:hint="cs"/>
          <w:color w:val="111111"/>
          <w:sz w:val="28"/>
          <w:szCs w:val="28"/>
          <w:rtl/>
        </w:rPr>
        <w:t>חלק גדול מהשיקולים הרחבים שיוצגו להלן</w:t>
      </w:r>
      <w:r w:rsidR="009D35F6">
        <w:rPr>
          <w:rFonts w:eastAsia="Times New Roman" w:cs="David" w:hint="cs"/>
          <w:color w:val="111111"/>
          <w:sz w:val="28"/>
          <w:szCs w:val="28"/>
          <w:rtl/>
        </w:rPr>
        <w:t xml:space="preserve"> באשר לשאלת שיתוף הפעולה עם ועדות החקירה יפה גם ביחס למנגנונים בינלאומיים נוספים; וגם חלק מהשיקולים הפרטניים שיוצגו הוא בעל משקל בשאלת שיתוף הפעולה עם המנגנונים הללו, בשינויים המחויבים. לפיכך, ניתן יהיה להשתמש בעבודה זו גם לצורך בחינת שיתוף הפעולה עם מנגנוני בדיקה בינלאומיים אחרים, או לכל </w:t>
      </w:r>
      <w:r w:rsidR="009D35F6">
        <w:rPr>
          <w:rFonts w:eastAsia="Times New Roman" w:cs="David" w:hint="eastAsia"/>
          <w:color w:val="111111"/>
          <w:sz w:val="28"/>
          <w:szCs w:val="28"/>
          <w:rtl/>
        </w:rPr>
        <w:t xml:space="preserve">הפחות </w:t>
      </w:r>
      <w:r w:rsidR="009D35F6">
        <w:rPr>
          <w:rFonts w:eastAsia="Times New Roman" w:cs="David" w:hint="cs"/>
          <w:color w:val="111111"/>
          <w:sz w:val="28"/>
          <w:szCs w:val="28"/>
          <w:rtl/>
        </w:rPr>
        <w:t>לשם מיפוי השיקולים הרלוונטיים וקבלת כיווני חשיבה התחלתיים לגביהם.</w:t>
      </w:r>
    </w:p>
    <w:p w:rsidR="00A3718C" w:rsidRPr="0004711E" w:rsidRDefault="00A3718C" w:rsidP="00A3718C">
      <w:pPr>
        <w:spacing w:after="0" w:line="360" w:lineRule="auto"/>
        <w:jc w:val="both"/>
        <w:rPr>
          <w:rFonts w:eastAsia="Times New Roman" w:cs="David"/>
          <w:color w:val="111111"/>
          <w:sz w:val="28"/>
          <w:szCs w:val="28"/>
          <w:rtl/>
        </w:rPr>
      </w:pPr>
    </w:p>
    <w:p w:rsidR="00D1249D" w:rsidRPr="0004711E" w:rsidRDefault="00D1249D" w:rsidP="0074404A">
      <w:pPr>
        <w:spacing w:after="0" w:line="360" w:lineRule="auto"/>
        <w:jc w:val="both"/>
        <w:rPr>
          <w:rFonts w:eastAsia="Times New Roman" w:cs="David"/>
          <w:color w:val="111111"/>
          <w:sz w:val="28"/>
          <w:szCs w:val="28"/>
          <w:rtl/>
        </w:rPr>
      </w:pPr>
      <w:r w:rsidRPr="0004711E">
        <w:rPr>
          <w:rFonts w:eastAsia="Times New Roman" w:cs="David" w:hint="cs"/>
          <w:color w:val="111111"/>
          <w:sz w:val="28"/>
          <w:szCs w:val="28"/>
          <w:rtl/>
        </w:rPr>
        <w:t>עוד יש לומר, כי מדינת ישראל מ</w:t>
      </w:r>
      <w:r w:rsidR="0081674D" w:rsidRPr="0004711E">
        <w:rPr>
          <w:rFonts w:eastAsia="Times New Roman" w:cs="David" w:hint="cs"/>
          <w:color w:val="111111"/>
          <w:sz w:val="28"/>
          <w:szCs w:val="28"/>
          <w:rtl/>
        </w:rPr>
        <w:t xml:space="preserve">נהלת מגעים ומשתפת פעולה עם עשרות רבות של </w:t>
      </w:r>
      <w:r w:rsidR="009C039C">
        <w:rPr>
          <w:rFonts w:eastAsia="Times New Roman" w:cs="David" w:hint="cs"/>
          <w:color w:val="111111"/>
          <w:sz w:val="28"/>
          <w:szCs w:val="28"/>
          <w:rtl/>
        </w:rPr>
        <w:t>ועדות חקירה בינלאומיות</w:t>
      </w:r>
      <w:r w:rsidR="0081674D" w:rsidRPr="0004711E">
        <w:rPr>
          <w:rFonts w:eastAsia="Times New Roman" w:cs="David" w:hint="cs"/>
          <w:color w:val="111111"/>
          <w:sz w:val="28"/>
          <w:szCs w:val="28"/>
          <w:rtl/>
        </w:rPr>
        <w:t xml:space="preserve">, בהקשרים רבים ומגוונים. עבודה זו לא תבחן את שאלת שיתוף הפעולה של ישראל ביחס לכלל </w:t>
      </w:r>
      <w:r w:rsidR="0074404A">
        <w:rPr>
          <w:rFonts w:eastAsia="Times New Roman" w:cs="David" w:hint="cs"/>
          <w:color w:val="111111"/>
          <w:sz w:val="28"/>
          <w:szCs w:val="28"/>
          <w:rtl/>
        </w:rPr>
        <w:t xml:space="preserve">הוועדות </w:t>
      </w:r>
      <w:r w:rsidR="0081674D" w:rsidRPr="0004711E">
        <w:rPr>
          <w:rFonts w:eastAsia="Times New Roman" w:cs="David" w:hint="cs"/>
          <w:color w:val="111111"/>
          <w:sz w:val="28"/>
          <w:szCs w:val="28"/>
          <w:rtl/>
        </w:rPr>
        <w:t>האמור</w:t>
      </w:r>
      <w:r w:rsidR="0074404A">
        <w:rPr>
          <w:rFonts w:eastAsia="Times New Roman" w:cs="David" w:hint="cs"/>
          <w:color w:val="111111"/>
          <w:sz w:val="28"/>
          <w:szCs w:val="28"/>
          <w:rtl/>
        </w:rPr>
        <w:t>ות</w:t>
      </w:r>
      <w:r w:rsidR="0081674D" w:rsidRPr="0004711E">
        <w:rPr>
          <w:rFonts w:eastAsia="Times New Roman" w:cs="David" w:hint="cs"/>
          <w:color w:val="111111"/>
          <w:sz w:val="28"/>
          <w:szCs w:val="28"/>
          <w:rtl/>
        </w:rPr>
        <w:t xml:space="preserve"> ותתמקד, למעט חריגים ספורים, רק </w:t>
      </w:r>
      <w:r w:rsidR="0074404A" w:rsidRPr="0004711E">
        <w:rPr>
          <w:rFonts w:eastAsia="Times New Roman" w:cs="David" w:hint="cs"/>
          <w:color w:val="111111"/>
          <w:sz w:val="28"/>
          <w:szCs w:val="28"/>
          <w:rtl/>
        </w:rPr>
        <w:t>ב</w:t>
      </w:r>
      <w:r w:rsidR="0074404A">
        <w:rPr>
          <w:rFonts w:eastAsia="Times New Roman" w:cs="David" w:hint="cs"/>
          <w:color w:val="111111"/>
          <w:sz w:val="28"/>
          <w:szCs w:val="28"/>
          <w:rtl/>
        </w:rPr>
        <w:t xml:space="preserve">וועדות </w:t>
      </w:r>
      <w:r w:rsidR="0081674D" w:rsidRPr="0004711E">
        <w:rPr>
          <w:rFonts w:eastAsia="Times New Roman" w:cs="David" w:hint="cs"/>
          <w:color w:val="111111"/>
          <w:sz w:val="28"/>
          <w:szCs w:val="28"/>
          <w:rtl/>
        </w:rPr>
        <w:t>הבוחנ</w:t>
      </w:r>
      <w:r w:rsidR="0074404A">
        <w:rPr>
          <w:rFonts w:eastAsia="Times New Roman" w:cs="David" w:hint="cs"/>
          <w:color w:val="111111"/>
          <w:sz w:val="28"/>
          <w:szCs w:val="28"/>
          <w:rtl/>
        </w:rPr>
        <w:t xml:space="preserve">ות, </w:t>
      </w:r>
      <w:r w:rsidR="0081674D" w:rsidRPr="0004711E">
        <w:rPr>
          <w:rFonts w:eastAsia="Times New Roman" w:cs="David" w:hint="cs"/>
          <w:color w:val="111111"/>
          <w:sz w:val="28"/>
          <w:szCs w:val="28"/>
          <w:rtl/>
        </w:rPr>
        <w:t>את פעילותו של צה"ל</w:t>
      </w:r>
      <w:r w:rsidR="0074404A">
        <w:rPr>
          <w:rFonts w:eastAsia="Times New Roman" w:cs="David" w:hint="cs"/>
          <w:color w:val="111111"/>
          <w:sz w:val="28"/>
          <w:szCs w:val="28"/>
          <w:rtl/>
        </w:rPr>
        <w:t>, אם במוקד בחינתן ואם בשוליה</w:t>
      </w:r>
      <w:r w:rsidR="0081674D" w:rsidRPr="0004711E">
        <w:rPr>
          <w:rFonts w:eastAsia="Times New Roman" w:cs="David" w:hint="cs"/>
          <w:color w:val="111111"/>
          <w:sz w:val="28"/>
          <w:szCs w:val="28"/>
          <w:rtl/>
        </w:rPr>
        <w:t xml:space="preserve">. </w:t>
      </w:r>
    </w:p>
    <w:p w:rsidR="0081674D" w:rsidRPr="0004711E" w:rsidRDefault="0081674D" w:rsidP="008B316C">
      <w:pPr>
        <w:spacing w:after="0" w:line="360" w:lineRule="auto"/>
        <w:jc w:val="both"/>
        <w:rPr>
          <w:rFonts w:eastAsia="Times New Roman" w:cs="David"/>
          <w:color w:val="111111"/>
          <w:sz w:val="28"/>
          <w:szCs w:val="28"/>
          <w:rtl/>
        </w:rPr>
      </w:pPr>
    </w:p>
    <w:p w:rsidR="0081674D" w:rsidRDefault="0081674D" w:rsidP="008B316C">
      <w:pPr>
        <w:spacing w:after="0" w:line="360" w:lineRule="auto"/>
        <w:jc w:val="both"/>
        <w:rPr>
          <w:rFonts w:eastAsia="Times New Roman" w:cs="David"/>
          <w:color w:val="111111"/>
          <w:sz w:val="28"/>
          <w:szCs w:val="28"/>
          <w:rtl/>
        </w:rPr>
      </w:pPr>
      <w:r w:rsidRPr="0004711E">
        <w:rPr>
          <w:rFonts w:eastAsia="Times New Roman" w:cs="David" w:hint="cs"/>
          <w:color w:val="111111"/>
          <w:sz w:val="28"/>
          <w:szCs w:val="28"/>
          <w:rtl/>
        </w:rPr>
        <w:t xml:space="preserve">בסופו של דבר, כפי שתדגים עבודה זו, קבלת החלטה בעניין רגיש זה </w:t>
      </w:r>
      <w:r w:rsidR="00DA0B54" w:rsidRPr="0004711E">
        <w:rPr>
          <w:rFonts w:eastAsia="Times New Roman" w:cs="David" w:hint="cs"/>
          <w:color w:val="111111"/>
          <w:sz w:val="28"/>
          <w:szCs w:val="28"/>
          <w:rtl/>
        </w:rPr>
        <w:t xml:space="preserve">כמעט אף פעם לא תתקבל ללא היסוס. קשה מאוד לקבוע שיקולים חותכים לכאן או לכאן, וכמעט כל מקרה יצטרך להיבחן לגופו. יחד עם זאת, העבודה תנסה לספק כלי עזר </w:t>
      </w:r>
      <w:r w:rsidR="00DA0B54" w:rsidRPr="0004711E">
        <w:rPr>
          <w:rFonts w:eastAsia="Times New Roman" w:cs="David"/>
          <w:color w:val="111111"/>
          <w:sz w:val="28"/>
          <w:szCs w:val="28"/>
          <w:rtl/>
        </w:rPr>
        <w:t>–</w:t>
      </w:r>
      <w:r w:rsidR="00DA0B54" w:rsidRPr="0004711E">
        <w:rPr>
          <w:rFonts w:eastAsia="Times New Roman" w:cs="David" w:hint="cs"/>
          <w:color w:val="111111"/>
          <w:sz w:val="28"/>
          <w:szCs w:val="28"/>
          <w:rtl/>
        </w:rPr>
        <w:t xml:space="preserve"> ולא נוסחה </w:t>
      </w:r>
      <w:r w:rsidR="00DA0B54" w:rsidRPr="0004711E">
        <w:rPr>
          <w:rFonts w:eastAsia="Times New Roman" w:cs="David"/>
          <w:color w:val="111111"/>
          <w:sz w:val="28"/>
          <w:szCs w:val="28"/>
          <w:rtl/>
        </w:rPr>
        <w:t>–</w:t>
      </w:r>
      <w:r w:rsidR="00DA0B54" w:rsidRPr="0004711E">
        <w:rPr>
          <w:rFonts w:eastAsia="Times New Roman" w:cs="David" w:hint="cs"/>
          <w:color w:val="111111"/>
          <w:sz w:val="28"/>
          <w:szCs w:val="28"/>
          <w:rtl/>
        </w:rPr>
        <w:t xml:space="preserve"> שיסייע בקבלת ההחלטה.</w:t>
      </w:r>
    </w:p>
    <w:p w:rsidR="00D54B8E" w:rsidRDefault="00D54B8E" w:rsidP="008B316C">
      <w:pPr>
        <w:spacing w:after="0" w:line="360" w:lineRule="auto"/>
        <w:jc w:val="both"/>
        <w:rPr>
          <w:rFonts w:eastAsia="Times New Roman" w:cs="David"/>
          <w:color w:val="111111"/>
          <w:sz w:val="28"/>
          <w:szCs w:val="28"/>
          <w:rtl/>
        </w:rPr>
      </w:pPr>
    </w:p>
    <w:p w:rsidR="00D54B8E" w:rsidRPr="0004711E" w:rsidRDefault="00D54B8E" w:rsidP="007A6140">
      <w:pPr>
        <w:spacing w:after="0" w:line="360" w:lineRule="auto"/>
        <w:jc w:val="both"/>
        <w:rPr>
          <w:rFonts w:eastAsia="Times New Roman" w:cs="David"/>
          <w:color w:val="111111"/>
          <w:sz w:val="28"/>
          <w:szCs w:val="28"/>
          <w:rtl/>
        </w:rPr>
      </w:pPr>
      <w:r>
        <w:rPr>
          <w:rFonts w:eastAsia="Times New Roman" w:cs="David" w:hint="cs"/>
          <w:color w:val="111111"/>
          <w:sz w:val="28"/>
          <w:szCs w:val="28"/>
          <w:rtl/>
        </w:rPr>
        <w:t xml:space="preserve">העבודה תחולק לכמה פרקים. הפרק הראשון יסקור את התפתחות פעילותן של </w:t>
      </w:r>
      <w:r w:rsidR="009F6ED1">
        <w:rPr>
          <w:rFonts w:eastAsia="Times New Roman" w:cs="David" w:hint="cs"/>
          <w:color w:val="111111"/>
          <w:sz w:val="28"/>
          <w:szCs w:val="28"/>
          <w:rtl/>
        </w:rPr>
        <w:t xml:space="preserve">ועדות חקירה </w:t>
      </w:r>
      <w:r>
        <w:rPr>
          <w:rFonts w:eastAsia="Times New Roman" w:cs="David" w:hint="cs"/>
          <w:color w:val="111111"/>
          <w:sz w:val="28"/>
          <w:szCs w:val="28"/>
          <w:rtl/>
        </w:rPr>
        <w:t xml:space="preserve">בינלאומיות. הפרק השני </w:t>
      </w:r>
      <w:r w:rsidR="007A6140">
        <w:rPr>
          <w:rFonts w:eastAsia="Times New Roman" w:cs="David" w:hint="cs"/>
          <w:color w:val="111111"/>
          <w:sz w:val="28"/>
          <w:szCs w:val="28"/>
          <w:rtl/>
        </w:rPr>
        <w:t xml:space="preserve">יעסוק במקומו המרכזי של המשפט הבינלאומי בעולם המדיני המודרני. הפרק השלישי </w:t>
      </w:r>
      <w:r>
        <w:rPr>
          <w:rFonts w:eastAsia="Times New Roman" w:cs="David" w:hint="cs"/>
          <w:color w:val="111111"/>
          <w:sz w:val="28"/>
          <w:szCs w:val="28"/>
          <w:rtl/>
        </w:rPr>
        <w:t>יבחן את השיקולים הרחבים</w:t>
      </w:r>
      <w:r w:rsidR="003E4188">
        <w:rPr>
          <w:rFonts w:eastAsia="Times New Roman" w:cs="David" w:hint="cs"/>
          <w:color w:val="111111"/>
          <w:sz w:val="28"/>
          <w:szCs w:val="28"/>
          <w:rtl/>
        </w:rPr>
        <w:t>-</w:t>
      </w:r>
      <w:r w:rsidR="003E4188">
        <w:rPr>
          <w:rFonts w:eastAsia="Times New Roman" w:cs="David" w:hint="cs"/>
          <w:color w:val="111111"/>
          <w:sz w:val="28"/>
          <w:szCs w:val="28"/>
          <w:rtl/>
        </w:rPr>
        <w:lastRenderedPageBreak/>
        <w:t>ה</w:t>
      </w:r>
      <w:r w:rsidR="00310D3D">
        <w:rPr>
          <w:rFonts w:eastAsia="Times New Roman" w:cs="David" w:hint="cs"/>
          <w:color w:val="111111"/>
          <w:sz w:val="28"/>
          <w:szCs w:val="28"/>
          <w:rtl/>
        </w:rPr>
        <w:t xml:space="preserve">גנריים </w:t>
      </w:r>
      <w:r>
        <w:rPr>
          <w:rFonts w:eastAsia="Times New Roman" w:cs="David" w:hint="cs"/>
          <w:color w:val="111111"/>
          <w:sz w:val="28"/>
          <w:szCs w:val="28"/>
          <w:rtl/>
        </w:rPr>
        <w:t xml:space="preserve">שצריכים להילקח בחשבון בעת קבלת החלטה על שיתוף פעולה עם </w:t>
      </w:r>
      <w:r w:rsidR="009F6ED1">
        <w:rPr>
          <w:rFonts w:eastAsia="Times New Roman" w:cs="David" w:hint="cs"/>
          <w:color w:val="111111"/>
          <w:sz w:val="28"/>
          <w:szCs w:val="28"/>
          <w:rtl/>
        </w:rPr>
        <w:t xml:space="preserve">ועדות חקירה </w:t>
      </w:r>
      <w:r w:rsidR="009C039C">
        <w:rPr>
          <w:rFonts w:eastAsia="Times New Roman" w:cs="David" w:hint="cs"/>
          <w:color w:val="111111"/>
          <w:sz w:val="28"/>
          <w:szCs w:val="28"/>
          <w:rtl/>
        </w:rPr>
        <w:t>בינלאומיות</w:t>
      </w:r>
      <w:r>
        <w:rPr>
          <w:rFonts w:eastAsia="Times New Roman" w:cs="David" w:hint="cs"/>
          <w:color w:val="111111"/>
          <w:sz w:val="28"/>
          <w:szCs w:val="28"/>
          <w:rtl/>
        </w:rPr>
        <w:t xml:space="preserve">, </w:t>
      </w:r>
      <w:r w:rsidR="003E4188">
        <w:rPr>
          <w:rFonts w:eastAsia="Times New Roman" w:cs="David" w:hint="cs"/>
          <w:color w:val="111111"/>
          <w:sz w:val="28"/>
          <w:szCs w:val="28"/>
          <w:rtl/>
        </w:rPr>
        <w:t>ו</w:t>
      </w:r>
      <w:r w:rsidR="00336B09">
        <w:rPr>
          <w:rFonts w:eastAsia="Times New Roman" w:cs="David" w:hint="cs"/>
          <w:color w:val="111111"/>
          <w:sz w:val="28"/>
          <w:szCs w:val="28"/>
          <w:rtl/>
        </w:rPr>
        <w:t xml:space="preserve">הפרק </w:t>
      </w:r>
      <w:r w:rsidR="007A6140">
        <w:rPr>
          <w:rFonts w:eastAsia="Times New Roman" w:cs="David" w:hint="cs"/>
          <w:color w:val="111111"/>
          <w:sz w:val="28"/>
          <w:szCs w:val="28"/>
          <w:rtl/>
        </w:rPr>
        <w:t xml:space="preserve">הרביעי </w:t>
      </w:r>
      <w:r w:rsidR="003E4188">
        <w:rPr>
          <w:rFonts w:eastAsia="Times New Roman" w:cs="David" w:hint="cs"/>
          <w:color w:val="111111"/>
          <w:sz w:val="28"/>
          <w:szCs w:val="28"/>
          <w:rtl/>
        </w:rPr>
        <w:t xml:space="preserve">יבחן שיקולים פרטניים שנוגעים לשאלת שיתוף הפעולה בהתאם לנסיבות הספציפיות הנוגעות לכל </w:t>
      </w:r>
      <w:r w:rsidR="0074404A">
        <w:rPr>
          <w:rFonts w:eastAsia="Times New Roman" w:cs="David" w:hint="cs"/>
          <w:color w:val="111111"/>
          <w:sz w:val="28"/>
          <w:szCs w:val="28"/>
          <w:rtl/>
        </w:rPr>
        <w:t>ועדה</w:t>
      </w:r>
      <w:r w:rsidR="003E4188">
        <w:rPr>
          <w:rFonts w:eastAsia="Times New Roman" w:cs="David" w:hint="cs"/>
          <w:color w:val="111111"/>
          <w:sz w:val="28"/>
          <w:szCs w:val="28"/>
          <w:rtl/>
        </w:rPr>
        <w:t xml:space="preserve">. </w:t>
      </w:r>
      <w:r w:rsidR="00336B09">
        <w:rPr>
          <w:rFonts w:eastAsia="Times New Roman" w:cs="David" w:hint="cs"/>
          <w:color w:val="111111"/>
          <w:sz w:val="28"/>
          <w:szCs w:val="28"/>
          <w:rtl/>
        </w:rPr>
        <w:t xml:space="preserve">הפרק </w:t>
      </w:r>
      <w:r w:rsidR="007A6140">
        <w:rPr>
          <w:rFonts w:eastAsia="Times New Roman" w:cs="David" w:hint="cs"/>
          <w:color w:val="111111"/>
          <w:sz w:val="28"/>
          <w:szCs w:val="28"/>
          <w:rtl/>
        </w:rPr>
        <w:t xml:space="preserve">החמישי </w:t>
      </w:r>
      <w:r w:rsidR="003E4188">
        <w:rPr>
          <w:rFonts w:eastAsia="Times New Roman" w:cs="David" w:hint="cs"/>
          <w:color w:val="111111"/>
          <w:sz w:val="28"/>
          <w:szCs w:val="28"/>
          <w:rtl/>
        </w:rPr>
        <w:t>יעסוק בצורך בהסדר</w:t>
      </w:r>
      <w:r w:rsidR="0074404A">
        <w:rPr>
          <w:rFonts w:eastAsia="Times New Roman" w:cs="David" w:hint="cs"/>
          <w:color w:val="111111"/>
          <w:sz w:val="28"/>
          <w:szCs w:val="28"/>
          <w:rtl/>
        </w:rPr>
        <w:t>ת כללי הפרוצדורה המחייבים בפעולתן</w:t>
      </w:r>
      <w:r w:rsidR="003E4188">
        <w:rPr>
          <w:rFonts w:eastAsia="Times New Roman" w:cs="David" w:hint="cs"/>
          <w:color w:val="111111"/>
          <w:sz w:val="28"/>
          <w:szCs w:val="28"/>
          <w:rtl/>
        </w:rPr>
        <w:t xml:space="preserve"> של </w:t>
      </w:r>
      <w:r w:rsidR="009C039C">
        <w:rPr>
          <w:rFonts w:eastAsia="Times New Roman" w:cs="David" w:hint="cs"/>
          <w:color w:val="111111"/>
          <w:sz w:val="28"/>
          <w:szCs w:val="28"/>
          <w:rtl/>
        </w:rPr>
        <w:t>ועדות החקירה</w:t>
      </w:r>
      <w:r w:rsidR="0074404A">
        <w:rPr>
          <w:rFonts w:eastAsia="Times New Roman" w:cs="David" w:hint="cs"/>
          <w:color w:val="111111"/>
          <w:sz w:val="28"/>
          <w:szCs w:val="28"/>
          <w:rtl/>
        </w:rPr>
        <w:t xml:space="preserve"> הבינלאומיות</w:t>
      </w:r>
      <w:r w:rsidR="003E4188">
        <w:rPr>
          <w:rFonts w:eastAsia="Times New Roman" w:cs="David" w:hint="cs"/>
          <w:color w:val="111111"/>
          <w:sz w:val="28"/>
          <w:szCs w:val="28"/>
          <w:rtl/>
        </w:rPr>
        <w:t xml:space="preserve">. </w:t>
      </w:r>
      <w:r w:rsidR="00336B09">
        <w:rPr>
          <w:rFonts w:eastAsia="Times New Roman" w:cs="David" w:hint="cs"/>
          <w:color w:val="111111"/>
          <w:sz w:val="28"/>
          <w:szCs w:val="28"/>
          <w:rtl/>
        </w:rPr>
        <w:t xml:space="preserve">הפרק </w:t>
      </w:r>
      <w:r w:rsidR="007A6140">
        <w:rPr>
          <w:rFonts w:eastAsia="Times New Roman" w:cs="David" w:hint="cs"/>
          <w:color w:val="111111"/>
          <w:sz w:val="28"/>
          <w:szCs w:val="28"/>
          <w:rtl/>
        </w:rPr>
        <w:t xml:space="preserve">השישי </w:t>
      </w:r>
      <w:r w:rsidR="003E4188">
        <w:rPr>
          <w:rFonts w:eastAsia="Times New Roman" w:cs="David" w:hint="cs"/>
          <w:color w:val="111111"/>
          <w:sz w:val="28"/>
          <w:szCs w:val="28"/>
          <w:rtl/>
        </w:rPr>
        <w:t xml:space="preserve">יציע מנעד אפשרויות לשיתוף פעולה עם </w:t>
      </w:r>
      <w:r w:rsidR="009F6ED1">
        <w:rPr>
          <w:rFonts w:eastAsia="Times New Roman" w:cs="David" w:hint="cs"/>
          <w:color w:val="111111"/>
          <w:sz w:val="28"/>
          <w:szCs w:val="28"/>
          <w:rtl/>
        </w:rPr>
        <w:t xml:space="preserve">ועדות חקירה </w:t>
      </w:r>
      <w:r w:rsidR="009C039C">
        <w:rPr>
          <w:rFonts w:eastAsia="Times New Roman" w:cs="David" w:hint="cs"/>
          <w:color w:val="111111"/>
          <w:sz w:val="28"/>
          <w:szCs w:val="28"/>
          <w:rtl/>
        </w:rPr>
        <w:t>בינלאומיות</w:t>
      </w:r>
      <w:r w:rsidR="003E4188">
        <w:rPr>
          <w:rFonts w:eastAsia="Times New Roman" w:cs="David" w:hint="cs"/>
          <w:color w:val="111111"/>
          <w:sz w:val="28"/>
          <w:szCs w:val="28"/>
          <w:rtl/>
        </w:rPr>
        <w:t>. בסיום העבודה יובאו סיכום והמלצות.</w:t>
      </w:r>
      <w:r w:rsidR="00336B09">
        <w:rPr>
          <w:rFonts w:eastAsia="Times New Roman" w:cs="David" w:hint="cs"/>
          <w:color w:val="111111"/>
          <w:sz w:val="28"/>
          <w:szCs w:val="28"/>
          <w:rtl/>
        </w:rPr>
        <w:t xml:space="preserve"> הנספח לעבודה יפרט את רשימת ועדות החקירה הבינלאומיות שחקרו פעילויות של צה"ל.</w:t>
      </w:r>
    </w:p>
    <w:p w:rsidR="00DA0B54" w:rsidRPr="0004711E" w:rsidRDefault="00DA0B54" w:rsidP="008B316C">
      <w:pPr>
        <w:bidi w:val="0"/>
        <w:spacing w:after="0" w:line="360" w:lineRule="auto"/>
        <w:rPr>
          <w:rFonts w:eastAsia="Times New Roman" w:cs="David"/>
          <w:color w:val="111111"/>
          <w:sz w:val="28"/>
          <w:szCs w:val="28"/>
        </w:rPr>
      </w:pPr>
      <w:r w:rsidRPr="0004711E">
        <w:rPr>
          <w:rFonts w:eastAsia="Times New Roman" w:cs="David"/>
          <w:color w:val="111111"/>
          <w:sz w:val="28"/>
          <w:szCs w:val="28"/>
          <w:rtl/>
        </w:rPr>
        <w:br w:type="page"/>
      </w:r>
    </w:p>
    <w:p w:rsidR="00DA0B54" w:rsidRPr="00A755AE" w:rsidRDefault="00D44503" w:rsidP="00A755AE">
      <w:pPr>
        <w:pStyle w:val="1"/>
        <w:bidi/>
        <w:rPr>
          <w:rFonts w:cs="David"/>
          <w:color w:val="111111"/>
          <w:sz w:val="32"/>
          <w:szCs w:val="32"/>
          <w:rtl/>
        </w:rPr>
      </w:pPr>
      <w:bookmarkStart w:id="4" w:name="_Toc456027296"/>
      <w:r w:rsidRPr="00A755AE">
        <w:rPr>
          <w:rFonts w:cs="David" w:hint="eastAsia"/>
          <w:color w:val="111111"/>
          <w:sz w:val="32"/>
          <w:szCs w:val="32"/>
          <w:rtl/>
        </w:rPr>
        <w:lastRenderedPageBreak/>
        <w:t>שיטת</w:t>
      </w:r>
      <w:r w:rsidRPr="00A755AE">
        <w:rPr>
          <w:rFonts w:cs="David"/>
          <w:color w:val="111111"/>
          <w:sz w:val="32"/>
          <w:szCs w:val="32"/>
          <w:rtl/>
        </w:rPr>
        <w:t xml:space="preserve"> </w:t>
      </w:r>
      <w:r w:rsidRPr="00A755AE">
        <w:rPr>
          <w:rFonts w:cs="David" w:hint="eastAsia"/>
          <w:color w:val="111111"/>
          <w:sz w:val="32"/>
          <w:szCs w:val="32"/>
          <w:rtl/>
        </w:rPr>
        <w:t>המחקר</w:t>
      </w:r>
      <w:bookmarkEnd w:id="4"/>
    </w:p>
    <w:p w:rsidR="00DA0B54" w:rsidRPr="0004711E" w:rsidRDefault="00DA0B54" w:rsidP="008B316C">
      <w:pPr>
        <w:spacing w:after="0" w:line="360" w:lineRule="auto"/>
        <w:jc w:val="both"/>
        <w:rPr>
          <w:rFonts w:eastAsia="Times New Roman" w:cs="David"/>
          <w:color w:val="111111"/>
          <w:sz w:val="28"/>
          <w:szCs w:val="28"/>
          <w:rtl/>
        </w:rPr>
      </w:pPr>
    </w:p>
    <w:p w:rsidR="00DA0B54" w:rsidRPr="0004711E" w:rsidRDefault="00DA0B54" w:rsidP="003E4188">
      <w:pPr>
        <w:spacing w:after="0" w:line="360" w:lineRule="auto"/>
        <w:jc w:val="both"/>
        <w:rPr>
          <w:rFonts w:cs="David"/>
          <w:sz w:val="28"/>
          <w:szCs w:val="28"/>
          <w:rtl/>
        </w:rPr>
      </w:pPr>
      <w:r w:rsidRPr="0004711E">
        <w:rPr>
          <w:rFonts w:cs="David" w:hint="cs"/>
          <w:sz w:val="28"/>
          <w:szCs w:val="28"/>
          <w:rtl/>
        </w:rPr>
        <w:t>למיטב הידיעה, ולאחר בירור מקיף</w:t>
      </w:r>
      <w:r w:rsidR="00756559">
        <w:rPr>
          <w:rFonts w:cs="David" w:hint="cs"/>
          <w:sz w:val="28"/>
          <w:szCs w:val="28"/>
          <w:rtl/>
        </w:rPr>
        <w:t>,</w:t>
      </w:r>
      <w:r w:rsidRPr="0004711E">
        <w:rPr>
          <w:rFonts w:cs="David" w:hint="cs"/>
          <w:sz w:val="28"/>
          <w:szCs w:val="28"/>
          <w:rtl/>
        </w:rPr>
        <w:t xml:space="preserve"> שנערך בקרב גורמים ציבוריים מגוונים, עד כה, לא נבחן נושא שיתוף הפעולה עם </w:t>
      </w:r>
      <w:r w:rsidR="009C039C">
        <w:rPr>
          <w:rFonts w:cs="David" w:hint="cs"/>
          <w:sz w:val="28"/>
          <w:szCs w:val="28"/>
          <w:rtl/>
        </w:rPr>
        <w:t>ועדות חקירה בינלאומיות</w:t>
      </w:r>
      <w:r w:rsidRPr="0004711E">
        <w:rPr>
          <w:rFonts w:cs="David" w:hint="cs"/>
          <w:sz w:val="28"/>
          <w:szCs w:val="28"/>
          <w:rtl/>
        </w:rPr>
        <w:t xml:space="preserve"> באופן מקיף ומרוכז. </w:t>
      </w:r>
      <w:r w:rsidR="001E019A" w:rsidRPr="0004711E">
        <w:rPr>
          <w:rFonts w:cs="David" w:hint="cs"/>
          <w:sz w:val="28"/>
          <w:szCs w:val="28"/>
          <w:rtl/>
        </w:rPr>
        <w:t xml:space="preserve">בדיקה מקיפה שנערכה </w:t>
      </w:r>
      <w:r w:rsidR="00756559">
        <w:rPr>
          <w:rFonts w:cs="David" w:hint="cs"/>
          <w:sz w:val="28"/>
          <w:szCs w:val="28"/>
          <w:rtl/>
        </w:rPr>
        <w:t>אף</w:t>
      </w:r>
      <w:r w:rsidR="00756559" w:rsidRPr="0004711E">
        <w:rPr>
          <w:rFonts w:cs="David" w:hint="cs"/>
          <w:sz w:val="28"/>
          <w:szCs w:val="28"/>
          <w:rtl/>
        </w:rPr>
        <w:t xml:space="preserve"> </w:t>
      </w:r>
      <w:r w:rsidR="001E019A" w:rsidRPr="0004711E">
        <w:rPr>
          <w:rFonts w:cs="David" w:hint="cs"/>
          <w:sz w:val="28"/>
          <w:szCs w:val="28"/>
          <w:rtl/>
        </w:rPr>
        <w:t xml:space="preserve">גילתה, כי </w:t>
      </w:r>
      <w:r w:rsidR="008C221E">
        <w:rPr>
          <w:rFonts w:cs="David" w:hint="cs"/>
          <w:sz w:val="28"/>
          <w:szCs w:val="28"/>
          <w:rtl/>
        </w:rPr>
        <w:t>ה</w:t>
      </w:r>
      <w:r w:rsidRPr="0004711E">
        <w:rPr>
          <w:rFonts w:cs="David" w:hint="cs"/>
          <w:sz w:val="28"/>
          <w:szCs w:val="28"/>
          <w:rtl/>
        </w:rPr>
        <w:t xml:space="preserve">חומר </w:t>
      </w:r>
      <w:r w:rsidR="008C221E">
        <w:rPr>
          <w:rFonts w:cs="David" w:hint="cs"/>
          <w:sz w:val="28"/>
          <w:szCs w:val="28"/>
          <w:rtl/>
        </w:rPr>
        <w:t>ה</w:t>
      </w:r>
      <w:r w:rsidRPr="0004711E">
        <w:rPr>
          <w:rFonts w:cs="David" w:hint="cs"/>
          <w:sz w:val="28"/>
          <w:szCs w:val="28"/>
          <w:rtl/>
        </w:rPr>
        <w:t>כתוב בעניין</w:t>
      </w:r>
      <w:r w:rsidR="001E019A" w:rsidRPr="0004711E">
        <w:rPr>
          <w:rFonts w:cs="David" w:hint="cs"/>
          <w:sz w:val="28"/>
          <w:szCs w:val="28"/>
          <w:rtl/>
        </w:rPr>
        <w:t xml:space="preserve"> </w:t>
      </w:r>
      <w:r w:rsidR="00026B55">
        <w:rPr>
          <w:rFonts w:cs="David" w:hint="cs"/>
          <w:sz w:val="28"/>
          <w:szCs w:val="28"/>
          <w:rtl/>
        </w:rPr>
        <w:t xml:space="preserve">ומצוי </w:t>
      </w:r>
      <w:r w:rsidR="001E019A" w:rsidRPr="0004711E">
        <w:rPr>
          <w:rFonts w:cs="David" w:hint="cs"/>
          <w:sz w:val="28"/>
          <w:szCs w:val="28"/>
          <w:rtl/>
        </w:rPr>
        <w:t>במשרדי הממשלה השונים</w:t>
      </w:r>
      <w:r w:rsidR="008C221E">
        <w:rPr>
          <w:rFonts w:cs="David" w:hint="cs"/>
          <w:sz w:val="28"/>
          <w:szCs w:val="28"/>
          <w:rtl/>
        </w:rPr>
        <w:t xml:space="preserve"> </w:t>
      </w:r>
      <w:r w:rsidR="00756559">
        <w:rPr>
          <w:rFonts w:cs="David" w:hint="cs"/>
          <w:sz w:val="28"/>
          <w:szCs w:val="28"/>
          <w:rtl/>
        </w:rPr>
        <w:t xml:space="preserve">הוא </w:t>
      </w:r>
      <w:r w:rsidR="008C221E">
        <w:rPr>
          <w:rFonts w:cs="David" w:hint="cs"/>
          <w:sz w:val="28"/>
          <w:szCs w:val="28"/>
          <w:rtl/>
        </w:rPr>
        <w:t>מועט</w:t>
      </w:r>
      <w:r w:rsidRPr="0004711E">
        <w:rPr>
          <w:rFonts w:cs="David" w:hint="cs"/>
          <w:sz w:val="28"/>
          <w:szCs w:val="28"/>
          <w:rtl/>
        </w:rPr>
        <w:t xml:space="preserve">. </w:t>
      </w:r>
    </w:p>
    <w:p w:rsidR="00DA0B54" w:rsidRPr="0004711E" w:rsidRDefault="00DA0B54" w:rsidP="001570AB">
      <w:pPr>
        <w:spacing w:after="0" w:line="360" w:lineRule="auto"/>
        <w:jc w:val="both"/>
        <w:rPr>
          <w:rFonts w:cs="David"/>
          <w:sz w:val="28"/>
          <w:szCs w:val="28"/>
          <w:rtl/>
        </w:rPr>
      </w:pPr>
    </w:p>
    <w:p w:rsidR="00513DBA" w:rsidRDefault="001E019A">
      <w:pPr>
        <w:spacing w:after="0" w:line="360" w:lineRule="auto"/>
        <w:jc w:val="both"/>
        <w:rPr>
          <w:rFonts w:cs="David"/>
          <w:sz w:val="28"/>
          <w:szCs w:val="28"/>
        </w:rPr>
      </w:pPr>
      <w:r w:rsidRPr="0004711E">
        <w:rPr>
          <w:rFonts w:cs="David" w:hint="cs"/>
          <w:sz w:val="28"/>
          <w:szCs w:val="28"/>
          <w:rtl/>
        </w:rPr>
        <w:t xml:space="preserve">בנסיבות אלה, הציב המחקר </w:t>
      </w:r>
      <w:r w:rsidR="00845019" w:rsidRPr="0004711E">
        <w:rPr>
          <w:rFonts w:cs="David" w:hint="cs"/>
          <w:sz w:val="28"/>
          <w:szCs w:val="28"/>
          <w:rtl/>
        </w:rPr>
        <w:t xml:space="preserve">כמה </w:t>
      </w:r>
      <w:r w:rsidR="00DA0B54" w:rsidRPr="0004711E">
        <w:rPr>
          <w:rFonts w:cs="David" w:hint="cs"/>
          <w:sz w:val="28"/>
          <w:szCs w:val="28"/>
          <w:rtl/>
        </w:rPr>
        <w:t>אתגר</w:t>
      </w:r>
      <w:r w:rsidR="00845019" w:rsidRPr="0004711E">
        <w:rPr>
          <w:rFonts w:cs="David" w:hint="cs"/>
          <w:sz w:val="28"/>
          <w:szCs w:val="28"/>
          <w:rtl/>
        </w:rPr>
        <w:t>ים</w:t>
      </w:r>
      <w:r w:rsidR="00DA0B54" w:rsidRPr="0004711E">
        <w:rPr>
          <w:rFonts w:cs="David" w:hint="cs"/>
          <w:sz w:val="28"/>
          <w:szCs w:val="28"/>
          <w:rtl/>
        </w:rPr>
        <w:t xml:space="preserve"> מיוחד</w:t>
      </w:r>
      <w:r w:rsidRPr="0004711E">
        <w:rPr>
          <w:rFonts w:cs="David" w:hint="cs"/>
          <w:sz w:val="28"/>
          <w:szCs w:val="28"/>
          <w:rtl/>
        </w:rPr>
        <w:t>ים:</w:t>
      </w:r>
      <w:r w:rsidR="001570AB">
        <w:rPr>
          <w:rFonts w:cs="David" w:hint="cs"/>
          <w:sz w:val="28"/>
          <w:szCs w:val="28"/>
          <w:rtl/>
        </w:rPr>
        <w:t xml:space="preserve"> </w:t>
      </w:r>
      <w:r w:rsidR="00D44503" w:rsidRPr="00D44503">
        <w:rPr>
          <w:rFonts w:cs="David" w:hint="cs"/>
          <w:sz w:val="28"/>
          <w:szCs w:val="28"/>
          <w:rtl/>
        </w:rPr>
        <w:t>ראשית</w:t>
      </w:r>
      <w:r w:rsidR="00D44503" w:rsidRPr="00D44503">
        <w:rPr>
          <w:rFonts w:cs="David"/>
          <w:sz w:val="28"/>
          <w:szCs w:val="28"/>
          <w:rtl/>
        </w:rPr>
        <w:t xml:space="preserve">, </w:t>
      </w:r>
      <w:r w:rsidR="00D44503" w:rsidRPr="00D44503">
        <w:rPr>
          <w:rFonts w:cs="David" w:hint="cs"/>
          <w:sz w:val="28"/>
          <w:szCs w:val="28"/>
          <w:rtl/>
        </w:rPr>
        <w:t>העובדה</w:t>
      </w:r>
      <w:r w:rsidR="00D44503" w:rsidRPr="00D44503">
        <w:rPr>
          <w:rFonts w:cs="David"/>
          <w:sz w:val="28"/>
          <w:szCs w:val="28"/>
          <w:rtl/>
        </w:rPr>
        <w:t xml:space="preserve"> </w:t>
      </w:r>
      <w:r w:rsidR="00D44503" w:rsidRPr="00D44503">
        <w:rPr>
          <w:rFonts w:cs="David" w:hint="cs"/>
          <w:sz w:val="28"/>
          <w:szCs w:val="28"/>
          <w:rtl/>
        </w:rPr>
        <w:t>שהחומר</w:t>
      </w:r>
      <w:r w:rsidR="00D44503" w:rsidRPr="00D44503">
        <w:rPr>
          <w:rFonts w:cs="David"/>
          <w:sz w:val="28"/>
          <w:szCs w:val="28"/>
          <w:rtl/>
        </w:rPr>
        <w:t xml:space="preserve"> </w:t>
      </w:r>
      <w:r w:rsidR="00D44503" w:rsidRPr="00D44503">
        <w:rPr>
          <w:rFonts w:cs="David" w:hint="cs"/>
          <w:sz w:val="28"/>
          <w:szCs w:val="28"/>
          <w:rtl/>
        </w:rPr>
        <w:t>הכתוב</w:t>
      </w:r>
      <w:r w:rsidR="00D44503" w:rsidRPr="00D44503">
        <w:rPr>
          <w:rFonts w:cs="David"/>
          <w:sz w:val="28"/>
          <w:szCs w:val="28"/>
          <w:rtl/>
        </w:rPr>
        <w:t xml:space="preserve"> </w:t>
      </w:r>
      <w:r w:rsidR="00D44503" w:rsidRPr="00D44503">
        <w:rPr>
          <w:rFonts w:cs="David" w:hint="cs"/>
          <w:sz w:val="28"/>
          <w:szCs w:val="28"/>
          <w:rtl/>
        </w:rPr>
        <w:t>על</w:t>
      </w:r>
      <w:r w:rsidR="00D44503" w:rsidRPr="00D44503">
        <w:rPr>
          <w:rFonts w:cs="David"/>
          <w:sz w:val="28"/>
          <w:szCs w:val="28"/>
          <w:rtl/>
        </w:rPr>
        <w:t xml:space="preserve"> </w:t>
      </w:r>
      <w:r w:rsidR="00D44503" w:rsidRPr="00D44503">
        <w:rPr>
          <w:rFonts w:cs="David" w:hint="cs"/>
          <w:sz w:val="28"/>
          <w:szCs w:val="28"/>
          <w:rtl/>
        </w:rPr>
        <w:t>שאלת</w:t>
      </w:r>
      <w:r w:rsidR="00D44503" w:rsidRPr="00D44503">
        <w:rPr>
          <w:rFonts w:cs="David"/>
          <w:sz w:val="28"/>
          <w:szCs w:val="28"/>
          <w:rtl/>
        </w:rPr>
        <w:t xml:space="preserve"> </w:t>
      </w:r>
      <w:r w:rsidR="00D44503" w:rsidRPr="00D44503">
        <w:rPr>
          <w:rFonts w:cs="David" w:hint="cs"/>
          <w:sz w:val="28"/>
          <w:szCs w:val="28"/>
          <w:rtl/>
        </w:rPr>
        <w:t>המחקר</w:t>
      </w:r>
      <w:r w:rsidR="00D44503" w:rsidRPr="00D44503">
        <w:rPr>
          <w:rFonts w:cs="David"/>
          <w:sz w:val="28"/>
          <w:szCs w:val="28"/>
          <w:rtl/>
        </w:rPr>
        <w:t xml:space="preserve"> </w:t>
      </w:r>
      <w:r w:rsidR="00D44503" w:rsidRPr="00D44503">
        <w:rPr>
          <w:rFonts w:cs="David" w:hint="cs"/>
          <w:sz w:val="28"/>
          <w:szCs w:val="28"/>
          <w:rtl/>
        </w:rPr>
        <w:t>מועט</w:t>
      </w:r>
      <w:r w:rsidR="00D44503" w:rsidRPr="00D44503">
        <w:rPr>
          <w:rFonts w:cs="David"/>
          <w:sz w:val="28"/>
          <w:szCs w:val="28"/>
          <w:rtl/>
        </w:rPr>
        <w:t xml:space="preserve">, </w:t>
      </w:r>
      <w:r w:rsidR="00D44503" w:rsidRPr="00D44503">
        <w:rPr>
          <w:rFonts w:cs="David" w:hint="cs"/>
          <w:sz w:val="28"/>
          <w:szCs w:val="28"/>
          <w:rtl/>
        </w:rPr>
        <w:t>חייבה</w:t>
      </w:r>
      <w:r w:rsidR="00D44503" w:rsidRPr="00D44503">
        <w:rPr>
          <w:rFonts w:cs="David"/>
          <w:sz w:val="28"/>
          <w:szCs w:val="28"/>
          <w:rtl/>
        </w:rPr>
        <w:t xml:space="preserve"> </w:t>
      </w:r>
      <w:r w:rsidR="00D44503" w:rsidRPr="00D44503">
        <w:rPr>
          <w:rFonts w:cs="David" w:hint="cs"/>
          <w:sz w:val="28"/>
          <w:szCs w:val="28"/>
          <w:rtl/>
        </w:rPr>
        <w:t>כתיבה</w:t>
      </w:r>
      <w:r w:rsidR="00D44503" w:rsidRPr="00D44503">
        <w:rPr>
          <w:rFonts w:cs="David"/>
          <w:sz w:val="28"/>
          <w:szCs w:val="28"/>
          <w:rtl/>
        </w:rPr>
        <w:t xml:space="preserve"> </w:t>
      </w:r>
      <w:r w:rsidR="00D44503" w:rsidRPr="00D44503">
        <w:rPr>
          <w:rFonts w:cs="David" w:hint="cs"/>
          <w:sz w:val="28"/>
          <w:szCs w:val="28"/>
          <w:rtl/>
        </w:rPr>
        <w:t>עצמאית</w:t>
      </w:r>
      <w:r w:rsidR="00D44503" w:rsidRPr="00D44503">
        <w:rPr>
          <w:rFonts w:cs="David"/>
          <w:sz w:val="28"/>
          <w:szCs w:val="28"/>
          <w:rtl/>
        </w:rPr>
        <w:t xml:space="preserve"> </w:t>
      </w:r>
      <w:r w:rsidR="00D44503" w:rsidRPr="00D44503">
        <w:rPr>
          <w:rFonts w:cs="David" w:hint="cs"/>
          <w:sz w:val="28"/>
          <w:szCs w:val="28"/>
          <w:rtl/>
        </w:rPr>
        <w:t>ומקורית</w:t>
      </w:r>
      <w:r w:rsidR="00D44503" w:rsidRPr="00D44503">
        <w:rPr>
          <w:rFonts w:cs="David"/>
          <w:sz w:val="28"/>
          <w:szCs w:val="28"/>
          <w:rtl/>
        </w:rPr>
        <w:t xml:space="preserve"> </w:t>
      </w:r>
      <w:r w:rsidR="00D44503" w:rsidRPr="00D44503">
        <w:rPr>
          <w:rFonts w:cs="David" w:hint="cs"/>
          <w:sz w:val="28"/>
          <w:szCs w:val="28"/>
          <w:rtl/>
        </w:rPr>
        <w:t>של</w:t>
      </w:r>
      <w:r w:rsidR="00D44503" w:rsidRPr="00D44503">
        <w:rPr>
          <w:rFonts w:cs="David"/>
          <w:sz w:val="28"/>
          <w:szCs w:val="28"/>
          <w:rtl/>
        </w:rPr>
        <w:t xml:space="preserve"> </w:t>
      </w:r>
      <w:r w:rsidR="00D44503" w:rsidRPr="00D44503">
        <w:rPr>
          <w:rFonts w:cs="David" w:hint="cs"/>
          <w:sz w:val="28"/>
          <w:szCs w:val="28"/>
          <w:rtl/>
        </w:rPr>
        <w:t>חלק</w:t>
      </w:r>
      <w:r w:rsidR="00D44503" w:rsidRPr="00D44503">
        <w:rPr>
          <w:rFonts w:cs="David"/>
          <w:sz w:val="28"/>
          <w:szCs w:val="28"/>
          <w:rtl/>
        </w:rPr>
        <w:t xml:space="preserve"> </w:t>
      </w:r>
      <w:r w:rsidR="00D44503" w:rsidRPr="00D44503">
        <w:rPr>
          <w:rFonts w:cs="David" w:hint="cs"/>
          <w:sz w:val="28"/>
          <w:szCs w:val="28"/>
          <w:rtl/>
        </w:rPr>
        <w:t>משמעותי</w:t>
      </w:r>
      <w:r w:rsidR="00D44503" w:rsidRPr="00D44503">
        <w:rPr>
          <w:rFonts w:cs="David"/>
          <w:sz w:val="28"/>
          <w:szCs w:val="28"/>
          <w:rtl/>
        </w:rPr>
        <w:t xml:space="preserve"> </w:t>
      </w:r>
      <w:r w:rsidR="00D44503" w:rsidRPr="00D44503">
        <w:rPr>
          <w:rFonts w:cs="David" w:hint="cs"/>
          <w:sz w:val="28"/>
          <w:szCs w:val="28"/>
          <w:rtl/>
        </w:rPr>
        <w:t>מנושאי</w:t>
      </w:r>
      <w:r w:rsidR="00D44503" w:rsidRPr="00D44503">
        <w:rPr>
          <w:rFonts w:cs="David"/>
          <w:sz w:val="28"/>
          <w:szCs w:val="28"/>
          <w:rtl/>
        </w:rPr>
        <w:t xml:space="preserve"> </w:t>
      </w:r>
      <w:r w:rsidR="00D44503" w:rsidRPr="00D44503">
        <w:rPr>
          <w:rFonts w:cs="David" w:hint="cs"/>
          <w:sz w:val="28"/>
          <w:szCs w:val="28"/>
          <w:rtl/>
        </w:rPr>
        <w:t>העבודה</w:t>
      </w:r>
      <w:r w:rsidR="00D44503" w:rsidRPr="00D44503">
        <w:rPr>
          <w:rFonts w:cs="David"/>
          <w:sz w:val="28"/>
          <w:szCs w:val="28"/>
          <w:rtl/>
        </w:rPr>
        <w:t>;</w:t>
      </w:r>
      <w:r w:rsidR="00756559">
        <w:rPr>
          <w:rFonts w:cs="David" w:hint="cs"/>
          <w:sz w:val="28"/>
          <w:szCs w:val="28"/>
          <w:rtl/>
        </w:rPr>
        <w:t xml:space="preserve"> </w:t>
      </w:r>
      <w:r w:rsidR="00D44503" w:rsidRPr="00D44503">
        <w:rPr>
          <w:rFonts w:cs="David" w:hint="cs"/>
          <w:sz w:val="28"/>
          <w:szCs w:val="28"/>
          <w:rtl/>
        </w:rPr>
        <w:t>שנית</w:t>
      </w:r>
      <w:r w:rsidR="00D44503" w:rsidRPr="00D44503">
        <w:rPr>
          <w:rFonts w:cs="David"/>
          <w:sz w:val="28"/>
          <w:szCs w:val="28"/>
          <w:rtl/>
        </w:rPr>
        <w:t xml:space="preserve">, </w:t>
      </w:r>
      <w:r w:rsidR="00D44503" w:rsidRPr="00D44503">
        <w:rPr>
          <w:rFonts w:cs="David" w:hint="cs"/>
          <w:sz w:val="28"/>
          <w:szCs w:val="28"/>
          <w:rtl/>
        </w:rPr>
        <w:t>על</w:t>
      </w:r>
      <w:r w:rsidR="00D44503" w:rsidRPr="00D44503">
        <w:rPr>
          <w:rFonts w:cs="David"/>
          <w:sz w:val="28"/>
          <w:szCs w:val="28"/>
          <w:rtl/>
        </w:rPr>
        <w:t xml:space="preserve"> </w:t>
      </w:r>
      <w:r w:rsidR="00D44503" w:rsidRPr="00D44503">
        <w:rPr>
          <w:rFonts w:cs="David" w:hint="cs"/>
          <w:sz w:val="28"/>
          <w:szCs w:val="28"/>
          <w:rtl/>
        </w:rPr>
        <w:t>מנת</w:t>
      </w:r>
      <w:r w:rsidR="00D44503" w:rsidRPr="00D44503">
        <w:rPr>
          <w:rFonts w:cs="David"/>
          <w:sz w:val="28"/>
          <w:szCs w:val="28"/>
          <w:rtl/>
        </w:rPr>
        <w:t xml:space="preserve"> </w:t>
      </w:r>
      <w:r w:rsidR="00D44503" w:rsidRPr="00D44503">
        <w:rPr>
          <w:rFonts w:cs="David" w:hint="cs"/>
          <w:sz w:val="28"/>
          <w:szCs w:val="28"/>
          <w:rtl/>
        </w:rPr>
        <w:t>להגיע</w:t>
      </w:r>
      <w:r w:rsidR="00D44503" w:rsidRPr="00D44503">
        <w:rPr>
          <w:rFonts w:cs="David"/>
          <w:sz w:val="28"/>
          <w:szCs w:val="28"/>
          <w:rtl/>
        </w:rPr>
        <w:t xml:space="preserve"> </w:t>
      </w:r>
      <w:r w:rsidR="00D44503" w:rsidRPr="00D44503">
        <w:rPr>
          <w:rFonts w:cs="David" w:hint="cs"/>
          <w:sz w:val="28"/>
          <w:szCs w:val="28"/>
          <w:rtl/>
        </w:rPr>
        <w:t>לידע</w:t>
      </w:r>
      <w:r w:rsidR="00D44503" w:rsidRPr="00D44503">
        <w:rPr>
          <w:rFonts w:cs="David"/>
          <w:sz w:val="28"/>
          <w:szCs w:val="28"/>
          <w:rtl/>
        </w:rPr>
        <w:t xml:space="preserve"> </w:t>
      </w:r>
      <w:r w:rsidR="00D44503" w:rsidRPr="00D44503">
        <w:rPr>
          <w:rFonts w:cs="David" w:hint="cs"/>
          <w:sz w:val="28"/>
          <w:szCs w:val="28"/>
          <w:rtl/>
        </w:rPr>
        <w:t>שנצבר</w:t>
      </w:r>
      <w:r w:rsidR="00D44503" w:rsidRPr="00D44503">
        <w:rPr>
          <w:rFonts w:cs="David"/>
          <w:sz w:val="28"/>
          <w:szCs w:val="28"/>
          <w:rtl/>
        </w:rPr>
        <w:t xml:space="preserve"> </w:t>
      </w:r>
      <w:r w:rsidR="00D44503" w:rsidRPr="00D44503">
        <w:rPr>
          <w:rFonts w:cs="David" w:hint="cs"/>
          <w:sz w:val="28"/>
          <w:szCs w:val="28"/>
          <w:rtl/>
        </w:rPr>
        <w:t>במדינת</w:t>
      </w:r>
      <w:r w:rsidR="00D44503" w:rsidRPr="00D44503">
        <w:rPr>
          <w:rFonts w:cs="David"/>
          <w:sz w:val="28"/>
          <w:szCs w:val="28"/>
          <w:rtl/>
        </w:rPr>
        <w:t xml:space="preserve"> </w:t>
      </w:r>
      <w:r w:rsidR="00D44503" w:rsidRPr="00D44503">
        <w:rPr>
          <w:rFonts w:cs="David" w:hint="cs"/>
          <w:sz w:val="28"/>
          <w:szCs w:val="28"/>
          <w:rtl/>
        </w:rPr>
        <w:t>ישראל</w:t>
      </w:r>
      <w:r w:rsidR="00D44503" w:rsidRPr="00D44503">
        <w:rPr>
          <w:rFonts w:cs="David"/>
          <w:sz w:val="28"/>
          <w:szCs w:val="28"/>
          <w:rtl/>
        </w:rPr>
        <w:t xml:space="preserve"> </w:t>
      </w:r>
      <w:r w:rsidR="00D44503" w:rsidRPr="00D44503">
        <w:rPr>
          <w:rFonts w:cs="David" w:hint="cs"/>
          <w:sz w:val="28"/>
          <w:szCs w:val="28"/>
          <w:rtl/>
        </w:rPr>
        <w:t>במהלך</w:t>
      </w:r>
      <w:r w:rsidR="00D44503" w:rsidRPr="00D44503">
        <w:rPr>
          <w:rFonts w:cs="David"/>
          <w:sz w:val="28"/>
          <w:szCs w:val="28"/>
          <w:rtl/>
        </w:rPr>
        <w:t xml:space="preserve"> </w:t>
      </w:r>
      <w:r w:rsidR="00D44503" w:rsidRPr="00D44503">
        <w:rPr>
          <w:rFonts w:cs="David" w:hint="cs"/>
          <w:sz w:val="28"/>
          <w:szCs w:val="28"/>
          <w:rtl/>
        </w:rPr>
        <w:t>השנים</w:t>
      </w:r>
      <w:r w:rsidR="00D44503" w:rsidRPr="00D44503">
        <w:rPr>
          <w:rFonts w:cs="David"/>
          <w:sz w:val="28"/>
          <w:szCs w:val="28"/>
          <w:rtl/>
        </w:rPr>
        <w:t xml:space="preserve"> </w:t>
      </w:r>
      <w:r w:rsidR="00D44503" w:rsidRPr="00D44503">
        <w:rPr>
          <w:rFonts w:cs="David" w:hint="cs"/>
          <w:sz w:val="28"/>
          <w:szCs w:val="28"/>
          <w:rtl/>
        </w:rPr>
        <w:t>בנושא</w:t>
      </w:r>
      <w:r w:rsidR="00D44503" w:rsidRPr="00D44503">
        <w:rPr>
          <w:rFonts w:cs="David"/>
          <w:sz w:val="28"/>
          <w:szCs w:val="28"/>
          <w:rtl/>
        </w:rPr>
        <w:t xml:space="preserve"> </w:t>
      </w:r>
      <w:r w:rsidR="00D44503" w:rsidRPr="00D44503">
        <w:rPr>
          <w:rFonts w:cs="David" w:hint="cs"/>
          <w:sz w:val="28"/>
          <w:szCs w:val="28"/>
          <w:rtl/>
        </w:rPr>
        <w:t>העבודה</w:t>
      </w:r>
      <w:r w:rsidR="00D44503" w:rsidRPr="00D44503">
        <w:rPr>
          <w:rFonts w:cs="David"/>
          <w:sz w:val="28"/>
          <w:szCs w:val="28"/>
          <w:rtl/>
        </w:rPr>
        <w:t xml:space="preserve">, </w:t>
      </w:r>
      <w:r w:rsidR="00D44503" w:rsidRPr="00D44503">
        <w:rPr>
          <w:rFonts w:cs="David" w:hint="cs"/>
          <w:sz w:val="28"/>
          <w:szCs w:val="28"/>
          <w:rtl/>
        </w:rPr>
        <w:t>היה</w:t>
      </w:r>
      <w:r w:rsidR="00D44503" w:rsidRPr="00D44503">
        <w:rPr>
          <w:rFonts w:cs="David"/>
          <w:sz w:val="28"/>
          <w:szCs w:val="28"/>
          <w:rtl/>
        </w:rPr>
        <w:t xml:space="preserve"> </w:t>
      </w:r>
      <w:r w:rsidR="00D44503" w:rsidRPr="00D44503">
        <w:rPr>
          <w:rFonts w:cs="David" w:hint="cs"/>
          <w:sz w:val="28"/>
          <w:szCs w:val="28"/>
          <w:rtl/>
        </w:rPr>
        <w:t>צורך</w:t>
      </w:r>
      <w:r w:rsidR="00D44503" w:rsidRPr="00D44503">
        <w:rPr>
          <w:rFonts w:cs="David"/>
          <w:sz w:val="28"/>
          <w:szCs w:val="28"/>
          <w:rtl/>
        </w:rPr>
        <w:t xml:space="preserve"> </w:t>
      </w:r>
      <w:r w:rsidR="00D44503" w:rsidRPr="00D44503">
        <w:rPr>
          <w:rFonts w:cs="David" w:hint="cs"/>
          <w:sz w:val="28"/>
          <w:szCs w:val="28"/>
          <w:rtl/>
        </w:rPr>
        <w:t>לקיים</w:t>
      </w:r>
      <w:r w:rsidR="00D44503" w:rsidRPr="00D44503">
        <w:rPr>
          <w:rFonts w:cs="David"/>
          <w:sz w:val="28"/>
          <w:szCs w:val="28"/>
          <w:rtl/>
        </w:rPr>
        <w:t xml:space="preserve"> </w:t>
      </w:r>
      <w:r w:rsidR="00D44503" w:rsidRPr="00D44503">
        <w:rPr>
          <w:rFonts w:cs="David" w:hint="cs"/>
          <w:sz w:val="28"/>
          <w:szCs w:val="28"/>
          <w:rtl/>
        </w:rPr>
        <w:t>סדרה</w:t>
      </w:r>
      <w:r w:rsidR="00D44503" w:rsidRPr="00D44503">
        <w:rPr>
          <w:rFonts w:cs="David"/>
          <w:sz w:val="28"/>
          <w:szCs w:val="28"/>
          <w:rtl/>
        </w:rPr>
        <w:t xml:space="preserve"> </w:t>
      </w:r>
      <w:r w:rsidR="00D44503" w:rsidRPr="00D44503">
        <w:rPr>
          <w:rFonts w:cs="David" w:hint="cs"/>
          <w:sz w:val="28"/>
          <w:szCs w:val="28"/>
          <w:rtl/>
        </w:rPr>
        <w:t>ארוכה</w:t>
      </w:r>
      <w:r w:rsidR="00D44503" w:rsidRPr="00D44503">
        <w:rPr>
          <w:rFonts w:cs="David"/>
          <w:sz w:val="28"/>
          <w:szCs w:val="28"/>
          <w:rtl/>
        </w:rPr>
        <w:t xml:space="preserve"> </w:t>
      </w:r>
      <w:r w:rsidR="00D44503" w:rsidRPr="00D44503">
        <w:rPr>
          <w:rFonts w:cs="David" w:hint="cs"/>
          <w:sz w:val="28"/>
          <w:szCs w:val="28"/>
          <w:rtl/>
        </w:rPr>
        <w:t>של</w:t>
      </w:r>
      <w:r w:rsidR="00D44503" w:rsidRPr="00D44503">
        <w:rPr>
          <w:rFonts w:cs="David"/>
          <w:sz w:val="28"/>
          <w:szCs w:val="28"/>
          <w:rtl/>
        </w:rPr>
        <w:t xml:space="preserve"> </w:t>
      </w:r>
      <w:r w:rsidR="00D44503" w:rsidRPr="00D44503">
        <w:rPr>
          <w:rFonts w:cs="David" w:hint="cs"/>
          <w:sz w:val="28"/>
          <w:szCs w:val="28"/>
          <w:rtl/>
        </w:rPr>
        <w:t>ראיונות</w:t>
      </w:r>
      <w:r w:rsidR="00D44503" w:rsidRPr="00D44503">
        <w:rPr>
          <w:rFonts w:cs="David"/>
          <w:sz w:val="28"/>
          <w:szCs w:val="28"/>
          <w:rtl/>
        </w:rPr>
        <w:t xml:space="preserve"> </w:t>
      </w:r>
      <w:r w:rsidR="00756559">
        <w:rPr>
          <w:rFonts w:cs="David" w:hint="cs"/>
          <w:sz w:val="28"/>
          <w:szCs w:val="28"/>
          <w:rtl/>
        </w:rPr>
        <w:t>עם</w:t>
      </w:r>
      <w:r w:rsidR="00D44503" w:rsidRPr="00D44503">
        <w:rPr>
          <w:rFonts w:cs="David"/>
          <w:sz w:val="28"/>
          <w:szCs w:val="28"/>
          <w:rtl/>
        </w:rPr>
        <w:t xml:space="preserve"> </w:t>
      </w:r>
      <w:r w:rsidR="00D44503" w:rsidRPr="00D44503">
        <w:rPr>
          <w:rFonts w:cs="David" w:hint="cs"/>
          <w:sz w:val="28"/>
          <w:szCs w:val="28"/>
          <w:rtl/>
        </w:rPr>
        <w:t>גורמים</w:t>
      </w:r>
      <w:r w:rsidR="00D44503" w:rsidRPr="00D44503">
        <w:rPr>
          <w:rFonts w:cs="David"/>
          <w:sz w:val="28"/>
          <w:szCs w:val="28"/>
          <w:rtl/>
        </w:rPr>
        <w:t xml:space="preserve"> </w:t>
      </w:r>
      <w:r w:rsidR="00D44503" w:rsidRPr="00D44503">
        <w:rPr>
          <w:rFonts w:cs="David" w:hint="cs"/>
          <w:sz w:val="28"/>
          <w:szCs w:val="28"/>
          <w:rtl/>
        </w:rPr>
        <w:t>שונים</w:t>
      </w:r>
      <w:r w:rsidR="00D44503" w:rsidRPr="00D44503">
        <w:rPr>
          <w:rFonts w:cs="David"/>
          <w:sz w:val="28"/>
          <w:szCs w:val="28"/>
          <w:rtl/>
        </w:rPr>
        <w:t xml:space="preserve"> </w:t>
      </w:r>
      <w:r w:rsidR="00D44503" w:rsidRPr="00D44503">
        <w:rPr>
          <w:rFonts w:cs="David" w:hint="cs"/>
          <w:sz w:val="28"/>
          <w:szCs w:val="28"/>
          <w:rtl/>
        </w:rPr>
        <w:t>במדינת</w:t>
      </w:r>
      <w:r w:rsidR="00D44503" w:rsidRPr="00D44503">
        <w:rPr>
          <w:rFonts w:cs="David"/>
          <w:sz w:val="28"/>
          <w:szCs w:val="28"/>
          <w:rtl/>
        </w:rPr>
        <w:t xml:space="preserve"> </w:t>
      </w:r>
      <w:r w:rsidR="00D44503" w:rsidRPr="00D44503">
        <w:rPr>
          <w:rFonts w:cs="David" w:hint="cs"/>
          <w:sz w:val="28"/>
          <w:szCs w:val="28"/>
          <w:rtl/>
        </w:rPr>
        <w:t>ישראל</w:t>
      </w:r>
      <w:r w:rsidR="0074404A">
        <w:rPr>
          <w:rFonts w:cs="David" w:hint="cs"/>
          <w:sz w:val="28"/>
          <w:szCs w:val="28"/>
          <w:rtl/>
        </w:rPr>
        <w:t>,</w:t>
      </w:r>
      <w:r w:rsidR="00D44503" w:rsidRPr="00D44503">
        <w:rPr>
          <w:rFonts w:cs="David"/>
          <w:sz w:val="28"/>
          <w:szCs w:val="28"/>
          <w:rtl/>
        </w:rPr>
        <w:t xml:space="preserve"> </w:t>
      </w:r>
      <w:r w:rsidR="00D44503" w:rsidRPr="00D44503">
        <w:rPr>
          <w:rFonts w:cs="David" w:hint="cs"/>
          <w:sz w:val="28"/>
          <w:szCs w:val="28"/>
          <w:rtl/>
        </w:rPr>
        <w:t>בעלי</w:t>
      </w:r>
      <w:r w:rsidR="00D44503" w:rsidRPr="00D44503">
        <w:rPr>
          <w:rFonts w:cs="David"/>
          <w:sz w:val="28"/>
          <w:szCs w:val="28"/>
          <w:rtl/>
        </w:rPr>
        <w:t xml:space="preserve"> </w:t>
      </w:r>
      <w:r w:rsidR="00D44503" w:rsidRPr="00D44503">
        <w:rPr>
          <w:rFonts w:cs="David" w:hint="cs"/>
          <w:sz w:val="28"/>
          <w:szCs w:val="28"/>
          <w:rtl/>
        </w:rPr>
        <w:t>נגיעה</w:t>
      </w:r>
      <w:r w:rsidR="00D44503" w:rsidRPr="00D44503">
        <w:rPr>
          <w:rFonts w:cs="David"/>
          <w:sz w:val="28"/>
          <w:szCs w:val="28"/>
          <w:rtl/>
        </w:rPr>
        <w:t xml:space="preserve"> </w:t>
      </w:r>
      <w:r w:rsidR="00D44503" w:rsidRPr="00D44503">
        <w:rPr>
          <w:rFonts w:cs="David" w:hint="cs"/>
          <w:sz w:val="28"/>
          <w:szCs w:val="28"/>
          <w:rtl/>
        </w:rPr>
        <w:t>לעניין</w:t>
      </w:r>
      <w:r w:rsidR="00D44503" w:rsidRPr="00D44503">
        <w:rPr>
          <w:rFonts w:cs="David"/>
          <w:sz w:val="28"/>
          <w:szCs w:val="28"/>
          <w:rtl/>
        </w:rPr>
        <w:t>;</w:t>
      </w:r>
      <w:r w:rsidR="00756559">
        <w:rPr>
          <w:rFonts w:cs="David" w:hint="cs"/>
          <w:sz w:val="28"/>
          <w:szCs w:val="28"/>
          <w:rtl/>
        </w:rPr>
        <w:t xml:space="preserve"> </w:t>
      </w:r>
      <w:r w:rsidR="00D44503" w:rsidRPr="00D44503">
        <w:rPr>
          <w:rFonts w:cs="David" w:hint="cs"/>
          <w:sz w:val="28"/>
          <w:szCs w:val="28"/>
          <w:rtl/>
        </w:rPr>
        <w:t>שלישית</w:t>
      </w:r>
      <w:r w:rsidR="00D44503" w:rsidRPr="00D44503">
        <w:rPr>
          <w:rFonts w:cs="David"/>
          <w:sz w:val="28"/>
          <w:szCs w:val="28"/>
          <w:rtl/>
        </w:rPr>
        <w:t xml:space="preserve">, </w:t>
      </w:r>
      <w:r w:rsidR="00D44503" w:rsidRPr="00D44503">
        <w:rPr>
          <w:rFonts w:cs="David" w:hint="cs"/>
          <w:sz w:val="28"/>
          <w:szCs w:val="28"/>
          <w:rtl/>
        </w:rPr>
        <w:t>בשל</w:t>
      </w:r>
      <w:r w:rsidR="00D44503" w:rsidRPr="00D44503">
        <w:rPr>
          <w:rFonts w:cs="David"/>
          <w:sz w:val="28"/>
          <w:szCs w:val="28"/>
          <w:rtl/>
        </w:rPr>
        <w:t xml:space="preserve"> </w:t>
      </w:r>
      <w:r w:rsidR="00D44503" w:rsidRPr="00D44503">
        <w:rPr>
          <w:rFonts w:cs="David" w:hint="cs"/>
          <w:sz w:val="28"/>
          <w:szCs w:val="28"/>
          <w:rtl/>
        </w:rPr>
        <w:t>רגישותם</w:t>
      </w:r>
      <w:r w:rsidR="00D44503" w:rsidRPr="00D44503">
        <w:rPr>
          <w:rFonts w:cs="David"/>
          <w:sz w:val="28"/>
          <w:szCs w:val="28"/>
          <w:rtl/>
        </w:rPr>
        <w:t xml:space="preserve"> </w:t>
      </w:r>
      <w:r w:rsidR="00D44503" w:rsidRPr="00D44503">
        <w:rPr>
          <w:rFonts w:cs="David" w:hint="cs"/>
          <w:sz w:val="28"/>
          <w:szCs w:val="28"/>
          <w:rtl/>
        </w:rPr>
        <w:t>הרבה</w:t>
      </w:r>
      <w:r w:rsidR="00D44503" w:rsidRPr="00D44503">
        <w:rPr>
          <w:rFonts w:cs="David"/>
          <w:sz w:val="28"/>
          <w:szCs w:val="28"/>
          <w:rtl/>
        </w:rPr>
        <w:t xml:space="preserve"> </w:t>
      </w:r>
      <w:r w:rsidR="00D44503" w:rsidRPr="00D44503">
        <w:rPr>
          <w:rFonts w:cs="David" w:hint="cs"/>
          <w:sz w:val="28"/>
          <w:szCs w:val="28"/>
          <w:rtl/>
        </w:rPr>
        <w:t>של</w:t>
      </w:r>
      <w:r w:rsidR="00D44503" w:rsidRPr="00D44503">
        <w:rPr>
          <w:rFonts w:cs="David"/>
          <w:sz w:val="28"/>
          <w:szCs w:val="28"/>
          <w:rtl/>
        </w:rPr>
        <w:t xml:space="preserve"> </w:t>
      </w:r>
      <w:r w:rsidR="00D44503" w:rsidRPr="00D44503">
        <w:rPr>
          <w:rFonts w:cs="David" w:hint="cs"/>
          <w:sz w:val="28"/>
          <w:szCs w:val="28"/>
          <w:rtl/>
        </w:rPr>
        <w:t>העניינים</w:t>
      </w:r>
      <w:r w:rsidR="00D44503" w:rsidRPr="00D44503">
        <w:rPr>
          <w:rFonts w:cs="David"/>
          <w:sz w:val="28"/>
          <w:szCs w:val="28"/>
          <w:rtl/>
        </w:rPr>
        <w:t xml:space="preserve"> </w:t>
      </w:r>
      <w:r w:rsidR="00D44503" w:rsidRPr="00D44503">
        <w:rPr>
          <w:rFonts w:cs="David" w:hint="cs"/>
          <w:sz w:val="28"/>
          <w:szCs w:val="28"/>
          <w:rtl/>
        </w:rPr>
        <w:t>שנדונו</w:t>
      </w:r>
      <w:r w:rsidR="00D44503" w:rsidRPr="00D44503">
        <w:rPr>
          <w:rFonts w:cs="David"/>
          <w:sz w:val="28"/>
          <w:szCs w:val="28"/>
          <w:rtl/>
        </w:rPr>
        <w:t xml:space="preserve"> </w:t>
      </w:r>
      <w:r w:rsidR="00D44503" w:rsidRPr="00D44503">
        <w:rPr>
          <w:rFonts w:cs="David" w:hint="cs"/>
          <w:sz w:val="28"/>
          <w:szCs w:val="28"/>
          <w:rtl/>
        </w:rPr>
        <w:t>בראיונות</w:t>
      </w:r>
      <w:r w:rsidR="00D44503" w:rsidRPr="00D44503">
        <w:rPr>
          <w:rFonts w:cs="David"/>
          <w:sz w:val="28"/>
          <w:szCs w:val="28"/>
          <w:rtl/>
        </w:rPr>
        <w:t xml:space="preserve">, </w:t>
      </w:r>
      <w:r w:rsidR="00D44503" w:rsidRPr="00D44503">
        <w:rPr>
          <w:rFonts w:cs="David" w:hint="cs"/>
          <w:sz w:val="28"/>
          <w:szCs w:val="28"/>
          <w:rtl/>
        </w:rPr>
        <w:t>ועל</w:t>
      </w:r>
      <w:r w:rsidR="00D44503" w:rsidRPr="00D44503">
        <w:rPr>
          <w:rFonts w:cs="David"/>
          <w:sz w:val="28"/>
          <w:szCs w:val="28"/>
          <w:rtl/>
        </w:rPr>
        <w:t xml:space="preserve"> </w:t>
      </w:r>
      <w:r w:rsidR="00D44503" w:rsidRPr="00D44503">
        <w:rPr>
          <w:rFonts w:cs="David" w:hint="cs"/>
          <w:sz w:val="28"/>
          <w:szCs w:val="28"/>
          <w:rtl/>
        </w:rPr>
        <w:t>מנת</w:t>
      </w:r>
      <w:r w:rsidR="00D44503" w:rsidRPr="00D44503">
        <w:rPr>
          <w:rFonts w:cs="David"/>
          <w:sz w:val="28"/>
          <w:szCs w:val="28"/>
          <w:rtl/>
        </w:rPr>
        <w:t xml:space="preserve"> </w:t>
      </w:r>
      <w:r w:rsidR="00D44503" w:rsidRPr="00D44503">
        <w:rPr>
          <w:rFonts w:cs="David" w:hint="cs"/>
          <w:sz w:val="28"/>
          <w:szCs w:val="28"/>
          <w:rtl/>
        </w:rPr>
        <w:t>לאפשר</w:t>
      </w:r>
      <w:r w:rsidR="00D44503" w:rsidRPr="00D44503">
        <w:rPr>
          <w:rFonts w:cs="David"/>
          <w:sz w:val="28"/>
          <w:szCs w:val="28"/>
          <w:rtl/>
        </w:rPr>
        <w:t xml:space="preserve"> </w:t>
      </w:r>
      <w:r w:rsidR="00D44503" w:rsidRPr="00D44503">
        <w:rPr>
          <w:rFonts w:cs="David" w:hint="cs"/>
          <w:sz w:val="28"/>
          <w:szCs w:val="28"/>
          <w:rtl/>
        </w:rPr>
        <w:t>פתיחוּת</w:t>
      </w:r>
      <w:r w:rsidR="00D44503" w:rsidRPr="00D44503">
        <w:rPr>
          <w:rFonts w:cs="David"/>
          <w:sz w:val="28"/>
          <w:szCs w:val="28"/>
          <w:rtl/>
        </w:rPr>
        <w:t xml:space="preserve"> </w:t>
      </w:r>
      <w:r w:rsidR="00D44503" w:rsidRPr="00D44503">
        <w:rPr>
          <w:rFonts w:cs="David" w:hint="cs"/>
          <w:sz w:val="28"/>
          <w:szCs w:val="28"/>
          <w:rtl/>
        </w:rPr>
        <w:t>מרבית</w:t>
      </w:r>
      <w:r w:rsidR="00D44503" w:rsidRPr="00D44503">
        <w:rPr>
          <w:rFonts w:cs="David"/>
          <w:sz w:val="28"/>
          <w:szCs w:val="28"/>
          <w:rtl/>
        </w:rPr>
        <w:t xml:space="preserve"> </w:t>
      </w:r>
      <w:r w:rsidR="00D44503" w:rsidRPr="00D44503">
        <w:rPr>
          <w:rFonts w:cs="David" w:hint="cs"/>
          <w:sz w:val="28"/>
          <w:szCs w:val="28"/>
          <w:rtl/>
        </w:rPr>
        <w:t>שתאפשר</w:t>
      </w:r>
      <w:r w:rsidR="00D44503" w:rsidRPr="00D44503">
        <w:rPr>
          <w:rFonts w:cs="David"/>
          <w:sz w:val="28"/>
          <w:szCs w:val="28"/>
          <w:rtl/>
        </w:rPr>
        <w:t xml:space="preserve"> </w:t>
      </w:r>
      <w:r w:rsidR="00D44503" w:rsidRPr="00D44503">
        <w:rPr>
          <w:rFonts w:cs="David" w:hint="cs"/>
          <w:sz w:val="28"/>
          <w:szCs w:val="28"/>
          <w:rtl/>
        </w:rPr>
        <w:t>מחקר</w:t>
      </w:r>
      <w:r w:rsidR="00D44503" w:rsidRPr="00D44503">
        <w:rPr>
          <w:rFonts w:cs="David"/>
          <w:sz w:val="28"/>
          <w:szCs w:val="28"/>
          <w:rtl/>
        </w:rPr>
        <w:t xml:space="preserve"> </w:t>
      </w:r>
      <w:r w:rsidR="00D44503" w:rsidRPr="00D44503">
        <w:rPr>
          <w:rFonts w:cs="David" w:hint="cs"/>
          <w:sz w:val="28"/>
          <w:szCs w:val="28"/>
          <w:rtl/>
        </w:rPr>
        <w:t>ולמידה</w:t>
      </w:r>
      <w:r w:rsidR="00D44503" w:rsidRPr="00D44503">
        <w:rPr>
          <w:rFonts w:cs="David"/>
          <w:sz w:val="28"/>
          <w:szCs w:val="28"/>
          <w:rtl/>
        </w:rPr>
        <w:t xml:space="preserve"> </w:t>
      </w:r>
      <w:r w:rsidR="00D44503" w:rsidRPr="00D44503">
        <w:rPr>
          <w:rFonts w:cs="David" w:hint="cs"/>
          <w:sz w:val="28"/>
          <w:szCs w:val="28"/>
          <w:rtl/>
        </w:rPr>
        <w:t>מעמיקים</w:t>
      </w:r>
      <w:r w:rsidR="00D44503" w:rsidRPr="00D44503">
        <w:rPr>
          <w:rFonts w:cs="David"/>
          <w:sz w:val="28"/>
          <w:szCs w:val="28"/>
          <w:rtl/>
        </w:rPr>
        <w:t xml:space="preserve">, </w:t>
      </w:r>
      <w:r w:rsidR="00D44503" w:rsidRPr="00D44503">
        <w:rPr>
          <w:rFonts w:cs="David" w:hint="cs"/>
          <w:sz w:val="28"/>
          <w:szCs w:val="28"/>
          <w:rtl/>
        </w:rPr>
        <w:t>הובטח</w:t>
      </w:r>
      <w:r w:rsidR="00D44503" w:rsidRPr="00D44503">
        <w:rPr>
          <w:rFonts w:cs="David"/>
          <w:sz w:val="28"/>
          <w:szCs w:val="28"/>
          <w:rtl/>
        </w:rPr>
        <w:t xml:space="preserve"> </w:t>
      </w:r>
      <w:r w:rsidR="00D44503" w:rsidRPr="00D44503">
        <w:rPr>
          <w:rFonts w:cs="David" w:hint="cs"/>
          <w:sz w:val="28"/>
          <w:szCs w:val="28"/>
          <w:rtl/>
        </w:rPr>
        <w:t>לכלל</w:t>
      </w:r>
      <w:r w:rsidR="00D44503" w:rsidRPr="00D44503">
        <w:rPr>
          <w:rFonts w:cs="David"/>
          <w:sz w:val="28"/>
          <w:szCs w:val="28"/>
          <w:rtl/>
        </w:rPr>
        <w:t xml:space="preserve"> </w:t>
      </w:r>
      <w:r w:rsidR="00D44503" w:rsidRPr="00D44503">
        <w:rPr>
          <w:rFonts w:cs="David" w:hint="cs"/>
          <w:sz w:val="28"/>
          <w:szCs w:val="28"/>
          <w:rtl/>
        </w:rPr>
        <w:t>המרואיינים</w:t>
      </w:r>
      <w:r w:rsidR="00D44503" w:rsidRPr="00D44503">
        <w:rPr>
          <w:rFonts w:cs="David"/>
          <w:sz w:val="28"/>
          <w:szCs w:val="28"/>
          <w:rtl/>
        </w:rPr>
        <w:t xml:space="preserve">, </w:t>
      </w:r>
      <w:r w:rsidR="00D44503" w:rsidRPr="00D44503">
        <w:rPr>
          <w:rFonts w:cs="David" w:hint="cs"/>
          <w:sz w:val="28"/>
          <w:szCs w:val="28"/>
          <w:rtl/>
        </w:rPr>
        <w:t>כי</w:t>
      </w:r>
      <w:r w:rsidR="00D44503" w:rsidRPr="00D44503">
        <w:rPr>
          <w:rFonts w:cs="David"/>
          <w:sz w:val="28"/>
          <w:szCs w:val="28"/>
          <w:rtl/>
        </w:rPr>
        <w:t xml:space="preserve"> </w:t>
      </w:r>
      <w:r w:rsidR="00D44503" w:rsidRPr="00D44503">
        <w:rPr>
          <w:rFonts w:cs="David" w:hint="cs"/>
          <w:sz w:val="28"/>
          <w:szCs w:val="28"/>
          <w:rtl/>
        </w:rPr>
        <w:t>לא</w:t>
      </w:r>
      <w:r w:rsidR="00D44503" w:rsidRPr="00D44503">
        <w:rPr>
          <w:rFonts w:cs="David"/>
          <w:sz w:val="28"/>
          <w:szCs w:val="28"/>
          <w:rtl/>
        </w:rPr>
        <w:t xml:space="preserve"> </w:t>
      </w:r>
      <w:r w:rsidR="00D44503" w:rsidRPr="00D44503">
        <w:rPr>
          <w:rFonts w:cs="David" w:hint="cs"/>
          <w:sz w:val="28"/>
          <w:szCs w:val="28"/>
          <w:rtl/>
        </w:rPr>
        <w:t>יובאו</w:t>
      </w:r>
      <w:r w:rsidR="00D44503" w:rsidRPr="00D44503">
        <w:rPr>
          <w:rFonts w:cs="David"/>
          <w:sz w:val="28"/>
          <w:szCs w:val="28"/>
          <w:rtl/>
        </w:rPr>
        <w:t xml:space="preserve"> </w:t>
      </w:r>
      <w:r w:rsidR="00D44503" w:rsidRPr="00D44503">
        <w:rPr>
          <w:rFonts w:cs="David" w:hint="cs"/>
          <w:sz w:val="28"/>
          <w:szCs w:val="28"/>
          <w:rtl/>
        </w:rPr>
        <w:t>בעבודה</w:t>
      </w:r>
      <w:r w:rsidR="00D44503" w:rsidRPr="00D44503">
        <w:rPr>
          <w:rFonts w:cs="David"/>
          <w:sz w:val="28"/>
          <w:szCs w:val="28"/>
          <w:rtl/>
        </w:rPr>
        <w:t xml:space="preserve"> </w:t>
      </w:r>
      <w:r w:rsidR="00D44503" w:rsidRPr="00D44503">
        <w:rPr>
          <w:rFonts w:cs="David" w:hint="cs"/>
          <w:sz w:val="28"/>
          <w:szCs w:val="28"/>
          <w:rtl/>
        </w:rPr>
        <w:t>ציטוטים</w:t>
      </w:r>
      <w:r w:rsidR="00D44503" w:rsidRPr="00D44503">
        <w:rPr>
          <w:rFonts w:cs="David"/>
          <w:sz w:val="28"/>
          <w:szCs w:val="28"/>
          <w:rtl/>
        </w:rPr>
        <w:t xml:space="preserve"> </w:t>
      </w:r>
      <w:r w:rsidR="00D44503" w:rsidRPr="00D44503">
        <w:rPr>
          <w:rFonts w:cs="David" w:hint="cs"/>
          <w:sz w:val="28"/>
          <w:szCs w:val="28"/>
          <w:rtl/>
        </w:rPr>
        <w:t>כלשהם</w:t>
      </w:r>
      <w:r w:rsidR="00D44503" w:rsidRPr="00D44503">
        <w:rPr>
          <w:rFonts w:cs="David"/>
          <w:sz w:val="28"/>
          <w:szCs w:val="28"/>
          <w:rtl/>
        </w:rPr>
        <w:t xml:space="preserve"> </w:t>
      </w:r>
      <w:r w:rsidR="00D44503" w:rsidRPr="00D44503">
        <w:rPr>
          <w:rFonts w:cs="David" w:hint="cs"/>
          <w:sz w:val="28"/>
          <w:szCs w:val="28"/>
          <w:rtl/>
        </w:rPr>
        <w:t>מפיהם</w:t>
      </w:r>
      <w:r w:rsidR="00D44503" w:rsidRPr="00D44503">
        <w:rPr>
          <w:rFonts w:cs="David"/>
          <w:sz w:val="28"/>
          <w:szCs w:val="28"/>
          <w:rtl/>
        </w:rPr>
        <w:t xml:space="preserve"> </w:t>
      </w:r>
      <w:r w:rsidR="00D44503" w:rsidRPr="00D44503">
        <w:rPr>
          <w:rFonts w:cs="David" w:hint="cs"/>
          <w:sz w:val="28"/>
          <w:szCs w:val="28"/>
          <w:rtl/>
        </w:rPr>
        <w:t>וכי</w:t>
      </w:r>
      <w:r w:rsidR="00D44503" w:rsidRPr="00D44503">
        <w:rPr>
          <w:rFonts w:cs="David"/>
          <w:sz w:val="28"/>
          <w:szCs w:val="28"/>
          <w:rtl/>
        </w:rPr>
        <w:t xml:space="preserve"> </w:t>
      </w:r>
      <w:r w:rsidR="00D44503" w:rsidRPr="00D44503">
        <w:rPr>
          <w:rFonts w:cs="David" w:hint="cs"/>
          <w:sz w:val="28"/>
          <w:szCs w:val="28"/>
          <w:rtl/>
        </w:rPr>
        <w:t>לא</w:t>
      </w:r>
      <w:r w:rsidR="00D44503" w:rsidRPr="00D44503">
        <w:rPr>
          <w:rFonts w:cs="David"/>
          <w:sz w:val="28"/>
          <w:szCs w:val="28"/>
          <w:rtl/>
        </w:rPr>
        <w:t xml:space="preserve"> </w:t>
      </w:r>
      <w:r w:rsidR="00D44503" w:rsidRPr="00D44503">
        <w:rPr>
          <w:rFonts w:cs="David" w:hint="cs"/>
          <w:sz w:val="28"/>
          <w:szCs w:val="28"/>
          <w:rtl/>
        </w:rPr>
        <w:t>תיוחס</w:t>
      </w:r>
      <w:r w:rsidR="00D44503" w:rsidRPr="00D44503">
        <w:rPr>
          <w:rFonts w:cs="David"/>
          <w:sz w:val="28"/>
          <w:szCs w:val="28"/>
          <w:rtl/>
        </w:rPr>
        <w:t xml:space="preserve"> </w:t>
      </w:r>
      <w:r w:rsidR="00D44503" w:rsidRPr="00D44503">
        <w:rPr>
          <w:rFonts w:cs="David" w:hint="cs"/>
          <w:sz w:val="28"/>
          <w:szCs w:val="28"/>
          <w:rtl/>
        </w:rPr>
        <w:t>להם</w:t>
      </w:r>
      <w:r w:rsidR="00D44503" w:rsidRPr="00D44503">
        <w:rPr>
          <w:rFonts w:cs="David"/>
          <w:sz w:val="28"/>
          <w:szCs w:val="28"/>
          <w:rtl/>
        </w:rPr>
        <w:t xml:space="preserve"> </w:t>
      </w:r>
      <w:r w:rsidR="00D44503" w:rsidRPr="00D44503">
        <w:rPr>
          <w:rFonts w:cs="David" w:hint="cs"/>
          <w:sz w:val="28"/>
          <w:szCs w:val="28"/>
          <w:rtl/>
        </w:rPr>
        <w:t>כל</w:t>
      </w:r>
      <w:r w:rsidR="00D44503" w:rsidRPr="00D44503">
        <w:rPr>
          <w:rFonts w:cs="David"/>
          <w:sz w:val="28"/>
          <w:szCs w:val="28"/>
          <w:rtl/>
        </w:rPr>
        <w:t xml:space="preserve"> </w:t>
      </w:r>
      <w:r w:rsidR="00D44503" w:rsidRPr="00D44503">
        <w:rPr>
          <w:rFonts w:cs="David" w:hint="cs"/>
          <w:sz w:val="28"/>
          <w:szCs w:val="28"/>
          <w:rtl/>
        </w:rPr>
        <w:t>ביקורת</w:t>
      </w:r>
      <w:r w:rsidR="00D44503" w:rsidRPr="00D44503">
        <w:rPr>
          <w:rFonts w:cs="David"/>
          <w:sz w:val="28"/>
          <w:szCs w:val="28"/>
          <w:rtl/>
        </w:rPr>
        <w:t xml:space="preserve"> </w:t>
      </w:r>
      <w:r w:rsidR="00D44503" w:rsidRPr="00D44503">
        <w:rPr>
          <w:rFonts w:cs="David" w:hint="cs"/>
          <w:sz w:val="28"/>
          <w:szCs w:val="28"/>
          <w:rtl/>
        </w:rPr>
        <w:t>או</w:t>
      </w:r>
      <w:r w:rsidR="00D44503" w:rsidRPr="00D44503">
        <w:rPr>
          <w:rFonts w:cs="David"/>
          <w:sz w:val="28"/>
          <w:szCs w:val="28"/>
          <w:rtl/>
        </w:rPr>
        <w:t xml:space="preserve"> </w:t>
      </w:r>
      <w:r w:rsidR="00D44503" w:rsidRPr="00D44503">
        <w:rPr>
          <w:rFonts w:cs="David" w:hint="cs"/>
          <w:sz w:val="28"/>
          <w:szCs w:val="28"/>
          <w:rtl/>
        </w:rPr>
        <w:t>המלצה</w:t>
      </w:r>
      <w:r w:rsidR="00D44503" w:rsidRPr="00D44503">
        <w:rPr>
          <w:rFonts w:cs="David"/>
          <w:sz w:val="28"/>
          <w:szCs w:val="28"/>
          <w:rtl/>
        </w:rPr>
        <w:t xml:space="preserve"> </w:t>
      </w:r>
      <w:r w:rsidR="00D44503" w:rsidRPr="00D44503">
        <w:rPr>
          <w:rFonts w:cs="David" w:hint="cs"/>
          <w:sz w:val="28"/>
          <w:szCs w:val="28"/>
          <w:rtl/>
        </w:rPr>
        <w:t>לגבי</w:t>
      </w:r>
      <w:r w:rsidR="00D44503" w:rsidRPr="00D44503">
        <w:rPr>
          <w:rFonts w:cs="David"/>
          <w:sz w:val="28"/>
          <w:szCs w:val="28"/>
          <w:rtl/>
        </w:rPr>
        <w:t xml:space="preserve"> </w:t>
      </w:r>
      <w:r w:rsidR="00D44503" w:rsidRPr="00D44503">
        <w:rPr>
          <w:rFonts w:cs="David" w:hint="cs"/>
          <w:sz w:val="28"/>
          <w:szCs w:val="28"/>
          <w:rtl/>
        </w:rPr>
        <w:t>העניינים</w:t>
      </w:r>
      <w:r w:rsidR="00D44503" w:rsidRPr="00D44503">
        <w:rPr>
          <w:rFonts w:cs="David"/>
          <w:sz w:val="28"/>
          <w:szCs w:val="28"/>
          <w:rtl/>
        </w:rPr>
        <w:t xml:space="preserve"> </w:t>
      </w:r>
      <w:r w:rsidR="00D44503" w:rsidRPr="00D44503">
        <w:rPr>
          <w:rFonts w:cs="David" w:hint="cs"/>
          <w:sz w:val="28"/>
          <w:szCs w:val="28"/>
          <w:rtl/>
        </w:rPr>
        <w:t>שיידונו</w:t>
      </w:r>
      <w:r w:rsidR="00D44503" w:rsidRPr="00D44503">
        <w:rPr>
          <w:rFonts w:cs="David"/>
          <w:sz w:val="28"/>
          <w:szCs w:val="28"/>
          <w:rtl/>
        </w:rPr>
        <w:t xml:space="preserve"> </w:t>
      </w:r>
      <w:r w:rsidR="00D44503" w:rsidRPr="00D44503">
        <w:rPr>
          <w:rFonts w:cs="David" w:hint="cs"/>
          <w:sz w:val="28"/>
          <w:szCs w:val="28"/>
          <w:rtl/>
        </w:rPr>
        <w:t>בעבודה</w:t>
      </w:r>
      <w:r w:rsidR="00D44503" w:rsidRPr="00D44503">
        <w:rPr>
          <w:rFonts w:cs="David"/>
          <w:sz w:val="28"/>
          <w:szCs w:val="28"/>
          <w:rtl/>
        </w:rPr>
        <w:t>;</w:t>
      </w:r>
      <w:r w:rsidR="00756559">
        <w:rPr>
          <w:rFonts w:cs="David" w:hint="cs"/>
          <w:sz w:val="28"/>
          <w:szCs w:val="28"/>
          <w:rtl/>
        </w:rPr>
        <w:t xml:space="preserve"> </w:t>
      </w:r>
      <w:r w:rsidR="00D44503" w:rsidRPr="00D44503">
        <w:rPr>
          <w:rFonts w:cs="David" w:hint="cs"/>
          <w:sz w:val="28"/>
          <w:szCs w:val="28"/>
          <w:rtl/>
        </w:rPr>
        <w:t>ולבסוף</w:t>
      </w:r>
      <w:r w:rsidR="00D44503" w:rsidRPr="00D44503">
        <w:rPr>
          <w:rFonts w:cs="David"/>
          <w:sz w:val="28"/>
          <w:szCs w:val="28"/>
          <w:rtl/>
        </w:rPr>
        <w:t xml:space="preserve">, </w:t>
      </w:r>
      <w:r w:rsidR="00D44503" w:rsidRPr="00D44503">
        <w:rPr>
          <w:rFonts w:cs="David" w:hint="cs"/>
          <w:sz w:val="28"/>
          <w:szCs w:val="28"/>
          <w:rtl/>
        </w:rPr>
        <w:t>רגישות</w:t>
      </w:r>
      <w:r w:rsidR="00D44503" w:rsidRPr="00D44503">
        <w:rPr>
          <w:rFonts w:cs="David"/>
          <w:sz w:val="28"/>
          <w:szCs w:val="28"/>
          <w:rtl/>
        </w:rPr>
        <w:t xml:space="preserve"> </w:t>
      </w:r>
      <w:r w:rsidR="00D44503" w:rsidRPr="00D44503">
        <w:rPr>
          <w:rFonts w:cs="David" w:hint="cs"/>
          <w:sz w:val="28"/>
          <w:szCs w:val="28"/>
          <w:rtl/>
        </w:rPr>
        <w:t>הנושאים</w:t>
      </w:r>
      <w:r w:rsidR="00D44503" w:rsidRPr="00D44503">
        <w:rPr>
          <w:rFonts w:cs="David"/>
          <w:sz w:val="28"/>
          <w:szCs w:val="28"/>
          <w:rtl/>
        </w:rPr>
        <w:t xml:space="preserve"> </w:t>
      </w:r>
      <w:r w:rsidR="00D44503" w:rsidRPr="00D44503">
        <w:rPr>
          <w:rFonts w:cs="David" w:hint="cs"/>
          <w:sz w:val="28"/>
          <w:szCs w:val="28"/>
          <w:rtl/>
        </w:rPr>
        <w:t>וסיווגם</w:t>
      </w:r>
      <w:r w:rsidR="00D44503" w:rsidRPr="00D44503">
        <w:rPr>
          <w:rFonts w:cs="David"/>
          <w:sz w:val="28"/>
          <w:szCs w:val="28"/>
          <w:rtl/>
        </w:rPr>
        <w:t xml:space="preserve"> </w:t>
      </w:r>
      <w:r w:rsidR="00D44503" w:rsidRPr="00D44503">
        <w:rPr>
          <w:rFonts w:cs="David" w:hint="cs"/>
          <w:sz w:val="28"/>
          <w:szCs w:val="28"/>
          <w:rtl/>
        </w:rPr>
        <w:t>חייבה</w:t>
      </w:r>
      <w:r w:rsidR="00D44503" w:rsidRPr="00D44503">
        <w:rPr>
          <w:rFonts w:cs="David"/>
          <w:sz w:val="28"/>
          <w:szCs w:val="28"/>
          <w:rtl/>
        </w:rPr>
        <w:t xml:space="preserve"> </w:t>
      </w:r>
      <w:r w:rsidR="00D44503" w:rsidRPr="00D44503">
        <w:rPr>
          <w:rFonts w:cs="David" w:hint="cs"/>
          <w:sz w:val="28"/>
          <w:szCs w:val="28"/>
          <w:rtl/>
        </w:rPr>
        <w:t>גם</w:t>
      </w:r>
      <w:r w:rsidR="00D44503" w:rsidRPr="00D44503">
        <w:rPr>
          <w:rFonts w:cs="David"/>
          <w:sz w:val="28"/>
          <w:szCs w:val="28"/>
          <w:rtl/>
        </w:rPr>
        <w:t xml:space="preserve"> </w:t>
      </w:r>
      <w:r w:rsidR="00D44503" w:rsidRPr="00D44503">
        <w:rPr>
          <w:rFonts w:cs="David" w:hint="cs"/>
          <w:sz w:val="28"/>
          <w:szCs w:val="28"/>
          <w:rtl/>
        </w:rPr>
        <w:t>את</w:t>
      </w:r>
      <w:r w:rsidR="00D44503" w:rsidRPr="00D44503">
        <w:rPr>
          <w:rFonts w:cs="David"/>
          <w:sz w:val="28"/>
          <w:szCs w:val="28"/>
          <w:rtl/>
        </w:rPr>
        <w:t xml:space="preserve"> </w:t>
      </w:r>
      <w:r w:rsidR="00D44503" w:rsidRPr="00D44503">
        <w:rPr>
          <w:rFonts w:cs="David" w:hint="cs"/>
          <w:sz w:val="28"/>
          <w:szCs w:val="28"/>
          <w:rtl/>
        </w:rPr>
        <w:t>ההבטחה</w:t>
      </w:r>
      <w:r w:rsidR="00D44503" w:rsidRPr="00D44503">
        <w:rPr>
          <w:rFonts w:cs="David"/>
          <w:sz w:val="28"/>
          <w:szCs w:val="28"/>
          <w:rtl/>
        </w:rPr>
        <w:t xml:space="preserve"> </w:t>
      </w:r>
      <w:r w:rsidR="00D44503" w:rsidRPr="00D44503">
        <w:rPr>
          <w:rFonts w:cs="David" w:hint="cs"/>
          <w:sz w:val="28"/>
          <w:szCs w:val="28"/>
          <w:rtl/>
        </w:rPr>
        <w:t>להימנע</w:t>
      </w:r>
      <w:r w:rsidR="00D44503" w:rsidRPr="00D44503">
        <w:rPr>
          <w:rFonts w:cs="David"/>
          <w:sz w:val="28"/>
          <w:szCs w:val="28"/>
          <w:rtl/>
        </w:rPr>
        <w:t xml:space="preserve"> </w:t>
      </w:r>
      <w:r w:rsidR="00D44503" w:rsidRPr="00D44503">
        <w:rPr>
          <w:rFonts w:cs="David" w:hint="cs"/>
          <w:sz w:val="28"/>
          <w:szCs w:val="28"/>
          <w:rtl/>
        </w:rPr>
        <w:t>מאזכור</w:t>
      </w:r>
      <w:r w:rsidR="00D44503" w:rsidRPr="00D44503">
        <w:rPr>
          <w:rFonts w:cs="David"/>
          <w:sz w:val="28"/>
          <w:szCs w:val="28"/>
          <w:rtl/>
        </w:rPr>
        <w:t xml:space="preserve"> </w:t>
      </w:r>
      <w:r w:rsidR="00D44503" w:rsidRPr="00D44503">
        <w:rPr>
          <w:rFonts w:cs="David" w:hint="cs"/>
          <w:sz w:val="28"/>
          <w:szCs w:val="28"/>
          <w:rtl/>
        </w:rPr>
        <w:t>עניינים</w:t>
      </w:r>
      <w:r w:rsidR="00D44503" w:rsidRPr="00D44503">
        <w:rPr>
          <w:rFonts w:cs="David"/>
          <w:sz w:val="28"/>
          <w:szCs w:val="28"/>
          <w:rtl/>
        </w:rPr>
        <w:t xml:space="preserve"> </w:t>
      </w:r>
      <w:r w:rsidR="00D44503" w:rsidRPr="00D44503">
        <w:rPr>
          <w:rFonts w:cs="David" w:hint="cs"/>
          <w:sz w:val="28"/>
          <w:szCs w:val="28"/>
          <w:rtl/>
        </w:rPr>
        <w:t>רגישים</w:t>
      </w:r>
      <w:r w:rsidR="00D44503" w:rsidRPr="00D44503">
        <w:rPr>
          <w:rFonts w:cs="David"/>
          <w:sz w:val="28"/>
          <w:szCs w:val="28"/>
          <w:rtl/>
        </w:rPr>
        <w:t xml:space="preserve"> </w:t>
      </w:r>
      <w:r w:rsidR="00D44503" w:rsidRPr="00D44503">
        <w:rPr>
          <w:rFonts w:cs="David" w:hint="cs"/>
          <w:sz w:val="28"/>
          <w:szCs w:val="28"/>
          <w:rtl/>
        </w:rPr>
        <w:t>או</w:t>
      </w:r>
      <w:r w:rsidR="00D44503" w:rsidRPr="00D44503">
        <w:rPr>
          <w:rFonts w:cs="David"/>
          <w:sz w:val="28"/>
          <w:szCs w:val="28"/>
          <w:rtl/>
        </w:rPr>
        <w:t xml:space="preserve"> </w:t>
      </w:r>
      <w:r w:rsidR="00D44503" w:rsidRPr="00D44503">
        <w:rPr>
          <w:rFonts w:cs="David" w:hint="cs"/>
          <w:sz w:val="28"/>
          <w:szCs w:val="28"/>
          <w:rtl/>
        </w:rPr>
        <w:t>מסווגים</w:t>
      </w:r>
      <w:r w:rsidR="00D44503" w:rsidRPr="00D44503">
        <w:rPr>
          <w:rFonts w:cs="David"/>
          <w:sz w:val="28"/>
          <w:szCs w:val="28"/>
          <w:rtl/>
        </w:rPr>
        <w:t xml:space="preserve"> </w:t>
      </w:r>
      <w:r w:rsidR="00D44503" w:rsidRPr="00D44503">
        <w:rPr>
          <w:rFonts w:cs="David" w:hint="cs"/>
          <w:sz w:val="28"/>
          <w:szCs w:val="28"/>
          <w:rtl/>
        </w:rPr>
        <w:t>במסגרת</w:t>
      </w:r>
      <w:r w:rsidR="00D44503" w:rsidRPr="00D44503">
        <w:rPr>
          <w:rFonts w:cs="David"/>
          <w:sz w:val="28"/>
          <w:szCs w:val="28"/>
          <w:rtl/>
        </w:rPr>
        <w:t xml:space="preserve"> </w:t>
      </w:r>
      <w:r w:rsidR="00D44503" w:rsidRPr="00D44503">
        <w:rPr>
          <w:rFonts w:cs="David" w:hint="cs"/>
          <w:sz w:val="28"/>
          <w:szCs w:val="28"/>
          <w:rtl/>
        </w:rPr>
        <w:t>העבודה</w:t>
      </w:r>
      <w:r w:rsidR="00D44503" w:rsidRPr="00D44503">
        <w:rPr>
          <w:rFonts w:cs="David"/>
          <w:sz w:val="28"/>
          <w:szCs w:val="28"/>
          <w:rtl/>
        </w:rPr>
        <w:t xml:space="preserve">. </w:t>
      </w:r>
      <w:r w:rsidR="00D44503" w:rsidRPr="00D44503">
        <w:rPr>
          <w:rFonts w:cs="David" w:hint="cs"/>
          <w:sz w:val="28"/>
          <w:szCs w:val="28"/>
          <w:rtl/>
        </w:rPr>
        <w:t>מטבע</w:t>
      </w:r>
      <w:r w:rsidR="00D44503" w:rsidRPr="00D44503">
        <w:rPr>
          <w:rFonts w:cs="David"/>
          <w:sz w:val="28"/>
          <w:szCs w:val="28"/>
          <w:rtl/>
        </w:rPr>
        <w:t xml:space="preserve"> </w:t>
      </w:r>
      <w:r w:rsidR="00D44503" w:rsidRPr="00D44503">
        <w:rPr>
          <w:rFonts w:cs="David" w:hint="cs"/>
          <w:sz w:val="28"/>
          <w:szCs w:val="28"/>
          <w:rtl/>
        </w:rPr>
        <w:t>הדברים</w:t>
      </w:r>
      <w:r w:rsidR="00D44503" w:rsidRPr="00D44503">
        <w:rPr>
          <w:rFonts w:cs="David"/>
          <w:sz w:val="28"/>
          <w:szCs w:val="28"/>
          <w:rtl/>
        </w:rPr>
        <w:t xml:space="preserve">, </w:t>
      </w:r>
      <w:r w:rsidR="00D44503" w:rsidRPr="00D44503">
        <w:rPr>
          <w:rFonts w:cs="David" w:hint="cs"/>
          <w:sz w:val="28"/>
          <w:szCs w:val="28"/>
          <w:rtl/>
        </w:rPr>
        <w:t>יש</w:t>
      </w:r>
      <w:r w:rsidR="00D44503" w:rsidRPr="00D44503">
        <w:rPr>
          <w:rFonts w:cs="David"/>
          <w:sz w:val="28"/>
          <w:szCs w:val="28"/>
          <w:rtl/>
        </w:rPr>
        <w:t xml:space="preserve"> </w:t>
      </w:r>
      <w:r w:rsidR="00D44503" w:rsidRPr="00D44503">
        <w:rPr>
          <w:rFonts w:cs="David" w:hint="cs"/>
          <w:sz w:val="28"/>
          <w:szCs w:val="28"/>
          <w:rtl/>
        </w:rPr>
        <w:t>בכך</w:t>
      </w:r>
      <w:r w:rsidR="00D44503" w:rsidRPr="00D44503">
        <w:rPr>
          <w:rFonts w:cs="David"/>
          <w:sz w:val="28"/>
          <w:szCs w:val="28"/>
          <w:rtl/>
        </w:rPr>
        <w:t xml:space="preserve"> </w:t>
      </w:r>
      <w:r w:rsidR="00D44503" w:rsidRPr="00D44503">
        <w:rPr>
          <w:rFonts w:cs="David" w:hint="cs"/>
          <w:sz w:val="28"/>
          <w:szCs w:val="28"/>
          <w:rtl/>
        </w:rPr>
        <w:t>כדי</w:t>
      </w:r>
      <w:r w:rsidR="00D44503" w:rsidRPr="00D44503">
        <w:rPr>
          <w:rFonts w:cs="David"/>
          <w:sz w:val="28"/>
          <w:szCs w:val="28"/>
          <w:rtl/>
        </w:rPr>
        <w:t xml:space="preserve"> </w:t>
      </w:r>
      <w:r w:rsidR="00D44503" w:rsidRPr="00D44503">
        <w:rPr>
          <w:rFonts w:cs="David" w:hint="cs"/>
          <w:sz w:val="28"/>
          <w:szCs w:val="28"/>
          <w:rtl/>
        </w:rPr>
        <w:t>להגביל</w:t>
      </w:r>
      <w:r w:rsidR="00D44503" w:rsidRPr="00D44503">
        <w:rPr>
          <w:rFonts w:cs="David"/>
          <w:sz w:val="28"/>
          <w:szCs w:val="28"/>
          <w:rtl/>
        </w:rPr>
        <w:t xml:space="preserve"> </w:t>
      </w:r>
      <w:r w:rsidR="00D44503" w:rsidRPr="00D44503">
        <w:rPr>
          <w:rFonts w:cs="David" w:hint="cs"/>
          <w:sz w:val="28"/>
          <w:szCs w:val="28"/>
          <w:rtl/>
        </w:rPr>
        <w:t>את</w:t>
      </w:r>
      <w:r w:rsidR="00D44503" w:rsidRPr="00D44503">
        <w:rPr>
          <w:rFonts w:cs="David"/>
          <w:sz w:val="28"/>
          <w:szCs w:val="28"/>
          <w:rtl/>
        </w:rPr>
        <w:t xml:space="preserve"> </w:t>
      </w:r>
      <w:r w:rsidR="00D44503" w:rsidRPr="00D44503">
        <w:rPr>
          <w:rFonts w:cs="David" w:hint="cs"/>
          <w:sz w:val="28"/>
          <w:szCs w:val="28"/>
          <w:rtl/>
        </w:rPr>
        <w:t>מרחב</w:t>
      </w:r>
      <w:r w:rsidR="00D44503" w:rsidRPr="00D44503">
        <w:rPr>
          <w:rFonts w:cs="David"/>
          <w:sz w:val="28"/>
          <w:szCs w:val="28"/>
          <w:rtl/>
        </w:rPr>
        <w:t xml:space="preserve"> </w:t>
      </w:r>
      <w:r w:rsidR="00D44503" w:rsidRPr="00D44503">
        <w:rPr>
          <w:rFonts w:cs="David" w:hint="cs"/>
          <w:sz w:val="28"/>
          <w:szCs w:val="28"/>
          <w:rtl/>
        </w:rPr>
        <w:t>האפשרויות</w:t>
      </w:r>
      <w:r w:rsidR="00D44503" w:rsidRPr="00D44503">
        <w:rPr>
          <w:rFonts w:cs="David"/>
          <w:sz w:val="28"/>
          <w:szCs w:val="28"/>
          <w:rtl/>
        </w:rPr>
        <w:t xml:space="preserve"> </w:t>
      </w:r>
      <w:r w:rsidR="00D44503" w:rsidRPr="00D44503">
        <w:rPr>
          <w:rFonts w:cs="David" w:hint="cs"/>
          <w:sz w:val="28"/>
          <w:szCs w:val="28"/>
          <w:rtl/>
        </w:rPr>
        <w:t>בפרישת</w:t>
      </w:r>
      <w:r w:rsidR="00D44503" w:rsidRPr="00D44503">
        <w:rPr>
          <w:rFonts w:cs="David"/>
          <w:sz w:val="28"/>
          <w:szCs w:val="28"/>
          <w:rtl/>
        </w:rPr>
        <w:t xml:space="preserve"> </w:t>
      </w:r>
      <w:r w:rsidR="00D44503" w:rsidRPr="00D44503">
        <w:rPr>
          <w:rFonts w:cs="David" w:hint="cs"/>
          <w:sz w:val="28"/>
          <w:szCs w:val="28"/>
          <w:rtl/>
        </w:rPr>
        <w:t>הדרכים</w:t>
      </w:r>
      <w:r w:rsidR="00D44503" w:rsidRPr="00D44503">
        <w:rPr>
          <w:rFonts w:cs="David"/>
          <w:sz w:val="28"/>
          <w:szCs w:val="28"/>
          <w:rtl/>
        </w:rPr>
        <w:t xml:space="preserve"> </w:t>
      </w:r>
      <w:r w:rsidR="00D44503" w:rsidRPr="00D44503">
        <w:rPr>
          <w:rFonts w:cs="David" w:hint="cs"/>
          <w:sz w:val="28"/>
          <w:szCs w:val="28"/>
          <w:rtl/>
        </w:rPr>
        <w:t>לפעולה</w:t>
      </w:r>
      <w:r w:rsidR="00D44503" w:rsidRPr="00D44503">
        <w:rPr>
          <w:rFonts w:cs="David"/>
          <w:sz w:val="28"/>
          <w:szCs w:val="28"/>
          <w:rtl/>
        </w:rPr>
        <w:t xml:space="preserve">. </w:t>
      </w:r>
      <w:r w:rsidR="00D44503" w:rsidRPr="00D44503">
        <w:rPr>
          <w:rFonts w:cs="David" w:hint="cs"/>
          <w:sz w:val="28"/>
          <w:szCs w:val="28"/>
          <w:rtl/>
        </w:rPr>
        <w:t>בהתאם</w:t>
      </w:r>
      <w:r w:rsidR="00D44503" w:rsidRPr="00D44503">
        <w:rPr>
          <w:rFonts w:cs="David"/>
          <w:sz w:val="28"/>
          <w:szCs w:val="28"/>
          <w:rtl/>
        </w:rPr>
        <w:t xml:space="preserve">, </w:t>
      </w:r>
      <w:r w:rsidR="00D44503" w:rsidRPr="00D44503">
        <w:rPr>
          <w:rFonts w:cs="David" w:hint="cs"/>
          <w:sz w:val="28"/>
          <w:szCs w:val="28"/>
          <w:rtl/>
        </w:rPr>
        <w:t>חלק</w:t>
      </w:r>
      <w:r w:rsidR="00D44503" w:rsidRPr="00D44503">
        <w:rPr>
          <w:rFonts w:cs="David"/>
          <w:sz w:val="28"/>
          <w:szCs w:val="28"/>
          <w:rtl/>
        </w:rPr>
        <w:t xml:space="preserve"> </w:t>
      </w:r>
      <w:r w:rsidR="00D44503" w:rsidRPr="00D44503">
        <w:rPr>
          <w:rFonts w:cs="David" w:hint="cs"/>
          <w:sz w:val="28"/>
          <w:szCs w:val="28"/>
          <w:rtl/>
        </w:rPr>
        <w:t>מהעניינים</w:t>
      </w:r>
      <w:r w:rsidR="00D44503" w:rsidRPr="00D44503">
        <w:rPr>
          <w:rFonts w:cs="David"/>
          <w:sz w:val="28"/>
          <w:szCs w:val="28"/>
          <w:rtl/>
        </w:rPr>
        <w:t xml:space="preserve"> </w:t>
      </w:r>
      <w:r w:rsidR="00D44503" w:rsidRPr="00D44503">
        <w:rPr>
          <w:rFonts w:cs="David" w:hint="cs"/>
          <w:sz w:val="28"/>
          <w:szCs w:val="28"/>
          <w:rtl/>
        </w:rPr>
        <w:t>יוצגו</w:t>
      </w:r>
      <w:r w:rsidR="00D44503" w:rsidRPr="00D44503">
        <w:rPr>
          <w:rFonts w:cs="David"/>
          <w:sz w:val="28"/>
          <w:szCs w:val="28"/>
          <w:rtl/>
        </w:rPr>
        <w:t xml:space="preserve"> </w:t>
      </w:r>
      <w:r w:rsidR="00D44503" w:rsidRPr="00D44503">
        <w:rPr>
          <w:rFonts w:cs="David" w:hint="cs"/>
          <w:sz w:val="28"/>
          <w:szCs w:val="28"/>
          <w:rtl/>
        </w:rPr>
        <w:t>כדרכים</w:t>
      </w:r>
      <w:r w:rsidR="00D44503" w:rsidRPr="00D44503">
        <w:rPr>
          <w:rFonts w:cs="David"/>
          <w:sz w:val="28"/>
          <w:szCs w:val="28"/>
          <w:rtl/>
        </w:rPr>
        <w:t xml:space="preserve"> </w:t>
      </w:r>
      <w:r w:rsidR="00D44503" w:rsidRPr="00D44503">
        <w:rPr>
          <w:rFonts w:cs="David" w:hint="cs"/>
          <w:sz w:val="28"/>
          <w:szCs w:val="28"/>
          <w:rtl/>
        </w:rPr>
        <w:t>אפשריות</w:t>
      </w:r>
      <w:r w:rsidR="00D44503" w:rsidRPr="00D44503">
        <w:rPr>
          <w:rFonts w:cs="David"/>
          <w:sz w:val="28"/>
          <w:szCs w:val="28"/>
          <w:rtl/>
        </w:rPr>
        <w:t xml:space="preserve"> </w:t>
      </w:r>
      <w:r w:rsidR="00D44503" w:rsidRPr="00D44503">
        <w:rPr>
          <w:rFonts w:cs="David" w:hint="cs"/>
          <w:sz w:val="28"/>
          <w:szCs w:val="28"/>
          <w:rtl/>
        </w:rPr>
        <w:t>לפעולה</w:t>
      </w:r>
      <w:r w:rsidR="00D44503" w:rsidRPr="00D44503">
        <w:rPr>
          <w:rFonts w:cs="David"/>
          <w:sz w:val="28"/>
          <w:szCs w:val="28"/>
          <w:rtl/>
        </w:rPr>
        <w:t xml:space="preserve">, </w:t>
      </w:r>
      <w:r w:rsidR="00D44503" w:rsidRPr="00D44503">
        <w:rPr>
          <w:rFonts w:cs="David" w:hint="cs"/>
          <w:sz w:val="28"/>
          <w:szCs w:val="28"/>
          <w:rtl/>
        </w:rPr>
        <w:t>מבלי</w:t>
      </w:r>
      <w:r w:rsidR="00D44503" w:rsidRPr="00D44503">
        <w:rPr>
          <w:rFonts w:cs="David"/>
          <w:sz w:val="28"/>
          <w:szCs w:val="28"/>
          <w:rtl/>
        </w:rPr>
        <w:t xml:space="preserve"> </w:t>
      </w:r>
      <w:r w:rsidR="00D44503" w:rsidRPr="00D44503">
        <w:rPr>
          <w:rFonts w:cs="David" w:hint="cs"/>
          <w:sz w:val="28"/>
          <w:szCs w:val="28"/>
          <w:rtl/>
        </w:rPr>
        <w:t>שיצוין</w:t>
      </w:r>
      <w:r w:rsidR="00D44503" w:rsidRPr="00D44503">
        <w:rPr>
          <w:rFonts w:cs="David"/>
          <w:sz w:val="28"/>
          <w:szCs w:val="28"/>
          <w:rtl/>
        </w:rPr>
        <w:t xml:space="preserve"> </w:t>
      </w:r>
      <w:r w:rsidR="00D44503" w:rsidRPr="00D44503">
        <w:rPr>
          <w:rFonts w:cs="David" w:hint="cs"/>
          <w:sz w:val="28"/>
          <w:szCs w:val="28"/>
          <w:rtl/>
        </w:rPr>
        <w:t>אם</w:t>
      </w:r>
      <w:r w:rsidR="00D44503" w:rsidRPr="00D44503">
        <w:rPr>
          <w:rFonts w:cs="David"/>
          <w:sz w:val="28"/>
          <w:szCs w:val="28"/>
          <w:rtl/>
        </w:rPr>
        <w:t xml:space="preserve"> </w:t>
      </w:r>
      <w:r w:rsidR="00D44503" w:rsidRPr="00D44503">
        <w:rPr>
          <w:rFonts w:cs="David" w:hint="cs"/>
          <w:sz w:val="28"/>
          <w:szCs w:val="28"/>
          <w:rtl/>
        </w:rPr>
        <w:t>מדינת</w:t>
      </w:r>
      <w:r w:rsidR="00D44503" w:rsidRPr="00D44503">
        <w:rPr>
          <w:rFonts w:cs="David"/>
          <w:sz w:val="28"/>
          <w:szCs w:val="28"/>
          <w:rtl/>
        </w:rPr>
        <w:t xml:space="preserve"> </w:t>
      </w:r>
      <w:r w:rsidR="00D44503" w:rsidRPr="00D44503">
        <w:rPr>
          <w:rFonts w:cs="David" w:hint="cs"/>
          <w:sz w:val="28"/>
          <w:szCs w:val="28"/>
          <w:rtl/>
        </w:rPr>
        <w:t>ישראל</w:t>
      </w:r>
      <w:r w:rsidR="00D44503" w:rsidRPr="00D44503">
        <w:rPr>
          <w:rFonts w:cs="David"/>
          <w:sz w:val="28"/>
          <w:szCs w:val="28"/>
          <w:rtl/>
        </w:rPr>
        <w:t xml:space="preserve"> </w:t>
      </w:r>
      <w:r w:rsidR="00D44503" w:rsidRPr="00D44503">
        <w:rPr>
          <w:rFonts w:cs="David" w:hint="cs"/>
          <w:sz w:val="28"/>
          <w:szCs w:val="28"/>
          <w:rtl/>
        </w:rPr>
        <w:t>נהגה</w:t>
      </w:r>
      <w:r w:rsidR="00D44503" w:rsidRPr="00D44503">
        <w:rPr>
          <w:rFonts w:cs="David"/>
          <w:sz w:val="28"/>
          <w:szCs w:val="28"/>
          <w:rtl/>
        </w:rPr>
        <w:t xml:space="preserve"> </w:t>
      </w:r>
      <w:r w:rsidR="00D44503" w:rsidRPr="00D44503">
        <w:rPr>
          <w:rFonts w:cs="David" w:hint="cs"/>
          <w:sz w:val="28"/>
          <w:szCs w:val="28"/>
          <w:rtl/>
        </w:rPr>
        <w:t>כך</w:t>
      </w:r>
      <w:r w:rsidR="00D44503" w:rsidRPr="00D44503">
        <w:rPr>
          <w:rFonts w:cs="David"/>
          <w:sz w:val="28"/>
          <w:szCs w:val="28"/>
          <w:rtl/>
        </w:rPr>
        <w:t xml:space="preserve"> </w:t>
      </w:r>
      <w:r w:rsidR="00D44503" w:rsidRPr="00D44503">
        <w:rPr>
          <w:rFonts w:cs="David" w:hint="cs"/>
          <w:sz w:val="28"/>
          <w:szCs w:val="28"/>
          <w:rtl/>
        </w:rPr>
        <w:t>בעבר</w:t>
      </w:r>
      <w:r w:rsidR="00D44503" w:rsidRPr="00D44503">
        <w:rPr>
          <w:rFonts w:cs="David"/>
          <w:sz w:val="28"/>
          <w:szCs w:val="28"/>
          <w:rtl/>
        </w:rPr>
        <w:t xml:space="preserve"> </w:t>
      </w:r>
      <w:r w:rsidR="00D44503" w:rsidRPr="00D44503">
        <w:rPr>
          <w:rFonts w:cs="David" w:hint="cs"/>
          <w:sz w:val="28"/>
          <w:szCs w:val="28"/>
          <w:rtl/>
        </w:rPr>
        <w:t>במקרה</w:t>
      </w:r>
      <w:r w:rsidR="00D44503" w:rsidRPr="00D44503">
        <w:rPr>
          <w:rFonts w:cs="David"/>
          <w:sz w:val="28"/>
          <w:szCs w:val="28"/>
          <w:rtl/>
        </w:rPr>
        <w:t xml:space="preserve"> </w:t>
      </w:r>
      <w:r w:rsidR="00D44503" w:rsidRPr="00D44503">
        <w:rPr>
          <w:rFonts w:cs="David" w:hint="cs"/>
          <w:sz w:val="28"/>
          <w:szCs w:val="28"/>
          <w:rtl/>
        </w:rPr>
        <w:t>כלשהו</w:t>
      </w:r>
      <w:r w:rsidR="00D44503" w:rsidRPr="00D44503">
        <w:rPr>
          <w:rFonts w:cs="David"/>
          <w:sz w:val="28"/>
          <w:szCs w:val="28"/>
          <w:rtl/>
        </w:rPr>
        <w:t xml:space="preserve"> </w:t>
      </w:r>
      <w:r w:rsidR="00D44503" w:rsidRPr="00D44503">
        <w:rPr>
          <w:rFonts w:cs="David" w:hint="cs"/>
          <w:sz w:val="28"/>
          <w:szCs w:val="28"/>
          <w:rtl/>
        </w:rPr>
        <w:t>או</w:t>
      </w:r>
      <w:r w:rsidR="00D44503" w:rsidRPr="00D44503">
        <w:rPr>
          <w:rFonts w:cs="David"/>
          <w:sz w:val="28"/>
          <w:szCs w:val="28"/>
          <w:rtl/>
        </w:rPr>
        <w:t xml:space="preserve"> </w:t>
      </w:r>
      <w:r w:rsidR="00D44503" w:rsidRPr="00D44503">
        <w:rPr>
          <w:rFonts w:cs="David" w:hint="cs"/>
          <w:sz w:val="28"/>
          <w:szCs w:val="28"/>
          <w:rtl/>
        </w:rPr>
        <w:t>שזו</w:t>
      </w:r>
      <w:r w:rsidR="00756559">
        <w:rPr>
          <w:rFonts w:cs="David" w:hint="cs"/>
          <w:sz w:val="28"/>
          <w:szCs w:val="28"/>
          <w:rtl/>
        </w:rPr>
        <w:t>הי</w:t>
      </w:r>
      <w:r w:rsidR="00D44503" w:rsidRPr="00D44503">
        <w:rPr>
          <w:rFonts w:cs="David"/>
          <w:sz w:val="28"/>
          <w:szCs w:val="28"/>
          <w:rtl/>
        </w:rPr>
        <w:t xml:space="preserve"> </w:t>
      </w:r>
      <w:r w:rsidR="00D44503" w:rsidRPr="00D44503">
        <w:rPr>
          <w:rFonts w:cs="David" w:hint="cs"/>
          <w:sz w:val="28"/>
          <w:szCs w:val="28"/>
          <w:rtl/>
        </w:rPr>
        <w:t>רק</w:t>
      </w:r>
      <w:r w:rsidR="00D44503" w:rsidRPr="00D44503">
        <w:rPr>
          <w:rFonts w:cs="David"/>
          <w:sz w:val="28"/>
          <w:szCs w:val="28"/>
          <w:rtl/>
        </w:rPr>
        <w:t xml:space="preserve"> </w:t>
      </w:r>
      <w:r w:rsidR="00D44503" w:rsidRPr="00D44503">
        <w:rPr>
          <w:rFonts w:cs="David" w:hint="cs"/>
          <w:sz w:val="28"/>
          <w:szCs w:val="28"/>
          <w:rtl/>
        </w:rPr>
        <w:t>דרך</w:t>
      </w:r>
      <w:r w:rsidR="00D44503" w:rsidRPr="00D44503">
        <w:rPr>
          <w:rFonts w:cs="David"/>
          <w:sz w:val="28"/>
          <w:szCs w:val="28"/>
          <w:rtl/>
        </w:rPr>
        <w:t xml:space="preserve"> </w:t>
      </w:r>
      <w:r w:rsidR="00D44503" w:rsidRPr="00D44503">
        <w:rPr>
          <w:rFonts w:cs="David" w:hint="cs"/>
          <w:sz w:val="28"/>
          <w:szCs w:val="28"/>
          <w:rtl/>
        </w:rPr>
        <w:t>פעולה</w:t>
      </w:r>
      <w:r w:rsidR="00D44503" w:rsidRPr="00D44503">
        <w:rPr>
          <w:rFonts w:cs="David"/>
          <w:sz w:val="28"/>
          <w:szCs w:val="28"/>
          <w:rtl/>
        </w:rPr>
        <w:t xml:space="preserve"> </w:t>
      </w:r>
      <w:r w:rsidR="00D44503" w:rsidRPr="00D44503">
        <w:rPr>
          <w:rFonts w:cs="David" w:hint="cs"/>
          <w:sz w:val="28"/>
          <w:szCs w:val="28"/>
          <w:rtl/>
        </w:rPr>
        <w:t>אפשרית</w:t>
      </w:r>
      <w:r w:rsidR="00D44503" w:rsidRPr="00D44503">
        <w:rPr>
          <w:rFonts w:cs="David"/>
          <w:sz w:val="28"/>
          <w:szCs w:val="28"/>
          <w:rtl/>
        </w:rPr>
        <w:t xml:space="preserve"> </w:t>
      </w:r>
      <w:r w:rsidR="00D44503" w:rsidRPr="00D44503">
        <w:rPr>
          <w:rFonts w:cs="David" w:hint="cs"/>
          <w:sz w:val="28"/>
          <w:szCs w:val="28"/>
          <w:rtl/>
        </w:rPr>
        <w:t>לעתיד</w:t>
      </w:r>
      <w:r w:rsidR="00D44503" w:rsidRPr="00D44503">
        <w:rPr>
          <w:rFonts w:cs="David"/>
          <w:sz w:val="28"/>
          <w:szCs w:val="28"/>
          <w:rtl/>
        </w:rPr>
        <w:t>.</w:t>
      </w:r>
    </w:p>
    <w:p w:rsidR="00845019" w:rsidRPr="0004711E" w:rsidRDefault="00845019" w:rsidP="001570AB">
      <w:pPr>
        <w:pStyle w:val="a9"/>
        <w:spacing w:after="0" w:line="360" w:lineRule="auto"/>
        <w:ind w:left="0"/>
        <w:jc w:val="both"/>
        <w:rPr>
          <w:rFonts w:cs="David"/>
          <w:sz w:val="28"/>
          <w:szCs w:val="28"/>
        </w:rPr>
      </w:pPr>
    </w:p>
    <w:p w:rsidR="00845019" w:rsidRPr="0004711E" w:rsidRDefault="00845019" w:rsidP="001570AB">
      <w:pPr>
        <w:spacing w:after="0" w:line="360" w:lineRule="auto"/>
        <w:jc w:val="both"/>
        <w:rPr>
          <w:rFonts w:cs="David"/>
          <w:sz w:val="28"/>
          <w:szCs w:val="28"/>
          <w:rtl/>
        </w:rPr>
      </w:pPr>
      <w:r w:rsidRPr="0004711E">
        <w:rPr>
          <w:rFonts w:cs="David" w:hint="cs"/>
          <w:sz w:val="28"/>
          <w:szCs w:val="28"/>
          <w:rtl/>
        </w:rPr>
        <w:t xml:space="preserve">אתגרים אלה גם </w:t>
      </w:r>
      <w:r w:rsidR="00DA0B54" w:rsidRPr="0004711E">
        <w:rPr>
          <w:rFonts w:cs="David" w:hint="cs"/>
          <w:sz w:val="28"/>
          <w:szCs w:val="28"/>
          <w:rtl/>
        </w:rPr>
        <w:t>מקש</w:t>
      </w:r>
      <w:r w:rsidRPr="0004711E">
        <w:rPr>
          <w:rFonts w:cs="David" w:hint="cs"/>
          <w:sz w:val="28"/>
          <w:szCs w:val="28"/>
          <w:rtl/>
        </w:rPr>
        <w:t>ים</w:t>
      </w:r>
      <w:r w:rsidR="00DA0B54" w:rsidRPr="0004711E">
        <w:rPr>
          <w:rFonts w:cs="David" w:hint="cs"/>
          <w:sz w:val="28"/>
          <w:szCs w:val="28"/>
          <w:rtl/>
        </w:rPr>
        <w:t xml:space="preserve"> על הפניה לאסמכתאות</w:t>
      </w:r>
      <w:r w:rsidRPr="0004711E">
        <w:rPr>
          <w:rFonts w:cs="David" w:hint="cs"/>
          <w:sz w:val="28"/>
          <w:szCs w:val="28"/>
          <w:rtl/>
        </w:rPr>
        <w:t xml:space="preserve"> לגבי חלק גדול מהנושאים. </w:t>
      </w:r>
      <w:r w:rsidR="00DA0B54" w:rsidRPr="0004711E">
        <w:rPr>
          <w:rFonts w:cs="David" w:hint="cs"/>
          <w:sz w:val="28"/>
          <w:szCs w:val="28"/>
          <w:rtl/>
        </w:rPr>
        <w:t xml:space="preserve">העבודה מבטאת את הידע והניסיון </w:t>
      </w:r>
      <w:r w:rsidRPr="0004711E">
        <w:rPr>
          <w:rFonts w:cs="David" w:hint="cs"/>
          <w:sz w:val="28"/>
          <w:szCs w:val="28"/>
          <w:rtl/>
        </w:rPr>
        <w:t xml:space="preserve">הרב </w:t>
      </w:r>
      <w:r w:rsidR="00DA0B54" w:rsidRPr="0004711E">
        <w:rPr>
          <w:rFonts w:cs="David" w:hint="cs"/>
          <w:sz w:val="28"/>
          <w:szCs w:val="28"/>
          <w:rtl/>
        </w:rPr>
        <w:t xml:space="preserve">שנצברו בעניין זה במדינת ישראל בכל המעגלים הרלוונטיים, מפי האנשים שיודעים בפועל מתי היה שיתוף פעולה </w:t>
      </w:r>
      <w:r w:rsidRPr="0004711E">
        <w:rPr>
          <w:rFonts w:cs="David" w:hint="cs"/>
          <w:sz w:val="28"/>
          <w:szCs w:val="28"/>
          <w:rtl/>
        </w:rPr>
        <w:t xml:space="preserve">עם </w:t>
      </w:r>
      <w:r w:rsidR="009C039C">
        <w:rPr>
          <w:rFonts w:cs="David" w:hint="cs"/>
          <w:sz w:val="28"/>
          <w:szCs w:val="28"/>
          <w:rtl/>
        </w:rPr>
        <w:t>ועדת חקירה בינלאומית</w:t>
      </w:r>
      <w:r w:rsidRPr="0004711E">
        <w:rPr>
          <w:rFonts w:cs="David" w:hint="cs"/>
          <w:sz w:val="28"/>
          <w:szCs w:val="28"/>
          <w:rtl/>
        </w:rPr>
        <w:t xml:space="preserve"> </w:t>
      </w:r>
      <w:r w:rsidR="00DA0B54" w:rsidRPr="0004711E">
        <w:rPr>
          <w:rFonts w:cs="David" w:hint="cs"/>
          <w:sz w:val="28"/>
          <w:szCs w:val="28"/>
          <w:rtl/>
        </w:rPr>
        <w:t>ובאיזה אופן</w:t>
      </w:r>
      <w:r w:rsidRPr="0004711E">
        <w:rPr>
          <w:rFonts w:cs="David" w:hint="cs"/>
          <w:sz w:val="28"/>
          <w:szCs w:val="28"/>
          <w:rtl/>
        </w:rPr>
        <w:t>, ומפי האנשים שאינם יודעים את הפרטים לאשורם אך עקבו אחר התהליכים בזמן התרחשותם מעמדות רלוונטיות</w:t>
      </w:r>
      <w:r w:rsidR="00FF478D" w:rsidRPr="0004711E">
        <w:rPr>
          <w:rFonts w:cs="David" w:hint="cs"/>
          <w:sz w:val="28"/>
          <w:szCs w:val="28"/>
          <w:rtl/>
        </w:rPr>
        <w:t>,</w:t>
      </w:r>
      <w:r w:rsidRPr="0004711E">
        <w:rPr>
          <w:rFonts w:cs="David" w:hint="cs"/>
          <w:sz w:val="28"/>
          <w:szCs w:val="28"/>
          <w:rtl/>
        </w:rPr>
        <w:t xml:space="preserve"> אך לא כמקבלי החלטות</w:t>
      </w:r>
      <w:r w:rsidR="00DA0B54" w:rsidRPr="0004711E">
        <w:rPr>
          <w:rFonts w:cs="David" w:hint="cs"/>
          <w:sz w:val="28"/>
          <w:szCs w:val="28"/>
          <w:rtl/>
        </w:rPr>
        <w:t xml:space="preserve">. </w:t>
      </w:r>
      <w:r w:rsidR="00FF478D" w:rsidRPr="0004711E">
        <w:rPr>
          <w:rFonts w:cs="David" w:hint="cs"/>
          <w:sz w:val="28"/>
          <w:szCs w:val="28"/>
          <w:rtl/>
        </w:rPr>
        <w:t>הגם ש</w:t>
      </w:r>
      <w:r w:rsidRPr="0004711E">
        <w:rPr>
          <w:rFonts w:cs="David" w:hint="cs"/>
          <w:sz w:val="28"/>
          <w:szCs w:val="28"/>
          <w:rtl/>
        </w:rPr>
        <w:t xml:space="preserve">הדברים שייכתבו בעבודה מבוססים על הניסיון שנצבר </w:t>
      </w:r>
      <w:r w:rsidR="001570AB">
        <w:rPr>
          <w:rFonts w:cs="David" w:hint="cs"/>
          <w:sz w:val="28"/>
          <w:szCs w:val="28"/>
          <w:rtl/>
        </w:rPr>
        <w:t>בקרב</w:t>
      </w:r>
      <w:r w:rsidR="001570AB" w:rsidRPr="0004711E">
        <w:rPr>
          <w:rFonts w:cs="David" w:hint="cs"/>
          <w:sz w:val="28"/>
          <w:szCs w:val="28"/>
          <w:rtl/>
        </w:rPr>
        <w:t xml:space="preserve"> </w:t>
      </w:r>
      <w:r w:rsidR="00FF478D" w:rsidRPr="0004711E">
        <w:rPr>
          <w:rFonts w:cs="David" w:hint="cs"/>
          <w:sz w:val="28"/>
          <w:szCs w:val="28"/>
          <w:rtl/>
        </w:rPr>
        <w:t>כלל ה</w:t>
      </w:r>
      <w:r w:rsidRPr="0004711E">
        <w:rPr>
          <w:rFonts w:cs="David" w:hint="cs"/>
          <w:sz w:val="28"/>
          <w:szCs w:val="28"/>
          <w:rtl/>
        </w:rPr>
        <w:t xml:space="preserve">גורמים </w:t>
      </w:r>
      <w:r w:rsidR="00FF478D" w:rsidRPr="0004711E">
        <w:rPr>
          <w:rFonts w:cs="David" w:hint="cs"/>
          <w:sz w:val="28"/>
          <w:szCs w:val="28"/>
          <w:rtl/>
        </w:rPr>
        <w:t>כאמור, ה</w:t>
      </w:r>
      <w:r w:rsidRPr="0004711E">
        <w:rPr>
          <w:rFonts w:cs="David" w:hint="cs"/>
          <w:sz w:val="28"/>
          <w:szCs w:val="28"/>
          <w:rtl/>
        </w:rPr>
        <w:t xml:space="preserve">ניתוח </w:t>
      </w:r>
      <w:r w:rsidR="00FF478D" w:rsidRPr="0004711E">
        <w:rPr>
          <w:rFonts w:cs="David" w:hint="cs"/>
          <w:sz w:val="28"/>
          <w:szCs w:val="28"/>
          <w:rtl/>
        </w:rPr>
        <w:t xml:space="preserve">שיוצג בעבודה וההמלצות הכלולות בה הן </w:t>
      </w:r>
      <w:r w:rsidRPr="0004711E">
        <w:rPr>
          <w:rFonts w:cs="David" w:hint="cs"/>
          <w:sz w:val="28"/>
          <w:szCs w:val="28"/>
          <w:rtl/>
        </w:rPr>
        <w:t>של</w:t>
      </w:r>
      <w:r w:rsidR="00FF478D" w:rsidRPr="0004711E">
        <w:rPr>
          <w:rFonts w:cs="David" w:hint="cs"/>
          <w:sz w:val="28"/>
          <w:szCs w:val="28"/>
          <w:rtl/>
        </w:rPr>
        <w:t xml:space="preserve"> כותב עבודה זו ושלו בלבד</w:t>
      </w:r>
      <w:r w:rsidRPr="0004711E">
        <w:rPr>
          <w:rFonts w:cs="David" w:hint="cs"/>
          <w:sz w:val="28"/>
          <w:szCs w:val="28"/>
          <w:rtl/>
        </w:rPr>
        <w:t>.</w:t>
      </w:r>
    </w:p>
    <w:p w:rsidR="00FF478D" w:rsidRPr="0004711E" w:rsidRDefault="00FF478D" w:rsidP="008B316C">
      <w:pPr>
        <w:spacing w:after="0" w:line="360" w:lineRule="auto"/>
        <w:jc w:val="both"/>
        <w:rPr>
          <w:rFonts w:cs="David"/>
          <w:sz w:val="28"/>
          <w:szCs w:val="28"/>
          <w:rtl/>
        </w:rPr>
      </w:pPr>
    </w:p>
    <w:p w:rsidR="00FF478D" w:rsidRPr="0004711E" w:rsidRDefault="00FF478D" w:rsidP="0074404A">
      <w:pPr>
        <w:spacing w:after="0" w:line="360" w:lineRule="auto"/>
        <w:jc w:val="both"/>
        <w:rPr>
          <w:rFonts w:cs="David"/>
          <w:sz w:val="28"/>
          <w:szCs w:val="28"/>
          <w:rtl/>
        </w:rPr>
      </w:pPr>
      <w:r w:rsidRPr="0004711E">
        <w:rPr>
          <w:rFonts w:cs="David" w:hint="cs"/>
          <w:sz w:val="28"/>
          <w:szCs w:val="28"/>
          <w:rtl/>
        </w:rPr>
        <w:t xml:space="preserve">כפי שניתן להתרשם מרשימת המרואיינים הארוכה </w:t>
      </w:r>
      <w:r w:rsidR="006303B8" w:rsidRPr="0004711E">
        <w:rPr>
          <w:rFonts w:cs="David" w:hint="cs"/>
          <w:sz w:val="28"/>
          <w:szCs w:val="28"/>
          <w:rtl/>
        </w:rPr>
        <w:t xml:space="preserve">שבסוף העבודה </w:t>
      </w:r>
      <w:r w:rsidRPr="0004711E">
        <w:rPr>
          <w:rFonts w:cs="David" w:hint="cs"/>
          <w:sz w:val="28"/>
          <w:szCs w:val="28"/>
          <w:rtl/>
        </w:rPr>
        <w:t>(למעלה מ-30 מרואיינים</w:t>
      </w:r>
      <w:r w:rsidR="006303B8" w:rsidRPr="0004711E">
        <w:rPr>
          <w:rFonts w:cs="David" w:hint="cs"/>
          <w:sz w:val="28"/>
          <w:szCs w:val="28"/>
          <w:rtl/>
        </w:rPr>
        <w:t xml:space="preserve">; מספר מרואיינים </w:t>
      </w:r>
      <w:r w:rsidR="0074404A">
        <w:rPr>
          <w:rFonts w:cs="David" w:hint="cs"/>
          <w:sz w:val="28"/>
          <w:szCs w:val="28"/>
          <w:rtl/>
        </w:rPr>
        <w:t xml:space="preserve">נוספים </w:t>
      </w:r>
      <w:r w:rsidR="006303B8" w:rsidRPr="0004711E">
        <w:rPr>
          <w:rFonts w:cs="David" w:hint="cs"/>
          <w:sz w:val="28"/>
          <w:szCs w:val="28"/>
          <w:rtl/>
        </w:rPr>
        <w:t>ביקשו ששמם לא יוזכר ברשימה</w:t>
      </w:r>
      <w:r w:rsidRPr="0004711E">
        <w:rPr>
          <w:rFonts w:cs="David" w:hint="cs"/>
          <w:sz w:val="28"/>
          <w:szCs w:val="28"/>
          <w:rtl/>
        </w:rPr>
        <w:t xml:space="preserve">), המחקר </w:t>
      </w:r>
      <w:r w:rsidRPr="0004711E">
        <w:rPr>
          <w:rFonts w:cs="David" w:hint="cs"/>
          <w:sz w:val="28"/>
          <w:szCs w:val="28"/>
          <w:rtl/>
        </w:rPr>
        <w:lastRenderedPageBreak/>
        <w:t xml:space="preserve">ניסה להגיע לאנשים שיש להם נגיעה לנושא מכל עבריו. כך, רואיינו דיפלומטים במשרד החוץ, שייצגו את ישראל בזירה המדינית; משפטנים ממשרד החוץ, </w:t>
      </w:r>
      <w:r w:rsidR="001570AB">
        <w:rPr>
          <w:rFonts w:cs="David" w:hint="cs"/>
          <w:sz w:val="28"/>
          <w:szCs w:val="28"/>
          <w:rtl/>
        </w:rPr>
        <w:t>מ</w:t>
      </w:r>
      <w:r w:rsidRPr="0004711E">
        <w:rPr>
          <w:rFonts w:cs="David" w:hint="cs"/>
          <w:sz w:val="28"/>
          <w:szCs w:val="28"/>
          <w:rtl/>
        </w:rPr>
        <w:t xml:space="preserve">משרד המשפטים, </w:t>
      </w:r>
      <w:r w:rsidR="0074404A">
        <w:rPr>
          <w:rFonts w:cs="David" w:hint="cs"/>
          <w:sz w:val="28"/>
          <w:szCs w:val="28"/>
          <w:rtl/>
        </w:rPr>
        <w:t>מ</w:t>
      </w:r>
      <w:r w:rsidRPr="0004711E">
        <w:rPr>
          <w:rFonts w:cs="David" w:hint="cs"/>
          <w:sz w:val="28"/>
          <w:szCs w:val="28"/>
          <w:rtl/>
        </w:rPr>
        <w:t>המטה לביטחון לאומי ו</w:t>
      </w:r>
      <w:r w:rsidR="001570AB">
        <w:rPr>
          <w:rFonts w:cs="David" w:hint="cs"/>
          <w:sz w:val="28"/>
          <w:szCs w:val="28"/>
          <w:rtl/>
        </w:rPr>
        <w:t>מ</w:t>
      </w:r>
      <w:r w:rsidRPr="0004711E">
        <w:rPr>
          <w:rFonts w:cs="David" w:hint="cs"/>
          <w:sz w:val="28"/>
          <w:szCs w:val="28"/>
          <w:rtl/>
        </w:rPr>
        <w:t>הפרקליטות הצבאית, שטיפלו בהיבטים המשפטיים של הנושא; אנשי אקדמיה</w:t>
      </w:r>
      <w:r w:rsidR="00FB1973" w:rsidRPr="0004711E">
        <w:rPr>
          <w:rFonts w:cs="David" w:hint="cs"/>
          <w:sz w:val="28"/>
          <w:szCs w:val="28"/>
          <w:rtl/>
        </w:rPr>
        <w:t xml:space="preserve"> מתחום המשפט הבינלאומי ומדעי המדינה</w:t>
      </w:r>
      <w:r w:rsidRPr="0004711E">
        <w:rPr>
          <w:rFonts w:cs="David" w:hint="cs"/>
          <w:sz w:val="28"/>
          <w:szCs w:val="28"/>
          <w:rtl/>
        </w:rPr>
        <w:t>; נשיאי בית המשפט העליון; אנשי מזכירות הממשלה והמטה לביטחון לאומי, שעמדו מקרוב גם על שילובם של ההיבטים הפוליטיים בתהליך קבלת ההחלטות; אנשי ארגונים אזרחיים שמבקרים את פעילות</w:t>
      </w:r>
      <w:r w:rsidR="0074404A">
        <w:rPr>
          <w:rFonts w:cs="David" w:hint="cs"/>
          <w:sz w:val="28"/>
          <w:szCs w:val="28"/>
          <w:rtl/>
        </w:rPr>
        <w:t>ן</w:t>
      </w:r>
      <w:r w:rsidRPr="0004711E">
        <w:rPr>
          <w:rFonts w:cs="David" w:hint="cs"/>
          <w:sz w:val="28"/>
          <w:szCs w:val="28"/>
          <w:rtl/>
        </w:rPr>
        <w:t xml:space="preserve"> של </w:t>
      </w:r>
      <w:r w:rsidR="009C039C">
        <w:rPr>
          <w:rFonts w:cs="David" w:hint="cs"/>
          <w:sz w:val="28"/>
          <w:szCs w:val="28"/>
          <w:rtl/>
        </w:rPr>
        <w:t>ועדות חקירה בינלאומיות</w:t>
      </w:r>
      <w:r w:rsidRPr="0004711E">
        <w:rPr>
          <w:rFonts w:cs="David" w:hint="cs"/>
          <w:sz w:val="28"/>
          <w:szCs w:val="28"/>
          <w:rtl/>
        </w:rPr>
        <w:t xml:space="preserve">; אנשי חברה אזרחית שפעלו </w:t>
      </w:r>
      <w:r w:rsidR="00FB1973" w:rsidRPr="0004711E">
        <w:rPr>
          <w:rFonts w:cs="David" w:hint="cs"/>
          <w:sz w:val="28"/>
          <w:szCs w:val="28"/>
          <w:rtl/>
        </w:rPr>
        <w:t xml:space="preserve">מול </w:t>
      </w:r>
      <w:r w:rsidR="009C039C">
        <w:rPr>
          <w:rFonts w:cs="David" w:hint="cs"/>
          <w:sz w:val="28"/>
          <w:szCs w:val="28"/>
          <w:rtl/>
        </w:rPr>
        <w:t>ועדות חקירה בינלאומיות</w:t>
      </w:r>
      <w:r w:rsidR="00FB1973" w:rsidRPr="0004711E">
        <w:rPr>
          <w:rFonts w:cs="David" w:hint="cs"/>
          <w:sz w:val="28"/>
          <w:szCs w:val="28"/>
          <w:rtl/>
        </w:rPr>
        <w:t xml:space="preserve"> במהלך בדיקות שאלה ערכו ביחס למדינת ישראל; אנשים שפעלו בוועדות של האו"ם או במחלקה המשפטית של הארגון; אדם שהשתתף כחבר ב</w:t>
      </w:r>
      <w:r w:rsidR="0074404A">
        <w:rPr>
          <w:rFonts w:cs="David" w:hint="cs"/>
          <w:sz w:val="28"/>
          <w:szCs w:val="28"/>
          <w:rtl/>
        </w:rPr>
        <w:t>ו</w:t>
      </w:r>
      <w:r w:rsidR="009C039C">
        <w:rPr>
          <w:rFonts w:cs="David" w:hint="cs"/>
          <w:sz w:val="28"/>
          <w:szCs w:val="28"/>
          <w:rtl/>
        </w:rPr>
        <w:t>ועדת חקירה בינלאומית</w:t>
      </w:r>
      <w:r w:rsidR="00FB1973" w:rsidRPr="0004711E">
        <w:rPr>
          <w:rFonts w:cs="David" w:hint="cs"/>
          <w:sz w:val="28"/>
          <w:szCs w:val="28"/>
          <w:rtl/>
        </w:rPr>
        <w:t xml:space="preserve"> מטעמה של מדינת ישראל (ד"ר יוסי צ'חנובר); עורך דין אמריקאי שביקר את פעולת</w:t>
      </w:r>
      <w:r w:rsidR="0074404A">
        <w:rPr>
          <w:rFonts w:cs="David" w:hint="cs"/>
          <w:sz w:val="28"/>
          <w:szCs w:val="28"/>
          <w:rtl/>
        </w:rPr>
        <w:t>ן</w:t>
      </w:r>
      <w:r w:rsidR="00FB1973" w:rsidRPr="0004711E">
        <w:rPr>
          <w:rFonts w:cs="David" w:hint="cs"/>
          <w:sz w:val="28"/>
          <w:szCs w:val="28"/>
          <w:rtl/>
        </w:rPr>
        <w:t xml:space="preserve"> של </w:t>
      </w:r>
      <w:r w:rsidR="009C039C">
        <w:rPr>
          <w:rFonts w:cs="David" w:hint="cs"/>
          <w:sz w:val="28"/>
          <w:szCs w:val="28"/>
          <w:rtl/>
        </w:rPr>
        <w:t>ועדות חקירה בינלאומיות</w:t>
      </w:r>
      <w:r w:rsidR="00FB1973" w:rsidRPr="0004711E">
        <w:rPr>
          <w:rFonts w:cs="David" w:hint="cs"/>
          <w:sz w:val="28"/>
          <w:szCs w:val="28"/>
          <w:rtl/>
        </w:rPr>
        <w:t xml:space="preserve"> שבדקו את ישראל (עו"ד </w:t>
      </w:r>
      <w:r w:rsidR="00FB1973" w:rsidRPr="0004711E">
        <w:rPr>
          <w:rFonts w:cs="David" w:hint="cs"/>
          <w:sz w:val="28"/>
          <w:szCs w:val="28"/>
        </w:rPr>
        <w:t>T</w:t>
      </w:r>
      <w:r w:rsidR="00FB1973" w:rsidRPr="0004711E">
        <w:rPr>
          <w:rFonts w:cs="David"/>
          <w:sz w:val="28"/>
          <w:szCs w:val="28"/>
        </w:rPr>
        <w:t>revor S. Norwitz</w:t>
      </w:r>
      <w:r w:rsidR="00FB1973" w:rsidRPr="0004711E">
        <w:rPr>
          <w:rFonts w:cs="David" w:hint="cs"/>
          <w:sz w:val="28"/>
          <w:szCs w:val="28"/>
          <w:rtl/>
        </w:rPr>
        <w:t xml:space="preserve">); </w:t>
      </w:r>
      <w:r w:rsidR="008C221E">
        <w:rPr>
          <w:rFonts w:cs="David" w:hint="cs"/>
          <w:sz w:val="28"/>
          <w:szCs w:val="28"/>
          <w:rtl/>
        </w:rPr>
        <w:t xml:space="preserve">קצין </w:t>
      </w:r>
      <w:r w:rsidR="00FB1973" w:rsidRPr="0004711E">
        <w:rPr>
          <w:rFonts w:cs="David" w:hint="cs"/>
          <w:sz w:val="28"/>
          <w:szCs w:val="28"/>
          <w:rtl/>
        </w:rPr>
        <w:t>ש</w:t>
      </w:r>
      <w:r w:rsidR="003E4188">
        <w:rPr>
          <w:rFonts w:cs="David" w:hint="cs"/>
          <w:sz w:val="28"/>
          <w:szCs w:val="28"/>
          <w:rtl/>
        </w:rPr>
        <w:t xml:space="preserve">ריכז את פעולתו של </w:t>
      </w:r>
      <w:r w:rsidR="00FB1973" w:rsidRPr="0004711E">
        <w:rPr>
          <w:rFonts w:cs="David" w:hint="cs"/>
          <w:sz w:val="28"/>
          <w:szCs w:val="28"/>
          <w:rtl/>
        </w:rPr>
        <w:t xml:space="preserve">צה"ל </w:t>
      </w:r>
      <w:r w:rsidR="00CE7830">
        <w:rPr>
          <w:rFonts w:cs="David" w:hint="cs"/>
          <w:sz w:val="28"/>
          <w:szCs w:val="28"/>
          <w:rtl/>
        </w:rPr>
        <w:t xml:space="preserve">למתן מענה להתרחשויות בזירה הבינלאומית בעקבות מבצע "צוק איתן" </w:t>
      </w:r>
      <w:r w:rsidR="00FB1973" w:rsidRPr="0004711E">
        <w:rPr>
          <w:rFonts w:cs="David" w:hint="cs"/>
          <w:sz w:val="28"/>
          <w:szCs w:val="28"/>
          <w:rtl/>
        </w:rPr>
        <w:t xml:space="preserve">(תא"ל (מיל') עודד גור לביא). </w:t>
      </w:r>
      <w:r w:rsidR="001570AB">
        <w:rPr>
          <w:rFonts w:cs="David" w:hint="cs"/>
          <w:sz w:val="28"/>
          <w:szCs w:val="28"/>
          <w:rtl/>
        </w:rPr>
        <w:t xml:space="preserve">כן נוהלה תכתובת ארוכה עם השופטת מארי </w:t>
      </w:r>
      <w:r w:rsidR="00D44503" w:rsidRPr="00D44503">
        <w:rPr>
          <w:rFonts w:cs="David" w:hint="cs"/>
          <w:sz w:val="28"/>
          <w:szCs w:val="28"/>
          <w:rtl/>
        </w:rPr>
        <w:t>מקגאוון</w:t>
      </w:r>
      <w:r w:rsidR="00D44503" w:rsidRPr="00D44503">
        <w:rPr>
          <w:rFonts w:cs="David"/>
          <w:sz w:val="28"/>
          <w:szCs w:val="28"/>
          <w:rtl/>
        </w:rPr>
        <w:t xml:space="preserve"> </w:t>
      </w:r>
      <w:r w:rsidR="00D44503" w:rsidRPr="00D44503">
        <w:rPr>
          <w:rFonts w:cs="David" w:hint="cs"/>
          <w:sz w:val="28"/>
          <w:szCs w:val="28"/>
          <w:rtl/>
        </w:rPr>
        <w:t>דיוויס</w:t>
      </w:r>
      <w:r w:rsidR="001570AB">
        <w:rPr>
          <w:rFonts w:cs="David" w:hint="cs"/>
          <w:sz w:val="28"/>
          <w:szCs w:val="28"/>
          <w:rtl/>
        </w:rPr>
        <w:t xml:space="preserve">, שהייתה חברה בוועדת המעקב הראשונה אחר דוח גולדסטון ועמדה בראשות ועדת המעקב השנייה אחר הדוח וכן בראש הוועדה שהתמנתה לאחר מבצע "צוק איתן". השופטת מארי מקגאוון דיוויס סיפקה </w:t>
      </w:r>
      <w:r w:rsidR="008270AC">
        <w:rPr>
          <w:rFonts w:cs="David" w:hint="cs"/>
          <w:sz w:val="28"/>
          <w:szCs w:val="28"/>
          <w:rtl/>
        </w:rPr>
        <w:t xml:space="preserve">במסגרת הראיון בכתב </w:t>
      </w:r>
      <w:r w:rsidR="001570AB">
        <w:rPr>
          <w:rFonts w:cs="David" w:hint="cs"/>
          <w:sz w:val="28"/>
          <w:szCs w:val="28"/>
          <w:rtl/>
        </w:rPr>
        <w:t xml:space="preserve">מידע שהיה בעל חשיבות </w:t>
      </w:r>
      <w:r w:rsidR="008270AC">
        <w:rPr>
          <w:rFonts w:cs="David" w:hint="cs"/>
          <w:sz w:val="28"/>
          <w:szCs w:val="28"/>
          <w:rtl/>
        </w:rPr>
        <w:t xml:space="preserve">רבה וייחודית </w:t>
      </w:r>
      <w:r w:rsidR="001570AB">
        <w:rPr>
          <w:rFonts w:cs="David" w:hint="cs"/>
          <w:sz w:val="28"/>
          <w:szCs w:val="28"/>
          <w:rtl/>
        </w:rPr>
        <w:t xml:space="preserve">בתהליך המחקר. </w:t>
      </w:r>
      <w:r w:rsidR="004738FF">
        <w:rPr>
          <w:rFonts w:cs="David" w:hint="cs"/>
          <w:sz w:val="28"/>
          <w:szCs w:val="28"/>
          <w:rtl/>
        </w:rPr>
        <w:t xml:space="preserve">היא גם הסכימה להתראיין במסגרת פגישה, אך בסופו של דבר לא הסתייע הדבר. </w:t>
      </w:r>
      <w:r w:rsidR="001570AB" w:rsidRPr="00DA5482">
        <w:rPr>
          <w:rFonts w:cs="David" w:hint="cs"/>
          <w:sz w:val="28"/>
          <w:szCs w:val="28"/>
          <w:rtl/>
        </w:rPr>
        <w:t xml:space="preserve">כן נוהלה תכתובת </w:t>
      </w:r>
      <w:r w:rsidR="008270AC" w:rsidRPr="00DA5482">
        <w:rPr>
          <w:rFonts w:cs="David" w:hint="cs"/>
          <w:sz w:val="28"/>
          <w:szCs w:val="28"/>
          <w:rtl/>
        </w:rPr>
        <w:t xml:space="preserve">עם השופט ריצ'ארד גולדסטון, אשר הסכים להתראיין במסגרת פגישה, אך למרבה הצער לא ניתן היה לתאם את הפגישה בלוח הזמנים </w:t>
      </w:r>
      <w:r w:rsidR="004738FF">
        <w:rPr>
          <w:rFonts w:cs="David" w:hint="cs"/>
          <w:sz w:val="28"/>
          <w:szCs w:val="28"/>
          <w:rtl/>
        </w:rPr>
        <w:t>ובמקומות</w:t>
      </w:r>
      <w:r w:rsidR="008270AC" w:rsidRPr="00DA5482">
        <w:rPr>
          <w:rFonts w:cs="David" w:hint="cs"/>
          <w:sz w:val="28"/>
          <w:szCs w:val="28"/>
          <w:rtl/>
        </w:rPr>
        <w:t xml:space="preserve"> שהתאפשר</w:t>
      </w:r>
      <w:r w:rsidR="004738FF">
        <w:rPr>
          <w:rFonts w:cs="David" w:hint="cs"/>
          <w:sz w:val="28"/>
          <w:szCs w:val="28"/>
          <w:rtl/>
        </w:rPr>
        <w:t>ו</w:t>
      </w:r>
      <w:r w:rsidR="008270AC" w:rsidRPr="00DA5482">
        <w:rPr>
          <w:rFonts w:cs="David" w:hint="cs"/>
          <w:sz w:val="28"/>
          <w:szCs w:val="28"/>
          <w:rtl/>
        </w:rPr>
        <w:t xml:space="preserve"> לשם כך.</w:t>
      </w:r>
    </w:p>
    <w:p w:rsidR="00FB1973" w:rsidRPr="0004711E" w:rsidRDefault="00FB1973" w:rsidP="008B316C">
      <w:pPr>
        <w:spacing w:after="0" w:line="360" w:lineRule="auto"/>
        <w:jc w:val="both"/>
        <w:rPr>
          <w:rFonts w:cs="David"/>
          <w:sz w:val="28"/>
          <w:szCs w:val="28"/>
          <w:rtl/>
        </w:rPr>
      </w:pPr>
    </w:p>
    <w:p w:rsidR="00420C10" w:rsidRPr="0004711E" w:rsidRDefault="00FB1973" w:rsidP="00F22A96">
      <w:pPr>
        <w:spacing w:after="0" w:line="360" w:lineRule="auto"/>
        <w:jc w:val="both"/>
        <w:rPr>
          <w:rFonts w:cs="David"/>
          <w:sz w:val="28"/>
          <w:szCs w:val="28"/>
          <w:rtl/>
        </w:rPr>
      </w:pPr>
      <w:r w:rsidRPr="0004711E">
        <w:rPr>
          <w:rFonts w:cs="David" w:hint="cs"/>
          <w:sz w:val="28"/>
          <w:szCs w:val="28"/>
          <w:rtl/>
        </w:rPr>
        <w:t xml:space="preserve">אם כן, </w:t>
      </w:r>
      <w:r w:rsidR="00DA0B54" w:rsidRPr="0004711E">
        <w:rPr>
          <w:rFonts w:cs="David" w:hint="cs"/>
          <w:sz w:val="28"/>
          <w:szCs w:val="28"/>
          <w:rtl/>
        </w:rPr>
        <w:t xml:space="preserve">ערכה הייחודי של העבודה </w:t>
      </w:r>
      <w:r w:rsidRPr="0004711E">
        <w:rPr>
          <w:rFonts w:cs="David" w:hint="cs"/>
          <w:sz w:val="28"/>
          <w:szCs w:val="28"/>
          <w:rtl/>
        </w:rPr>
        <w:t xml:space="preserve">הוא בהיקף האדיר של הניסיון והידע שהיא מביאה מפיהם של כל האנשים הללו. </w:t>
      </w:r>
      <w:r w:rsidR="00DA0B54" w:rsidRPr="0004711E">
        <w:rPr>
          <w:rFonts w:cs="David" w:hint="cs"/>
          <w:sz w:val="28"/>
          <w:szCs w:val="28"/>
          <w:rtl/>
        </w:rPr>
        <w:t>החידוש שבה</w:t>
      </w:r>
      <w:r w:rsidRPr="0004711E">
        <w:rPr>
          <w:rFonts w:cs="David" w:hint="cs"/>
          <w:sz w:val="28"/>
          <w:szCs w:val="28"/>
          <w:rtl/>
        </w:rPr>
        <w:t xml:space="preserve"> הוא בריכוז כל הידע האמור באופן מסודר, תחת קורת גג אחת</w:t>
      </w:r>
      <w:r w:rsidR="00F22A96">
        <w:rPr>
          <w:rFonts w:cs="David" w:hint="cs"/>
          <w:sz w:val="28"/>
          <w:szCs w:val="28"/>
          <w:rtl/>
        </w:rPr>
        <w:t xml:space="preserve">, </w:t>
      </w:r>
      <w:r w:rsidR="008270AC">
        <w:rPr>
          <w:rFonts w:cs="David" w:hint="cs"/>
          <w:sz w:val="28"/>
          <w:szCs w:val="28"/>
          <w:rtl/>
        </w:rPr>
        <w:t>ב</w:t>
      </w:r>
      <w:r w:rsidR="00F22A96">
        <w:rPr>
          <w:rFonts w:cs="David" w:hint="cs"/>
          <w:sz w:val="28"/>
          <w:szCs w:val="28"/>
          <w:rtl/>
        </w:rPr>
        <w:t>עיבודו ו</w:t>
      </w:r>
      <w:r w:rsidR="008270AC">
        <w:rPr>
          <w:rFonts w:cs="David" w:hint="cs"/>
          <w:sz w:val="28"/>
          <w:szCs w:val="28"/>
          <w:rtl/>
        </w:rPr>
        <w:t>ב</w:t>
      </w:r>
      <w:r w:rsidR="00F22A96">
        <w:rPr>
          <w:rFonts w:cs="David" w:hint="cs"/>
          <w:sz w:val="28"/>
          <w:szCs w:val="28"/>
          <w:rtl/>
        </w:rPr>
        <w:t>הצגתו בדרך שנראתה הנכונה ביותר להקיף את הנושא</w:t>
      </w:r>
      <w:r w:rsidR="00DA0B54" w:rsidRPr="0004711E">
        <w:rPr>
          <w:rFonts w:cs="David" w:hint="cs"/>
          <w:sz w:val="28"/>
          <w:szCs w:val="28"/>
          <w:rtl/>
        </w:rPr>
        <w:t>. עד היום</w:t>
      </w:r>
      <w:r w:rsidRPr="0004711E">
        <w:rPr>
          <w:rFonts w:cs="David" w:hint="cs"/>
          <w:sz w:val="28"/>
          <w:szCs w:val="28"/>
          <w:rtl/>
        </w:rPr>
        <w:t xml:space="preserve"> לא נעשה הדבר</w:t>
      </w:r>
      <w:r w:rsidR="00F22A96">
        <w:rPr>
          <w:rFonts w:cs="David" w:hint="cs"/>
          <w:sz w:val="28"/>
          <w:szCs w:val="28"/>
          <w:rtl/>
        </w:rPr>
        <w:t xml:space="preserve"> באופן ובהיקף הללו</w:t>
      </w:r>
      <w:r w:rsidRPr="0004711E">
        <w:rPr>
          <w:rFonts w:cs="David" w:hint="cs"/>
          <w:sz w:val="28"/>
          <w:szCs w:val="28"/>
          <w:rtl/>
        </w:rPr>
        <w:t>, ויש בכך כדי לשמש כלי משמעותי בידיהם של מקבלי ההחלטות בעתיד</w:t>
      </w:r>
      <w:r w:rsidR="00DA0B54" w:rsidRPr="0004711E">
        <w:rPr>
          <w:rFonts w:cs="David" w:hint="cs"/>
          <w:sz w:val="28"/>
          <w:szCs w:val="28"/>
          <w:rtl/>
        </w:rPr>
        <w:t>.</w:t>
      </w:r>
    </w:p>
    <w:p w:rsidR="00420C10" w:rsidRPr="0004711E" w:rsidRDefault="00420C10" w:rsidP="008B316C">
      <w:pPr>
        <w:bidi w:val="0"/>
        <w:spacing w:after="0" w:line="360" w:lineRule="auto"/>
        <w:rPr>
          <w:rFonts w:cs="David"/>
          <w:sz w:val="28"/>
          <w:szCs w:val="28"/>
        </w:rPr>
      </w:pPr>
      <w:r w:rsidRPr="0004711E">
        <w:rPr>
          <w:rFonts w:cs="David"/>
          <w:sz w:val="28"/>
          <w:szCs w:val="28"/>
          <w:rtl/>
        </w:rPr>
        <w:br w:type="page"/>
      </w:r>
    </w:p>
    <w:p w:rsidR="00DA0B54" w:rsidRPr="00A755AE" w:rsidRDefault="00D44503" w:rsidP="00A755AE">
      <w:pPr>
        <w:pStyle w:val="1"/>
        <w:bidi/>
        <w:rPr>
          <w:rFonts w:cs="David"/>
          <w:sz w:val="32"/>
          <w:szCs w:val="32"/>
          <w:rtl/>
        </w:rPr>
      </w:pPr>
      <w:bookmarkStart w:id="5" w:name="_Toc456027297"/>
      <w:r w:rsidRPr="00A755AE">
        <w:rPr>
          <w:rFonts w:cs="David" w:hint="cs"/>
          <w:sz w:val="32"/>
          <w:szCs w:val="32"/>
          <w:rtl/>
        </w:rPr>
        <w:lastRenderedPageBreak/>
        <w:t>פרק</w:t>
      </w:r>
      <w:r w:rsidRPr="00A755AE">
        <w:rPr>
          <w:rFonts w:cs="David"/>
          <w:sz w:val="32"/>
          <w:szCs w:val="32"/>
          <w:rtl/>
        </w:rPr>
        <w:t xml:space="preserve"> </w:t>
      </w:r>
      <w:r w:rsidRPr="00A755AE">
        <w:rPr>
          <w:rFonts w:cs="David" w:hint="cs"/>
          <w:sz w:val="32"/>
          <w:szCs w:val="32"/>
          <w:rtl/>
        </w:rPr>
        <w:t>א</w:t>
      </w:r>
      <w:r w:rsidRPr="00A755AE">
        <w:rPr>
          <w:rFonts w:cs="David"/>
          <w:sz w:val="32"/>
          <w:szCs w:val="32"/>
          <w:rtl/>
        </w:rPr>
        <w:t xml:space="preserve">' - </w:t>
      </w:r>
      <w:r w:rsidR="009F6ED1" w:rsidRPr="00A755AE">
        <w:rPr>
          <w:rFonts w:cs="David" w:hint="cs"/>
          <w:sz w:val="32"/>
          <w:szCs w:val="32"/>
          <w:rtl/>
        </w:rPr>
        <w:t xml:space="preserve">ועדות חקירה </w:t>
      </w:r>
      <w:r w:rsidRPr="00A755AE">
        <w:rPr>
          <w:rFonts w:cs="David" w:hint="cs"/>
          <w:sz w:val="32"/>
          <w:szCs w:val="32"/>
          <w:rtl/>
        </w:rPr>
        <w:t>בינלאומיות</w:t>
      </w:r>
      <w:bookmarkEnd w:id="5"/>
    </w:p>
    <w:p w:rsidR="00B80944" w:rsidRPr="0004711E" w:rsidRDefault="00B80944" w:rsidP="008B316C">
      <w:pPr>
        <w:spacing w:after="0" w:line="360" w:lineRule="auto"/>
        <w:jc w:val="both"/>
        <w:rPr>
          <w:rFonts w:cs="David"/>
          <w:sz w:val="28"/>
          <w:szCs w:val="28"/>
          <w:rtl/>
        </w:rPr>
      </w:pPr>
    </w:p>
    <w:p w:rsidR="00DA0B54" w:rsidRPr="0004711E" w:rsidRDefault="00CA2BFB" w:rsidP="008B316C">
      <w:pPr>
        <w:spacing w:after="0" w:line="360" w:lineRule="auto"/>
        <w:jc w:val="both"/>
        <w:rPr>
          <w:rFonts w:cs="David"/>
          <w:sz w:val="28"/>
          <w:szCs w:val="28"/>
          <w:rtl/>
        </w:rPr>
      </w:pPr>
      <w:r w:rsidRPr="0004711E">
        <w:rPr>
          <w:rFonts w:cs="David" w:hint="cs"/>
          <w:sz w:val="28"/>
          <w:szCs w:val="28"/>
          <w:rtl/>
        </w:rPr>
        <w:t xml:space="preserve">הרעיון של </w:t>
      </w:r>
      <w:r w:rsidR="00B80944" w:rsidRPr="0004711E">
        <w:rPr>
          <w:rFonts w:cs="David" w:hint="cs"/>
          <w:sz w:val="28"/>
          <w:szCs w:val="28"/>
          <w:rtl/>
        </w:rPr>
        <w:t xml:space="preserve">חקירות </w:t>
      </w:r>
      <w:r w:rsidRPr="0004711E">
        <w:rPr>
          <w:rFonts w:cs="David" w:hint="cs"/>
          <w:sz w:val="28"/>
          <w:szCs w:val="28"/>
          <w:rtl/>
        </w:rPr>
        <w:t>בינלאומיות אינו חדש בדיפלומטיה הבינלאומית, והוא נולד כבר לפני למעלה ממאה שנים, באמנת האג הראשונה מ-1899 בדבר יישוב סכסוכים בינלאומיים בדרכי שלום</w:t>
      </w:r>
      <w:r w:rsidRPr="0004711E">
        <w:rPr>
          <w:rStyle w:val="a7"/>
          <w:rFonts w:cs="David"/>
          <w:sz w:val="28"/>
          <w:szCs w:val="28"/>
          <w:rtl/>
        </w:rPr>
        <w:footnoteReference w:id="19"/>
      </w:r>
      <w:r w:rsidR="0054063A" w:rsidRPr="0004711E">
        <w:rPr>
          <w:rFonts w:cs="David" w:hint="cs"/>
          <w:sz w:val="28"/>
          <w:szCs w:val="28"/>
          <w:rtl/>
        </w:rPr>
        <w:t>, שהורחבה</w:t>
      </w:r>
      <w:r w:rsidRPr="0004711E">
        <w:rPr>
          <w:rFonts w:cs="David" w:hint="cs"/>
          <w:sz w:val="28"/>
          <w:szCs w:val="28"/>
          <w:rtl/>
        </w:rPr>
        <w:t xml:space="preserve"> באמנת האג הראשונה משנת 1907 בדבר יישוב סכסוכים בינלאומיים בדרכי שלום</w:t>
      </w:r>
      <w:r w:rsidR="00BE2A9D" w:rsidRPr="0004711E">
        <w:rPr>
          <w:rStyle w:val="a7"/>
          <w:rFonts w:cs="David"/>
          <w:sz w:val="28"/>
          <w:szCs w:val="28"/>
          <w:rtl/>
        </w:rPr>
        <w:footnoteReference w:id="20"/>
      </w:r>
      <w:r w:rsidR="00BE2A9D" w:rsidRPr="0004711E">
        <w:rPr>
          <w:rFonts w:cs="David" w:hint="cs"/>
          <w:sz w:val="28"/>
          <w:szCs w:val="28"/>
          <w:rtl/>
        </w:rPr>
        <w:t xml:space="preserve">. אמנות אלה קבעו שסכסוכים בינלאומיים שאינם באים לידי פיתרון צריכים להיות מיושבים, ככל הניתן, </w:t>
      </w:r>
      <w:r w:rsidR="00BE2A9D" w:rsidRPr="0004711E">
        <w:rPr>
          <w:rFonts w:cs="David" w:hint="cs"/>
          <w:b/>
          <w:bCs/>
          <w:sz w:val="28"/>
          <w:szCs w:val="28"/>
          <w:rtl/>
        </w:rPr>
        <w:t>ובהסכמת הצדדים</w:t>
      </w:r>
      <w:r w:rsidR="00BE2A9D" w:rsidRPr="0004711E">
        <w:rPr>
          <w:rFonts w:cs="David" w:hint="cs"/>
          <w:sz w:val="28"/>
          <w:szCs w:val="28"/>
          <w:rtl/>
        </w:rPr>
        <w:t>, באמצעות</w:t>
      </w:r>
      <w:r w:rsidR="004D7819" w:rsidRPr="0004711E">
        <w:rPr>
          <w:rFonts w:cs="David" w:hint="cs"/>
          <w:sz w:val="28"/>
          <w:szCs w:val="28"/>
          <w:rtl/>
        </w:rPr>
        <w:t xml:space="preserve"> מנגנונים ליישוב סכסוכים, שאחד מהם</w:t>
      </w:r>
      <w:r w:rsidR="00BE2A9D" w:rsidRPr="0004711E">
        <w:rPr>
          <w:rFonts w:cs="David" w:hint="cs"/>
          <w:sz w:val="28"/>
          <w:szCs w:val="28"/>
          <w:rtl/>
        </w:rPr>
        <w:t xml:space="preserve"> </w:t>
      </w:r>
      <w:r w:rsidR="005D2BE8">
        <w:rPr>
          <w:rFonts w:cs="David" w:hint="cs"/>
          <w:sz w:val="28"/>
          <w:szCs w:val="28"/>
          <w:rtl/>
        </w:rPr>
        <w:t xml:space="preserve">הוא </w:t>
      </w:r>
      <w:r w:rsidR="00BE2A9D" w:rsidRPr="0004711E">
        <w:rPr>
          <w:rFonts w:cs="David" w:hint="cs"/>
          <w:sz w:val="28"/>
          <w:szCs w:val="28"/>
          <w:rtl/>
        </w:rPr>
        <w:t xml:space="preserve">ועדות חקירה </w:t>
      </w:r>
      <w:r w:rsidR="009F6ED1">
        <w:rPr>
          <w:rFonts w:cs="David" w:hint="cs"/>
          <w:sz w:val="28"/>
          <w:szCs w:val="28"/>
          <w:rtl/>
        </w:rPr>
        <w:t xml:space="preserve"> </w:t>
      </w:r>
      <w:r w:rsidR="00BE2A9D" w:rsidRPr="0004711E">
        <w:rPr>
          <w:rFonts w:cs="David" w:hint="cs"/>
          <w:sz w:val="28"/>
          <w:szCs w:val="28"/>
          <w:rtl/>
        </w:rPr>
        <w:t xml:space="preserve">בינלאומיות. כך קובע סעיף 9 לאמנה משנת </w:t>
      </w:r>
      <w:r w:rsidR="0054063A" w:rsidRPr="0004711E">
        <w:rPr>
          <w:rFonts w:cs="David" w:hint="cs"/>
          <w:sz w:val="28"/>
          <w:szCs w:val="28"/>
          <w:rtl/>
        </w:rPr>
        <w:t xml:space="preserve">1907 </w:t>
      </w:r>
      <w:r w:rsidR="00BE2A9D" w:rsidRPr="0004711E">
        <w:rPr>
          <w:rFonts w:cs="David" w:hint="cs"/>
          <w:sz w:val="28"/>
          <w:szCs w:val="28"/>
          <w:rtl/>
        </w:rPr>
        <w:t>כי:</w:t>
      </w:r>
    </w:p>
    <w:p w:rsidR="00BE2A9D" w:rsidRPr="0004711E" w:rsidRDefault="00BE2A9D" w:rsidP="008B316C">
      <w:pPr>
        <w:spacing w:after="0" w:line="360" w:lineRule="auto"/>
        <w:jc w:val="both"/>
        <w:rPr>
          <w:rFonts w:cs="David"/>
          <w:sz w:val="28"/>
          <w:szCs w:val="28"/>
          <w:rtl/>
        </w:rPr>
      </w:pPr>
    </w:p>
    <w:p w:rsidR="00513DBA" w:rsidRDefault="00BE2A9D">
      <w:pPr>
        <w:bidi w:val="0"/>
        <w:spacing w:after="0" w:line="240" w:lineRule="auto"/>
        <w:jc w:val="both"/>
        <w:rPr>
          <w:rFonts w:cs="David"/>
          <w:sz w:val="28"/>
          <w:szCs w:val="28"/>
        </w:rPr>
      </w:pPr>
      <w:r w:rsidRPr="0004711E">
        <w:rPr>
          <w:rFonts w:cs="David"/>
          <w:sz w:val="28"/>
          <w:szCs w:val="28"/>
        </w:rPr>
        <w:t>"</w:t>
      </w:r>
      <w:r w:rsidR="0054063A" w:rsidRPr="0004711E">
        <w:rPr>
          <w:rFonts w:cs="David"/>
          <w:sz w:val="28"/>
          <w:szCs w:val="28"/>
        </w:rPr>
        <w:t>In disputes of an international nature involving neither honour nor vital interests, and arising from a difference of opinion on points of facts, the Contracting Powers deem it expedient and desirable that the parties who have not been able to come to an agreement by means of diplomacy, should, as far as circumstances allow, institute an International Commission of Inquiry, to facilitate a solution of these disputes by elucidating the facts by means of an impartial and conscientious investigation."</w:t>
      </w:r>
    </w:p>
    <w:p w:rsidR="0054063A" w:rsidRPr="0004711E" w:rsidRDefault="0054063A" w:rsidP="008B316C">
      <w:pPr>
        <w:spacing w:after="0" w:line="360" w:lineRule="auto"/>
        <w:jc w:val="both"/>
        <w:rPr>
          <w:rFonts w:cs="David"/>
          <w:sz w:val="28"/>
          <w:szCs w:val="28"/>
          <w:rtl/>
        </w:rPr>
      </w:pPr>
    </w:p>
    <w:p w:rsidR="0054063A" w:rsidRPr="0004711E" w:rsidRDefault="0054063A" w:rsidP="004A1D72">
      <w:pPr>
        <w:spacing w:after="0" w:line="360" w:lineRule="auto"/>
        <w:jc w:val="both"/>
        <w:rPr>
          <w:rFonts w:cs="David"/>
          <w:sz w:val="28"/>
          <w:szCs w:val="28"/>
          <w:rtl/>
        </w:rPr>
      </w:pPr>
      <w:r w:rsidRPr="0004711E">
        <w:rPr>
          <w:rFonts w:cs="David" w:hint="cs"/>
          <w:sz w:val="28"/>
          <w:szCs w:val="28"/>
          <w:rtl/>
        </w:rPr>
        <w:t xml:space="preserve">ניתן לראות, שהכלי של ועדות החקירה הבינלאומיות ביישוב הסכסוכים הוא </w:t>
      </w:r>
      <w:r w:rsidRPr="0004711E">
        <w:rPr>
          <w:rFonts w:cs="David" w:hint="cs"/>
          <w:b/>
          <w:bCs/>
          <w:sz w:val="28"/>
          <w:szCs w:val="28"/>
          <w:rtl/>
        </w:rPr>
        <w:t>הבהרת העובדות באמצעות חקירה בלתי תלויה</w:t>
      </w:r>
      <w:r w:rsidRPr="0004711E">
        <w:rPr>
          <w:rFonts w:cs="David" w:hint="cs"/>
          <w:sz w:val="28"/>
          <w:szCs w:val="28"/>
          <w:rtl/>
        </w:rPr>
        <w:t>.</w:t>
      </w:r>
      <w:r w:rsidR="004D7819" w:rsidRPr="0004711E">
        <w:rPr>
          <w:rFonts w:cs="David" w:hint="cs"/>
          <w:sz w:val="28"/>
          <w:szCs w:val="28"/>
          <w:rtl/>
        </w:rPr>
        <w:t xml:space="preserve"> </w:t>
      </w:r>
      <w:r w:rsidR="00926346" w:rsidRPr="0004711E">
        <w:rPr>
          <w:rFonts w:cs="David" w:hint="cs"/>
          <w:sz w:val="28"/>
          <w:szCs w:val="28"/>
          <w:rtl/>
        </w:rPr>
        <w:t xml:space="preserve">לוועדות החקירה הנזכרות באמנות האג לא ניתנה הסמכות לעסוק בשאלות משפטיות. </w:t>
      </w:r>
      <w:r w:rsidR="004D7819" w:rsidRPr="0004711E">
        <w:rPr>
          <w:rFonts w:cs="David" w:hint="cs"/>
          <w:sz w:val="28"/>
          <w:szCs w:val="28"/>
          <w:rtl/>
        </w:rPr>
        <w:t>מכל מקום, הפנייה לערוץ הידברות זה הייתה תלויה בהסכמת המדינות ולא ניתן היה להפעיל מנגנונים מעין אלה שלא בהסכמה.</w:t>
      </w:r>
      <w:r w:rsidR="005D2BE8">
        <w:rPr>
          <w:rFonts w:cs="David" w:hint="cs"/>
          <w:sz w:val="28"/>
          <w:szCs w:val="28"/>
          <w:rtl/>
        </w:rPr>
        <w:t xml:space="preserve"> גם אמנות ג'נבה משנת 1949 קבעו מנגנונים לחקירה, שמתקיימת לבקשת אחד הצדדים לעימות מזוין, ובהסכמת הצד השני</w:t>
      </w:r>
      <w:r w:rsidR="005D2BE8">
        <w:rPr>
          <w:rStyle w:val="a7"/>
          <w:rFonts w:cs="David"/>
          <w:sz w:val="28"/>
          <w:szCs w:val="28"/>
          <w:rtl/>
        </w:rPr>
        <w:footnoteReference w:id="21"/>
      </w:r>
      <w:r w:rsidR="005D2BE8">
        <w:rPr>
          <w:rFonts w:cs="David" w:hint="cs"/>
          <w:sz w:val="28"/>
          <w:szCs w:val="28"/>
          <w:rtl/>
        </w:rPr>
        <w:t>.</w:t>
      </w:r>
      <w:r w:rsidR="00C17D11">
        <w:rPr>
          <w:rFonts w:cs="David" w:hint="cs"/>
          <w:sz w:val="28"/>
          <w:szCs w:val="28"/>
          <w:rtl/>
        </w:rPr>
        <w:t xml:space="preserve"> מטבע הדברים, מנגנונים כאלה</w:t>
      </w:r>
      <w:r w:rsidR="004A1D72">
        <w:rPr>
          <w:rFonts w:cs="David" w:hint="cs"/>
          <w:sz w:val="28"/>
          <w:szCs w:val="28"/>
          <w:rtl/>
        </w:rPr>
        <w:t>,</w:t>
      </w:r>
      <w:r w:rsidR="00C17D11">
        <w:rPr>
          <w:rFonts w:cs="David" w:hint="cs"/>
          <w:sz w:val="28"/>
          <w:szCs w:val="28"/>
          <w:rtl/>
        </w:rPr>
        <w:t xml:space="preserve"> התלויים בהסכמת הצדדים לקיומם, מוגבלים מאוד ביכולתם לפעול.</w:t>
      </w:r>
    </w:p>
    <w:p w:rsidR="0054063A" w:rsidRPr="0004711E" w:rsidRDefault="0054063A" w:rsidP="008B316C">
      <w:pPr>
        <w:spacing w:after="0" w:line="360" w:lineRule="auto"/>
        <w:jc w:val="both"/>
        <w:rPr>
          <w:rFonts w:cs="David"/>
          <w:sz w:val="28"/>
          <w:szCs w:val="28"/>
          <w:rtl/>
        </w:rPr>
      </w:pPr>
    </w:p>
    <w:p w:rsidR="00FE3B79" w:rsidRPr="0004711E" w:rsidRDefault="00FE3B79" w:rsidP="008B316C">
      <w:pPr>
        <w:spacing w:after="0" w:line="360" w:lineRule="auto"/>
        <w:jc w:val="both"/>
        <w:rPr>
          <w:rFonts w:cs="David"/>
          <w:sz w:val="28"/>
          <w:szCs w:val="28"/>
          <w:rtl/>
        </w:rPr>
      </w:pPr>
      <w:r w:rsidRPr="0004711E">
        <w:rPr>
          <w:rFonts w:cs="David" w:hint="cs"/>
          <w:sz w:val="28"/>
          <w:szCs w:val="28"/>
          <w:rtl/>
        </w:rPr>
        <w:lastRenderedPageBreak/>
        <w:t>ב-1919 הוקמה ב</w:t>
      </w:r>
      <w:r w:rsidR="004A1D72">
        <w:rPr>
          <w:rFonts w:cs="David" w:hint="cs"/>
          <w:sz w:val="28"/>
          <w:szCs w:val="28"/>
          <w:rtl/>
        </w:rPr>
        <w:t>ו</w:t>
      </w:r>
      <w:r w:rsidRPr="0004711E">
        <w:rPr>
          <w:rFonts w:cs="David" w:hint="cs"/>
          <w:sz w:val="28"/>
          <w:szCs w:val="28"/>
          <w:rtl/>
        </w:rPr>
        <w:t>ועידת השלום בפאריס ועדה לחקירת האחריות של האחראים למלחמת העולם הראשונה (</w:t>
      </w:r>
      <w:r w:rsidRPr="0004711E">
        <w:rPr>
          <w:rFonts w:cs="David"/>
          <w:sz w:val="28"/>
          <w:szCs w:val="28"/>
        </w:rPr>
        <w:t>Commission of Responsibilities</w:t>
      </w:r>
      <w:r w:rsidRPr="0004711E">
        <w:rPr>
          <w:rFonts w:cs="David" w:hint="cs"/>
          <w:sz w:val="28"/>
          <w:szCs w:val="28"/>
          <w:rtl/>
        </w:rPr>
        <w:t>)</w:t>
      </w:r>
      <w:r w:rsidRPr="0004711E">
        <w:rPr>
          <w:rStyle w:val="a7"/>
          <w:rFonts w:cs="David"/>
          <w:sz w:val="28"/>
          <w:szCs w:val="28"/>
          <w:rtl/>
        </w:rPr>
        <w:footnoteReference w:id="22"/>
      </w:r>
      <w:r w:rsidRPr="0004711E">
        <w:rPr>
          <w:rFonts w:cs="David" w:hint="cs"/>
          <w:sz w:val="28"/>
          <w:szCs w:val="28"/>
          <w:rtl/>
        </w:rPr>
        <w:t>. הגרמנים לא הסכימו שהחשודים בפשעי המלחמה יישפטו בבית דין בינלאומי, אך שפטו אותם בעצמם ב-1921 במשפטי לייפציג לפשעי מלחמה</w:t>
      </w:r>
      <w:r w:rsidR="00C74249" w:rsidRPr="0004711E">
        <w:rPr>
          <w:rStyle w:val="a7"/>
          <w:rFonts w:cs="David"/>
          <w:sz w:val="28"/>
          <w:szCs w:val="28"/>
          <w:rtl/>
        </w:rPr>
        <w:footnoteReference w:id="23"/>
      </w:r>
      <w:r w:rsidRPr="0004711E">
        <w:rPr>
          <w:rFonts w:cs="David" w:hint="cs"/>
          <w:sz w:val="28"/>
          <w:szCs w:val="28"/>
          <w:rtl/>
        </w:rPr>
        <w:t>.</w:t>
      </w:r>
    </w:p>
    <w:p w:rsidR="00C74249" w:rsidRPr="0004711E" w:rsidRDefault="00C74249" w:rsidP="008B316C">
      <w:pPr>
        <w:spacing w:after="0" w:line="360" w:lineRule="auto"/>
        <w:jc w:val="both"/>
        <w:rPr>
          <w:rFonts w:cs="David"/>
          <w:sz w:val="28"/>
          <w:szCs w:val="28"/>
          <w:rtl/>
        </w:rPr>
      </w:pPr>
    </w:p>
    <w:p w:rsidR="0022467C" w:rsidRPr="0004711E" w:rsidRDefault="00C74249" w:rsidP="008B316C">
      <w:pPr>
        <w:spacing w:after="0" w:line="360" w:lineRule="auto"/>
        <w:jc w:val="both"/>
        <w:rPr>
          <w:rFonts w:cs="David"/>
          <w:sz w:val="28"/>
          <w:szCs w:val="28"/>
          <w:rtl/>
        </w:rPr>
      </w:pPr>
      <w:r w:rsidRPr="0004711E">
        <w:rPr>
          <w:rFonts w:cs="David" w:hint="cs"/>
          <w:sz w:val="28"/>
          <w:szCs w:val="28"/>
          <w:rtl/>
        </w:rPr>
        <w:t>עוד במהלך מלחמת העולם השנייה, ב-1943, הקימו בעלות הברית את ועדת האומות המאוחדות לפשעי מלחמה (</w:t>
      </w:r>
      <w:r w:rsidRPr="0004711E">
        <w:rPr>
          <w:rFonts w:cs="David"/>
          <w:sz w:val="28"/>
          <w:szCs w:val="28"/>
        </w:rPr>
        <w:t>United Nations War Crimes Commission – UNWCC</w:t>
      </w:r>
      <w:r w:rsidRPr="0004711E">
        <w:rPr>
          <w:rFonts w:cs="David" w:hint="cs"/>
          <w:sz w:val="28"/>
          <w:szCs w:val="28"/>
          <w:rtl/>
        </w:rPr>
        <w:t>), שעברה לניהולו של האו"ם לאחר הקמתו ב-1945</w:t>
      </w:r>
      <w:r w:rsidRPr="0004711E">
        <w:rPr>
          <w:rStyle w:val="a7"/>
          <w:rFonts w:cs="David"/>
          <w:sz w:val="28"/>
          <w:szCs w:val="28"/>
          <w:rtl/>
        </w:rPr>
        <w:footnoteReference w:id="24"/>
      </w:r>
      <w:r w:rsidRPr="0004711E">
        <w:rPr>
          <w:rFonts w:cs="David" w:hint="cs"/>
          <w:sz w:val="28"/>
          <w:szCs w:val="28"/>
          <w:rtl/>
        </w:rPr>
        <w:t>. בעקבות עבודת הוועדה החליטו ארצות הברית, ברית המועצות, בריטניה וצרפת על הקמתו של הטריבונאל הבינלאומי הצבאי בנירנברג לשיפוטם</w:t>
      </w:r>
      <w:r w:rsidR="00536AB1" w:rsidRPr="0004711E">
        <w:rPr>
          <w:rFonts w:cs="David" w:hint="cs"/>
          <w:sz w:val="28"/>
          <w:szCs w:val="28"/>
          <w:rtl/>
        </w:rPr>
        <w:t xml:space="preserve"> של פושעי המלחמה הנאצים</w:t>
      </w:r>
      <w:r w:rsidR="00536AB1" w:rsidRPr="0004711E">
        <w:rPr>
          <w:rStyle w:val="a7"/>
          <w:rFonts w:cs="David"/>
          <w:sz w:val="28"/>
          <w:szCs w:val="28"/>
          <w:rtl/>
        </w:rPr>
        <w:footnoteReference w:id="25"/>
      </w:r>
      <w:r w:rsidR="00536AB1" w:rsidRPr="0004711E">
        <w:rPr>
          <w:rFonts w:cs="David" w:hint="cs"/>
          <w:sz w:val="28"/>
          <w:szCs w:val="28"/>
          <w:rtl/>
        </w:rPr>
        <w:t>. האמריקאים הקימו גם את בית הדין הבינלאומי הצבאי למזרח הרחוק (</w:t>
      </w:r>
      <w:r w:rsidR="00536AB1" w:rsidRPr="0004711E">
        <w:rPr>
          <w:rFonts w:cs="David"/>
          <w:sz w:val="28"/>
          <w:szCs w:val="28"/>
        </w:rPr>
        <w:t>International Military Tribunal for the Far East - IMTFE</w:t>
      </w:r>
      <w:r w:rsidR="00536AB1" w:rsidRPr="0004711E">
        <w:rPr>
          <w:rFonts w:cs="David" w:hint="cs"/>
          <w:sz w:val="28"/>
          <w:szCs w:val="28"/>
          <w:rtl/>
        </w:rPr>
        <w:t>)</w:t>
      </w:r>
      <w:r w:rsidR="004A1D72">
        <w:rPr>
          <w:rFonts w:cs="David" w:hint="cs"/>
          <w:sz w:val="28"/>
          <w:szCs w:val="28"/>
          <w:rtl/>
        </w:rPr>
        <w:t>,</w:t>
      </w:r>
      <w:r w:rsidR="00536AB1" w:rsidRPr="0004711E">
        <w:rPr>
          <w:rFonts w:cs="David" w:hint="cs"/>
          <w:sz w:val="28"/>
          <w:szCs w:val="28"/>
          <w:rtl/>
        </w:rPr>
        <w:t xml:space="preserve"> בו התנהלו משפטי טוקיו לפושעי המלחמה היפנים</w:t>
      </w:r>
      <w:r w:rsidR="00536AB1" w:rsidRPr="0004711E">
        <w:rPr>
          <w:rStyle w:val="a7"/>
          <w:rFonts w:cs="David"/>
          <w:sz w:val="28"/>
          <w:szCs w:val="28"/>
          <w:rtl/>
        </w:rPr>
        <w:footnoteReference w:id="26"/>
      </w:r>
      <w:r w:rsidR="00536AB1" w:rsidRPr="0004711E">
        <w:rPr>
          <w:rFonts w:cs="David" w:hint="cs"/>
          <w:sz w:val="28"/>
          <w:szCs w:val="28"/>
          <w:rtl/>
        </w:rPr>
        <w:t>.</w:t>
      </w:r>
      <w:r w:rsidR="0022467C" w:rsidRPr="0004711E">
        <w:rPr>
          <w:rFonts w:cs="David" w:hint="cs"/>
          <w:sz w:val="28"/>
          <w:szCs w:val="28"/>
          <w:rtl/>
        </w:rPr>
        <w:t xml:space="preserve"> </w:t>
      </w:r>
    </w:p>
    <w:p w:rsidR="0022467C" w:rsidRPr="0004711E" w:rsidRDefault="0022467C" w:rsidP="008B316C">
      <w:pPr>
        <w:spacing w:after="0" w:line="360" w:lineRule="auto"/>
        <w:jc w:val="both"/>
        <w:rPr>
          <w:rFonts w:cs="David"/>
          <w:sz w:val="28"/>
          <w:szCs w:val="28"/>
          <w:rtl/>
        </w:rPr>
      </w:pPr>
    </w:p>
    <w:p w:rsidR="00C74249" w:rsidRPr="0004711E" w:rsidRDefault="0022467C" w:rsidP="008270AC">
      <w:pPr>
        <w:spacing w:after="0" w:line="360" w:lineRule="auto"/>
        <w:jc w:val="both"/>
        <w:rPr>
          <w:rFonts w:cs="David"/>
          <w:sz w:val="28"/>
          <w:szCs w:val="28"/>
          <w:rtl/>
        </w:rPr>
      </w:pPr>
      <w:r w:rsidRPr="0004711E">
        <w:rPr>
          <w:rFonts w:cs="David" w:hint="cs"/>
          <w:sz w:val="28"/>
          <w:szCs w:val="28"/>
          <w:rtl/>
        </w:rPr>
        <w:t>טריבונאל נוסף שהקימו האמריקאים, בהקשר אחר, היה בית הדין העיראקי המיוחד לשיפוט פשעים נגד האנושות (</w:t>
      </w:r>
      <w:r w:rsidRPr="0004711E">
        <w:rPr>
          <w:rFonts w:cs="David"/>
          <w:sz w:val="28"/>
          <w:szCs w:val="28"/>
        </w:rPr>
        <w:t>Iraqi Special Tribunal to Try Crimes Against Humanity</w:t>
      </w:r>
      <w:r w:rsidRPr="0004711E">
        <w:rPr>
          <w:rFonts w:cs="David" w:hint="cs"/>
          <w:sz w:val="28"/>
          <w:szCs w:val="28"/>
          <w:rtl/>
        </w:rPr>
        <w:t>)</w:t>
      </w:r>
      <w:r w:rsidRPr="0004711E">
        <w:rPr>
          <w:rStyle w:val="a7"/>
          <w:rFonts w:cs="David"/>
          <w:sz w:val="28"/>
          <w:szCs w:val="28"/>
          <w:rtl/>
        </w:rPr>
        <w:footnoteReference w:id="27"/>
      </w:r>
      <w:r w:rsidRPr="0004711E">
        <w:rPr>
          <w:rFonts w:cs="David" w:hint="cs"/>
          <w:sz w:val="28"/>
          <w:szCs w:val="28"/>
          <w:rtl/>
        </w:rPr>
        <w:t>, אשר הוקם בשנת 2003 כדי להעמיד לדין חשודים בפשעים נגד האנושות, פשעי מלחמה ורצח עם בעיראק, בזמן משטרו של סדאם חוסיין בשנים 1968</w:t>
      </w:r>
      <w:r w:rsidR="008270AC">
        <w:rPr>
          <w:rFonts w:cs="David" w:hint="cs"/>
          <w:sz w:val="28"/>
          <w:szCs w:val="28"/>
          <w:rtl/>
        </w:rPr>
        <w:t xml:space="preserve"> </w:t>
      </w:r>
      <w:r w:rsidRPr="0004711E">
        <w:rPr>
          <w:rFonts w:cs="David" w:hint="cs"/>
          <w:sz w:val="28"/>
          <w:szCs w:val="28"/>
          <w:rtl/>
        </w:rPr>
        <w:t>-</w:t>
      </w:r>
      <w:r w:rsidR="008270AC">
        <w:rPr>
          <w:rFonts w:cs="David" w:hint="cs"/>
          <w:sz w:val="28"/>
          <w:szCs w:val="28"/>
          <w:rtl/>
        </w:rPr>
        <w:t xml:space="preserve"> </w:t>
      </w:r>
      <w:r w:rsidRPr="0004711E">
        <w:rPr>
          <w:rFonts w:cs="David" w:hint="cs"/>
          <w:sz w:val="28"/>
          <w:szCs w:val="28"/>
          <w:rtl/>
        </w:rPr>
        <w:t>2003. משפטם של סדאם חוסיין עצמו ו</w:t>
      </w:r>
      <w:r w:rsidR="008270AC">
        <w:rPr>
          <w:rFonts w:cs="David" w:hint="cs"/>
          <w:sz w:val="28"/>
          <w:szCs w:val="28"/>
          <w:rtl/>
        </w:rPr>
        <w:t xml:space="preserve">אחד עשר </w:t>
      </w:r>
      <w:r w:rsidRPr="0004711E">
        <w:rPr>
          <w:rFonts w:cs="David" w:hint="cs"/>
          <w:sz w:val="28"/>
          <w:szCs w:val="28"/>
          <w:rtl/>
        </w:rPr>
        <w:t>מבכירי משטרו התנהל בבית דין זה.</w:t>
      </w:r>
    </w:p>
    <w:p w:rsidR="00FE3B79" w:rsidRPr="0004711E" w:rsidRDefault="00FE3B79" w:rsidP="008B316C">
      <w:pPr>
        <w:spacing w:after="0" w:line="360" w:lineRule="auto"/>
        <w:jc w:val="both"/>
        <w:rPr>
          <w:rFonts w:cs="David"/>
          <w:sz w:val="28"/>
          <w:szCs w:val="28"/>
          <w:rtl/>
        </w:rPr>
      </w:pPr>
    </w:p>
    <w:p w:rsidR="0054063A" w:rsidRPr="0004711E" w:rsidRDefault="0054063A" w:rsidP="00C17D11">
      <w:pPr>
        <w:spacing w:after="0" w:line="360" w:lineRule="auto"/>
        <w:jc w:val="both"/>
        <w:rPr>
          <w:rFonts w:cs="David"/>
          <w:sz w:val="28"/>
          <w:szCs w:val="28"/>
          <w:rtl/>
        </w:rPr>
      </w:pPr>
      <w:r w:rsidRPr="0004711E">
        <w:rPr>
          <w:rFonts w:cs="David" w:hint="cs"/>
          <w:sz w:val="28"/>
          <w:szCs w:val="28"/>
          <w:rtl/>
        </w:rPr>
        <w:t>השימוש בו</w:t>
      </w:r>
      <w:r w:rsidR="009F6ED1">
        <w:rPr>
          <w:rFonts w:cs="David" w:hint="cs"/>
          <w:sz w:val="28"/>
          <w:szCs w:val="28"/>
          <w:rtl/>
        </w:rPr>
        <w:t xml:space="preserve">ועדות חקירה </w:t>
      </w:r>
      <w:r w:rsidRPr="0004711E">
        <w:rPr>
          <w:rFonts w:cs="David" w:hint="cs"/>
          <w:sz w:val="28"/>
          <w:szCs w:val="28"/>
          <w:rtl/>
        </w:rPr>
        <w:t>בינלאומיות ל</w:t>
      </w:r>
      <w:r w:rsidR="00337147" w:rsidRPr="0004711E">
        <w:rPr>
          <w:rFonts w:cs="David" w:hint="cs"/>
          <w:sz w:val="28"/>
          <w:szCs w:val="28"/>
          <w:rtl/>
        </w:rPr>
        <w:t xml:space="preserve">בירור </w:t>
      </w:r>
      <w:r w:rsidRPr="0004711E">
        <w:rPr>
          <w:rFonts w:cs="David" w:hint="cs"/>
          <w:sz w:val="28"/>
          <w:szCs w:val="28"/>
          <w:rtl/>
        </w:rPr>
        <w:t>עובדות (</w:t>
      </w:r>
      <w:r w:rsidRPr="0004711E">
        <w:rPr>
          <w:rFonts w:cs="David"/>
          <w:sz w:val="28"/>
          <w:szCs w:val="28"/>
        </w:rPr>
        <w:t>fact</w:t>
      </w:r>
      <w:r w:rsidR="00C17D11">
        <w:rPr>
          <w:rFonts w:cs="David"/>
          <w:sz w:val="28"/>
          <w:szCs w:val="28"/>
        </w:rPr>
        <w:t>-</w:t>
      </w:r>
      <w:r w:rsidRPr="0004711E">
        <w:rPr>
          <w:rFonts w:cs="David"/>
          <w:sz w:val="28"/>
          <w:szCs w:val="28"/>
        </w:rPr>
        <w:t>finding</w:t>
      </w:r>
      <w:r w:rsidRPr="0004711E">
        <w:rPr>
          <w:rFonts w:cs="David" w:hint="cs"/>
          <w:sz w:val="28"/>
          <w:szCs w:val="28"/>
          <w:rtl/>
        </w:rPr>
        <w:t xml:space="preserve">) התרחב מאוד בעקבות הצהרת העצרת הכללית של האו"ם משנת 1991 </w:t>
      </w:r>
      <w:r w:rsidR="00926346" w:rsidRPr="0004711E">
        <w:rPr>
          <w:rFonts w:cs="David" w:hint="cs"/>
          <w:sz w:val="28"/>
          <w:szCs w:val="28"/>
          <w:rtl/>
        </w:rPr>
        <w:t xml:space="preserve">על </w:t>
      </w:r>
      <w:r w:rsidR="00337147" w:rsidRPr="0004711E">
        <w:rPr>
          <w:rFonts w:cs="David" w:hint="cs"/>
          <w:sz w:val="28"/>
          <w:szCs w:val="28"/>
          <w:rtl/>
        </w:rPr>
        <w:t xml:space="preserve">בירור </w:t>
      </w:r>
      <w:r w:rsidR="00926346" w:rsidRPr="0004711E">
        <w:rPr>
          <w:rFonts w:cs="David" w:hint="cs"/>
          <w:sz w:val="28"/>
          <w:szCs w:val="28"/>
          <w:rtl/>
        </w:rPr>
        <w:t xml:space="preserve">עובדות </w:t>
      </w:r>
      <w:r w:rsidR="00692192">
        <w:rPr>
          <w:rFonts w:cs="David" w:hint="cs"/>
          <w:sz w:val="28"/>
          <w:szCs w:val="28"/>
          <w:rtl/>
        </w:rPr>
        <w:t>על ידי</w:t>
      </w:r>
      <w:r w:rsidR="00926346" w:rsidRPr="0004711E">
        <w:rPr>
          <w:rFonts w:cs="David" w:hint="cs"/>
          <w:sz w:val="28"/>
          <w:szCs w:val="28"/>
          <w:rtl/>
        </w:rPr>
        <w:t xml:space="preserve"> האומות המאוחדות בתחום שימור השלום והביטחון הבינלאומיים</w:t>
      </w:r>
      <w:r w:rsidR="00E96E18" w:rsidRPr="0004711E">
        <w:rPr>
          <w:rFonts w:cs="David" w:hint="cs"/>
          <w:sz w:val="28"/>
          <w:szCs w:val="28"/>
          <w:rtl/>
        </w:rPr>
        <w:t xml:space="preserve"> (להלן </w:t>
      </w:r>
      <w:r w:rsidR="00E96E18" w:rsidRPr="0004711E">
        <w:rPr>
          <w:rFonts w:cs="David"/>
          <w:sz w:val="28"/>
          <w:szCs w:val="28"/>
          <w:rtl/>
        </w:rPr>
        <w:t>–</w:t>
      </w:r>
      <w:r w:rsidR="00E96E18" w:rsidRPr="0004711E">
        <w:rPr>
          <w:rFonts w:cs="David" w:hint="cs"/>
          <w:sz w:val="28"/>
          <w:szCs w:val="28"/>
          <w:rtl/>
        </w:rPr>
        <w:t xml:space="preserve"> הצהרת </w:t>
      </w:r>
      <w:r w:rsidR="00E96E18" w:rsidRPr="0004711E">
        <w:rPr>
          <w:rFonts w:cs="David" w:hint="cs"/>
          <w:sz w:val="28"/>
          <w:szCs w:val="28"/>
          <w:rtl/>
        </w:rPr>
        <w:lastRenderedPageBreak/>
        <w:t>העצרת על בירור עובדות)</w:t>
      </w:r>
      <w:r w:rsidR="00926346" w:rsidRPr="0004711E">
        <w:rPr>
          <w:rStyle w:val="a7"/>
          <w:rFonts w:cs="David"/>
          <w:sz w:val="28"/>
          <w:szCs w:val="28"/>
          <w:rtl/>
        </w:rPr>
        <w:footnoteReference w:id="28"/>
      </w:r>
      <w:r w:rsidR="00926346" w:rsidRPr="0004711E">
        <w:rPr>
          <w:rFonts w:cs="David" w:hint="cs"/>
          <w:sz w:val="28"/>
          <w:szCs w:val="28"/>
          <w:rtl/>
        </w:rPr>
        <w:t xml:space="preserve">. ההצהרה אומצה ללא הצבעה. </w:t>
      </w:r>
      <w:r w:rsidR="00865C01" w:rsidRPr="0004711E">
        <w:rPr>
          <w:rFonts w:cs="David" w:hint="cs"/>
          <w:sz w:val="28"/>
          <w:szCs w:val="28"/>
          <w:rtl/>
        </w:rPr>
        <w:t>כדי לעשות שימוש נכון בסמכויותיו לשימור השלום והביטחון בעולם, נדרש האו"ם להסתמך על עובדות רלוונטיות ומידע אמין. משלחות ל</w:t>
      </w:r>
      <w:r w:rsidR="00337147" w:rsidRPr="0004711E">
        <w:rPr>
          <w:rFonts w:cs="David" w:hint="cs"/>
          <w:sz w:val="28"/>
          <w:szCs w:val="28"/>
          <w:rtl/>
        </w:rPr>
        <w:t xml:space="preserve">בירור </w:t>
      </w:r>
      <w:r w:rsidR="00865C01" w:rsidRPr="0004711E">
        <w:rPr>
          <w:rFonts w:cs="David" w:hint="cs"/>
          <w:sz w:val="28"/>
          <w:szCs w:val="28"/>
          <w:rtl/>
        </w:rPr>
        <w:t>עובדות</w:t>
      </w:r>
      <w:r w:rsidR="008270AC">
        <w:rPr>
          <w:rFonts w:cs="David" w:hint="cs"/>
          <w:sz w:val="28"/>
          <w:szCs w:val="28"/>
          <w:rtl/>
        </w:rPr>
        <w:t>,</w:t>
      </w:r>
      <w:r w:rsidR="00865C01" w:rsidRPr="0004711E">
        <w:rPr>
          <w:rFonts w:cs="David" w:hint="cs"/>
          <w:sz w:val="28"/>
          <w:szCs w:val="28"/>
          <w:rtl/>
        </w:rPr>
        <w:t xml:space="preserve"> שנשלחו במהלך השנים </w:t>
      </w:r>
      <w:r w:rsidR="00692192">
        <w:rPr>
          <w:rFonts w:cs="David" w:hint="cs"/>
          <w:sz w:val="28"/>
          <w:szCs w:val="28"/>
          <w:rtl/>
        </w:rPr>
        <w:t>על ידי</w:t>
      </w:r>
      <w:r w:rsidR="00865C01" w:rsidRPr="0004711E">
        <w:rPr>
          <w:rFonts w:cs="David" w:hint="cs"/>
          <w:sz w:val="28"/>
          <w:szCs w:val="28"/>
          <w:rtl/>
        </w:rPr>
        <w:t xml:space="preserve"> גופים שונים של האו"ם</w:t>
      </w:r>
      <w:r w:rsidR="00302D6D">
        <w:rPr>
          <w:rFonts w:cs="David" w:hint="cs"/>
          <w:sz w:val="28"/>
          <w:szCs w:val="28"/>
          <w:rtl/>
        </w:rPr>
        <w:t>,</w:t>
      </w:r>
      <w:r w:rsidR="00865C01" w:rsidRPr="0004711E">
        <w:rPr>
          <w:rFonts w:cs="David" w:hint="cs"/>
          <w:sz w:val="28"/>
          <w:szCs w:val="28"/>
          <w:rtl/>
        </w:rPr>
        <w:t xml:space="preserve"> הוכחו כיעילות בהקשר זה. </w:t>
      </w:r>
      <w:r w:rsidR="00681A50" w:rsidRPr="0004711E">
        <w:rPr>
          <w:rFonts w:cs="David" w:hint="cs"/>
          <w:sz w:val="28"/>
          <w:szCs w:val="28"/>
          <w:rtl/>
        </w:rPr>
        <w:t xml:space="preserve">משלחות כאלה יכולות לעיתים לזהות עימות בזמן התהוותו ובטרם הסלמתו. </w:t>
      </w:r>
      <w:r w:rsidR="00865C01" w:rsidRPr="0004711E">
        <w:rPr>
          <w:rFonts w:cs="David" w:hint="cs"/>
          <w:sz w:val="28"/>
          <w:szCs w:val="28"/>
          <w:rtl/>
        </w:rPr>
        <w:t>פעילויות ל</w:t>
      </w:r>
      <w:r w:rsidR="00337147" w:rsidRPr="0004711E">
        <w:rPr>
          <w:rFonts w:cs="David" w:hint="cs"/>
          <w:sz w:val="28"/>
          <w:szCs w:val="28"/>
          <w:rtl/>
        </w:rPr>
        <w:t xml:space="preserve">בירור </w:t>
      </w:r>
      <w:r w:rsidR="00865C01" w:rsidRPr="0004711E">
        <w:rPr>
          <w:rFonts w:cs="David" w:hint="cs"/>
          <w:sz w:val="28"/>
          <w:szCs w:val="28"/>
          <w:rtl/>
        </w:rPr>
        <w:t>עובדות אף עשויות להבהיר לצדדים את דאגתו של האו"ם מהעימות ולסייע בפתרונו</w:t>
      </w:r>
      <w:r w:rsidR="00865C01" w:rsidRPr="0004711E">
        <w:rPr>
          <w:rStyle w:val="a7"/>
          <w:rFonts w:cs="David"/>
          <w:sz w:val="28"/>
          <w:szCs w:val="28"/>
          <w:rtl/>
        </w:rPr>
        <w:footnoteReference w:id="29"/>
      </w:r>
      <w:r w:rsidR="00865C01" w:rsidRPr="0004711E">
        <w:rPr>
          <w:rFonts w:cs="David" w:hint="cs"/>
          <w:sz w:val="28"/>
          <w:szCs w:val="28"/>
          <w:rtl/>
        </w:rPr>
        <w:t xml:space="preserve">. </w:t>
      </w:r>
      <w:r w:rsidR="00926346" w:rsidRPr="0004711E">
        <w:rPr>
          <w:rFonts w:cs="David" w:hint="cs"/>
          <w:sz w:val="28"/>
          <w:szCs w:val="28"/>
          <w:rtl/>
        </w:rPr>
        <w:t xml:space="preserve">ההצהרה </w:t>
      </w:r>
      <w:r w:rsidR="00865C01" w:rsidRPr="0004711E">
        <w:rPr>
          <w:rFonts w:cs="David" w:hint="cs"/>
          <w:sz w:val="28"/>
          <w:szCs w:val="28"/>
          <w:rtl/>
        </w:rPr>
        <w:t>מחולקת לחמישה חלקים שעוסקים בנושאים הבאים: עקרונות מקובלים ל</w:t>
      </w:r>
      <w:r w:rsidR="00337147" w:rsidRPr="0004711E">
        <w:rPr>
          <w:rFonts w:cs="David" w:hint="cs"/>
          <w:sz w:val="28"/>
          <w:szCs w:val="28"/>
          <w:rtl/>
        </w:rPr>
        <w:t xml:space="preserve">בירור </w:t>
      </w:r>
      <w:r w:rsidR="00865C01" w:rsidRPr="0004711E">
        <w:rPr>
          <w:rFonts w:cs="David" w:hint="cs"/>
          <w:sz w:val="28"/>
          <w:szCs w:val="28"/>
          <w:rtl/>
        </w:rPr>
        <w:t xml:space="preserve">עובדות </w:t>
      </w:r>
      <w:r w:rsidR="00692192">
        <w:rPr>
          <w:rFonts w:cs="David" w:hint="cs"/>
          <w:sz w:val="28"/>
          <w:szCs w:val="28"/>
          <w:rtl/>
        </w:rPr>
        <w:t>על ידי</w:t>
      </w:r>
      <w:r w:rsidR="00865C01" w:rsidRPr="0004711E">
        <w:rPr>
          <w:rFonts w:cs="David" w:hint="cs"/>
          <w:sz w:val="28"/>
          <w:szCs w:val="28"/>
          <w:rtl/>
        </w:rPr>
        <w:t xml:space="preserve"> האו"ם; התנאים המקדימים לשליחת משלחות ל</w:t>
      </w:r>
      <w:r w:rsidR="00337147" w:rsidRPr="0004711E">
        <w:rPr>
          <w:rFonts w:cs="David" w:hint="cs"/>
          <w:sz w:val="28"/>
          <w:szCs w:val="28"/>
          <w:rtl/>
        </w:rPr>
        <w:t xml:space="preserve">בירור </w:t>
      </w:r>
      <w:r w:rsidR="00865C01" w:rsidRPr="0004711E">
        <w:rPr>
          <w:rFonts w:cs="David" w:hint="cs"/>
          <w:sz w:val="28"/>
          <w:szCs w:val="28"/>
          <w:rtl/>
        </w:rPr>
        <w:t>עובדות; התנהגות משלחות ל</w:t>
      </w:r>
      <w:r w:rsidR="00337147" w:rsidRPr="0004711E">
        <w:rPr>
          <w:rFonts w:cs="David" w:hint="cs"/>
          <w:sz w:val="28"/>
          <w:szCs w:val="28"/>
          <w:rtl/>
        </w:rPr>
        <w:t xml:space="preserve">בירור </w:t>
      </w:r>
      <w:r w:rsidR="00865C01" w:rsidRPr="0004711E">
        <w:rPr>
          <w:rFonts w:cs="David" w:hint="cs"/>
          <w:sz w:val="28"/>
          <w:szCs w:val="28"/>
          <w:rtl/>
        </w:rPr>
        <w:t xml:space="preserve">עובדות; השימוש האפשרי ביכולות אחרות לאיסוף מידע; </w:t>
      </w:r>
      <w:r w:rsidR="00681A50" w:rsidRPr="0004711E">
        <w:rPr>
          <w:rFonts w:cs="David" w:hint="cs"/>
          <w:sz w:val="28"/>
          <w:szCs w:val="28"/>
          <w:rtl/>
        </w:rPr>
        <w:t>קביעה בדבר המשך קיומם של מנגנונים אחרים ליישוב סכסוכים.</w:t>
      </w:r>
    </w:p>
    <w:p w:rsidR="00E92A4C" w:rsidRPr="0004711E" w:rsidRDefault="00E92A4C" w:rsidP="008B316C">
      <w:pPr>
        <w:spacing w:after="0" w:line="360" w:lineRule="auto"/>
        <w:jc w:val="both"/>
        <w:rPr>
          <w:rFonts w:cs="David"/>
          <w:sz w:val="28"/>
          <w:szCs w:val="28"/>
          <w:rtl/>
        </w:rPr>
      </w:pPr>
    </w:p>
    <w:p w:rsidR="00E92A4C" w:rsidRPr="0004711E" w:rsidRDefault="00E92A4C" w:rsidP="008B316C">
      <w:pPr>
        <w:spacing w:after="0" w:line="360" w:lineRule="auto"/>
        <w:jc w:val="both"/>
        <w:rPr>
          <w:rFonts w:cs="David"/>
          <w:sz w:val="28"/>
          <w:szCs w:val="28"/>
          <w:rtl/>
        </w:rPr>
      </w:pPr>
      <w:r w:rsidRPr="0004711E">
        <w:rPr>
          <w:rFonts w:cs="David" w:hint="cs"/>
          <w:sz w:val="28"/>
          <w:szCs w:val="28"/>
          <w:rtl/>
        </w:rPr>
        <w:t>סעיף 2 להצהרה קובע:</w:t>
      </w:r>
    </w:p>
    <w:p w:rsidR="00E92A4C" w:rsidRPr="0004711E" w:rsidRDefault="00E92A4C" w:rsidP="008B316C">
      <w:pPr>
        <w:spacing w:after="0" w:line="360" w:lineRule="auto"/>
        <w:jc w:val="both"/>
        <w:rPr>
          <w:rFonts w:cs="David"/>
          <w:sz w:val="28"/>
          <w:szCs w:val="28"/>
          <w:rtl/>
        </w:rPr>
      </w:pPr>
    </w:p>
    <w:p w:rsidR="00513DBA" w:rsidRDefault="00E92A4C">
      <w:pPr>
        <w:pStyle w:val="HTML"/>
        <w:jc w:val="both"/>
        <w:rPr>
          <w:rFonts w:asciiTheme="minorHAnsi" w:eastAsiaTheme="minorHAnsi" w:hAnsiTheme="minorHAnsi" w:cs="David"/>
          <w:sz w:val="28"/>
          <w:szCs w:val="28"/>
        </w:rPr>
      </w:pPr>
      <w:r w:rsidRPr="0004711E">
        <w:rPr>
          <w:rFonts w:asciiTheme="minorHAnsi" w:eastAsiaTheme="minorHAnsi" w:hAnsiTheme="minorHAnsi" w:cs="David"/>
          <w:sz w:val="28"/>
          <w:szCs w:val="28"/>
        </w:rPr>
        <w:t>"For the purpose of the present Declaration fact-finding means any activity designed to obtain detailed knowledge of the relevant facts of any dispute or situation which the competent United Nations organs need in order to exercise effectively their functions in relation to the maintenance of international peace and security."</w:t>
      </w:r>
    </w:p>
    <w:p w:rsidR="00681A50" w:rsidRPr="0004711E" w:rsidRDefault="00681A50" w:rsidP="008B316C">
      <w:pPr>
        <w:spacing w:after="0" w:line="360" w:lineRule="auto"/>
        <w:jc w:val="both"/>
        <w:rPr>
          <w:rFonts w:cs="David"/>
          <w:sz w:val="28"/>
          <w:szCs w:val="28"/>
          <w:rtl/>
        </w:rPr>
      </w:pPr>
    </w:p>
    <w:p w:rsidR="0074040C" w:rsidRDefault="00681A50" w:rsidP="00302D6D">
      <w:pPr>
        <w:spacing w:after="0" w:line="360" w:lineRule="auto"/>
        <w:jc w:val="both"/>
        <w:rPr>
          <w:rFonts w:cs="David"/>
          <w:sz w:val="28"/>
          <w:szCs w:val="28"/>
          <w:rtl/>
        </w:rPr>
      </w:pPr>
      <w:r w:rsidRPr="0004711E">
        <w:rPr>
          <w:rFonts w:cs="David" w:hint="cs"/>
          <w:sz w:val="28"/>
          <w:szCs w:val="28"/>
          <w:rtl/>
        </w:rPr>
        <w:t>סעיף 7 להצהרה מקנה את הסמכות לשיגור משלחות ל</w:t>
      </w:r>
      <w:r w:rsidR="00337147" w:rsidRPr="0004711E">
        <w:rPr>
          <w:rFonts w:cs="David" w:hint="cs"/>
          <w:sz w:val="28"/>
          <w:szCs w:val="28"/>
          <w:rtl/>
        </w:rPr>
        <w:t xml:space="preserve">בירור </w:t>
      </w:r>
      <w:r w:rsidRPr="0004711E">
        <w:rPr>
          <w:rFonts w:cs="David" w:hint="cs"/>
          <w:sz w:val="28"/>
          <w:szCs w:val="28"/>
          <w:rtl/>
        </w:rPr>
        <w:t xml:space="preserve">עובדות הן למועצת הביטחון של האו"ם, הן לעצרת הכללית והן למזכיר הכללי (המזכ"ל). </w:t>
      </w:r>
      <w:r w:rsidR="00C17D11">
        <w:rPr>
          <w:rFonts w:cs="David" w:hint="cs"/>
          <w:sz w:val="28"/>
          <w:szCs w:val="28"/>
          <w:rtl/>
        </w:rPr>
        <w:t>ה</w:t>
      </w:r>
      <w:r w:rsidR="00BE0C5E" w:rsidRPr="0004711E">
        <w:rPr>
          <w:rFonts w:cs="David" w:hint="cs"/>
          <w:sz w:val="28"/>
          <w:szCs w:val="28"/>
          <w:rtl/>
        </w:rPr>
        <w:t>הצהרה הייתה חשובה בהתפתחות השימוש ב</w:t>
      </w:r>
      <w:r w:rsidR="004A1D72">
        <w:rPr>
          <w:rFonts w:cs="David" w:hint="cs"/>
          <w:sz w:val="28"/>
          <w:szCs w:val="28"/>
          <w:rtl/>
        </w:rPr>
        <w:t>ו</w:t>
      </w:r>
      <w:r w:rsidR="009C039C">
        <w:rPr>
          <w:rFonts w:cs="David" w:hint="cs"/>
          <w:sz w:val="28"/>
          <w:szCs w:val="28"/>
          <w:rtl/>
        </w:rPr>
        <w:t>ועדות החקירה</w:t>
      </w:r>
      <w:r w:rsidR="00BE0C5E" w:rsidRPr="0004711E">
        <w:rPr>
          <w:rFonts w:cs="David" w:hint="cs"/>
          <w:sz w:val="28"/>
          <w:szCs w:val="28"/>
          <w:rtl/>
        </w:rPr>
        <w:t xml:space="preserve"> של האו"ם</w:t>
      </w:r>
      <w:r w:rsidR="009A1E38">
        <w:rPr>
          <w:rFonts w:cs="David" w:hint="cs"/>
          <w:sz w:val="28"/>
          <w:szCs w:val="28"/>
          <w:rtl/>
        </w:rPr>
        <w:t xml:space="preserve"> והובילה לגידול משמעותי במספר הוועדות שהתמנו</w:t>
      </w:r>
      <w:r w:rsidR="00BE0C5E" w:rsidRPr="0004711E">
        <w:rPr>
          <w:rFonts w:cs="David" w:hint="cs"/>
          <w:sz w:val="28"/>
          <w:szCs w:val="28"/>
          <w:rtl/>
        </w:rPr>
        <w:t>, אך היא אינה מהווה את הבסיס המשפטי לפרקטיקה הזו, אשר התפתחה עוד לפני ההצהרה</w:t>
      </w:r>
      <w:r w:rsidR="009B0C8F">
        <w:rPr>
          <w:rStyle w:val="a7"/>
          <w:rFonts w:cs="David"/>
          <w:sz w:val="28"/>
          <w:szCs w:val="28"/>
          <w:rtl/>
        </w:rPr>
        <w:footnoteReference w:id="30"/>
      </w:r>
      <w:r w:rsidR="00BE0C5E" w:rsidRPr="0004711E">
        <w:rPr>
          <w:rFonts w:cs="David" w:hint="cs"/>
          <w:sz w:val="28"/>
          <w:szCs w:val="28"/>
          <w:rtl/>
        </w:rPr>
        <w:t xml:space="preserve">. </w:t>
      </w:r>
      <w:r w:rsidR="008026BB" w:rsidRPr="0004711E">
        <w:rPr>
          <w:rFonts w:cs="David" w:hint="cs"/>
          <w:sz w:val="28"/>
          <w:szCs w:val="28"/>
          <w:rtl/>
        </w:rPr>
        <w:t>סעיף 33 למגילת האו"ם</w:t>
      </w:r>
      <w:r w:rsidR="005A05E0" w:rsidRPr="0004711E">
        <w:rPr>
          <w:rStyle w:val="a7"/>
          <w:rFonts w:cs="David"/>
          <w:sz w:val="28"/>
          <w:szCs w:val="28"/>
          <w:rtl/>
        </w:rPr>
        <w:footnoteReference w:id="31"/>
      </w:r>
      <w:r w:rsidR="008026BB" w:rsidRPr="0004711E">
        <w:rPr>
          <w:rFonts w:cs="David" w:hint="cs"/>
          <w:sz w:val="28"/>
          <w:szCs w:val="28"/>
          <w:rtl/>
        </w:rPr>
        <w:t xml:space="preserve"> מונה שורת צעדים</w:t>
      </w:r>
      <w:r w:rsidR="00302D6D">
        <w:rPr>
          <w:rFonts w:cs="David" w:hint="cs"/>
          <w:sz w:val="28"/>
          <w:szCs w:val="28"/>
          <w:rtl/>
        </w:rPr>
        <w:t>,</w:t>
      </w:r>
      <w:r w:rsidR="008026BB" w:rsidRPr="0004711E">
        <w:rPr>
          <w:rFonts w:cs="David" w:hint="cs"/>
          <w:sz w:val="28"/>
          <w:szCs w:val="28"/>
          <w:rtl/>
        </w:rPr>
        <w:t xml:space="preserve"> שיכולות מדינות לנקוט על מנת למנוע עימות, ובכלל צעדים אלה מנויה החקירה. גם מועצת הביטחון מוסמכת להמליץ למדינות על חקירה. יש לציין, כי בעניין זה אין מדובר בוועדת חקירה כי אם בחקירה שמתנהלת בין מדינות</w:t>
      </w:r>
      <w:r w:rsidR="0074040C" w:rsidRPr="0004711E">
        <w:rPr>
          <w:rStyle w:val="a7"/>
          <w:rFonts w:cs="David"/>
          <w:sz w:val="28"/>
          <w:szCs w:val="28"/>
          <w:rtl/>
        </w:rPr>
        <w:footnoteReference w:id="32"/>
      </w:r>
      <w:r w:rsidR="008026BB" w:rsidRPr="0004711E">
        <w:rPr>
          <w:rFonts w:cs="David" w:hint="cs"/>
          <w:sz w:val="28"/>
          <w:szCs w:val="28"/>
          <w:rtl/>
        </w:rPr>
        <w:t xml:space="preserve">. </w:t>
      </w:r>
      <w:r w:rsidR="0074040C" w:rsidRPr="0004711E">
        <w:rPr>
          <w:rFonts w:cs="David" w:hint="cs"/>
          <w:sz w:val="28"/>
          <w:szCs w:val="28"/>
          <w:rtl/>
        </w:rPr>
        <w:t xml:space="preserve">יש </w:t>
      </w:r>
      <w:r w:rsidR="0074040C" w:rsidRPr="0004711E">
        <w:rPr>
          <w:rFonts w:cs="David" w:hint="cs"/>
          <w:sz w:val="28"/>
          <w:szCs w:val="28"/>
          <w:rtl/>
        </w:rPr>
        <w:lastRenderedPageBreak/>
        <w:t>לומר, כי בעת חתימת מגילת האו"ם, כנראה ש</w:t>
      </w:r>
      <w:r w:rsidR="00012FD5">
        <w:rPr>
          <w:rFonts w:cs="David" w:hint="cs"/>
          <w:sz w:val="28"/>
          <w:szCs w:val="28"/>
          <w:rtl/>
        </w:rPr>
        <w:t xml:space="preserve">איש </w:t>
      </w:r>
      <w:r w:rsidR="0074040C" w:rsidRPr="0004711E">
        <w:rPr>
          <w:rFonts w:cs="David" w:hint="cs"/>
          <w:sz w:val="28"/>
          <w:szCs w:val="28"/>
          <w:rtl/>
        </w:rPr>
        <w:t xml:space="preserve">לא </w:t>
      </w:r>
      <w:r w:rsidR="00012FD5">
        <w:rPr>
          <w:rFonts w:cs="David" w:hint="cs"/>
          <w:sz w:val="28"/>
          <w:szCs w:val="28"/>
          <w:rtl/>
        </w:rPr>
        <w:t xml:space="preserve">חזה </w:t>
      </w:r>
      <w:r w:rsidR="0074040C" w:rsidRPr="0004711E">
        <w:rPr>
          <w:rFonts w:cs="David" w:hint="cs"/>
          <w:sz w:val="28"/>
          <w:szCs w:val="28"/>
          <w:rtl/>
        </w:rPr>
        <w:t xml:space="preserve">שמועצת הביטחון תעסוק בהפרות זכויות אדם, אך במהלך השנים </w:t>
      </w:r>
      <w:r w:rsidR="00302D6D">
        <w:rPr>
          <w:rFonts w:cs="David" w:hint="cs"/>
          <w:sz w:val="28"/>
          <w:szCs w:val="28"/>
          <w:rtl/>
        </w:rPr>
        <w:t xml:space="preserve">התרחבה </w:t>
      </w:r>
      <w:r w:rsidR="0074040C" w:rsidRPr="0004711E">
        <w:rPr>
          <w:rFonts w:cs="David" w:hint="cs"/>
          <w:sz w:val="28"/>
          <w:szCs w:val="28"/>
          <w:rtl/>
        </w:rPr>
        <w:t>תפיס</w:t>
      </w:r>
      <w:r w:rsidR="00302D6D">
        <w:rPr>
          <w:rFonts w:cs="David" w:hint="cs"/>
          <w:sz w:val="28"/>
          <w:szCs w:val="28"/>
          <w:rtl/>
        </w:rPr>
        <w:t>ת</w:t>
      </w:r>
      <w:r w:rsidR="0074040C" w:rsidRPr="0004711E">
        <w:rPr>
          <w:rFonts w:cs="David" w:hint="cs"/>
          <w:sz w:val="28"/>
          <w:szCs w:val="28"/>
          <w:rtl/>
        </w:rPr>
        <w:t xml:space="preserve"> האיום על השלום</w:t>
      </w:r>
      <w:r w:rsidR="004A1D72">
        <w:rPr>
          <w:rFonts w:cs="David" w:hint="cs"/>
          <w:sz w:val="28"/>
          <w:szCs w:val="28"/>
          <w:rtl/>
        </w:rPr>
        <w:t>,</w:t>
      </w:r>
      <w:r w:rsidR="0074040C" w:rsidRPr="0004711E">
        <w:rPr>
          <w:rFonts w:cs="David" w:hint="cs"/>
          <w:sz w:val="28"/>
          <w:szCs w:val="28"/>
          <w:rtl/>
        </w:rPr>
        <w:t xml:space="preserve"> ו</w:t>
      </w:r>
      <w:r w:rsidR="00012FD5">
        <w:rPr>
          <w:rFonts w:cs="David" w:hint="cs"/>
          <w:sz w:val="28"/>
          <w:szCs w:val="28"/>
          <w:rtl/>
        </w:rPr>
        <w:t xml:space="preserve">האו"ם </w:t>
      </w:r>
      <w:r w:rsidR="00C17D11">
        <w:rPr>
          <w:rFonts w:cs="David" w:hint="cs"/>
          <w:sz w:val="28"/>
          <w:szCs w:val="28"/>
          <w:rtl/>
        </w:rPr>
        <w:t xml:space="preserve">בכלל ומועצת הביטחון בפרט </w:t>
      </w:r>
      <w:r w:rsidR="0074040C" w:rsidRPr="0004711E">
        <w:rPr>
          <w:rFonts w:cs="David" w:hint="cs"/>
          <w:sz w:val="28"/>
          <w:szCs w:val="28"/>
          <w:rtl/>
        </w:rPr>
        <w:t>החל</w:t>
      </w:r>
      <w:r w:rsidR="00C17D11">
        <w:rPr>
          <w:rFonts w:cs="David" w:hint="cs"/>
          <w:sz w:val="28"/>
          <w:szCs w:val="28"/>
          <w:rtl/>
        </w:rPr>
        <w:t>ו</w:t>
      </w:r>
      <w:r w:rsidR="0074040C" w:rsidRPr="0004711E">
        <w:rPr>
          <w:rFonts w:cs="David" w:hint="cs"/>
          <w:sz w:val="28"/>
          <w:szCs w:val="28"/>
          <w:rtl/>
        </w:rPr>
        <w:t xml:space="preserve"> </w:t>
      </w:r>
      <w:r w:rsidR="00012FD5">
        <w:rPr>
          <w:rFonts w:cs="David" w:hint="cs"/>
          <w:sz w:val="28"/>
          <w:szCs w:val="28"/>
          <w:rtl/>
        </w:rPr>
        <w:t xml:space="preserve">לעסוק </w:t>
      </w:r>
      <w:r w:rsidR="0074040C" w:rsidRPr="0004711E">
        <w:rPr>
          <w:rFonts w:cs="David" w:hint="cs"/>
          <w:sz w:val="28"/>
          <w:szCs w:val="28"/>
          <w:rtl/>
        </w:rPr>
        <w:t xml:space="preserve">גם </w:t>
      </w:r>
      <w:r w:rsidR="00012FD5">
        <w:rPr>
          <w:rFonts w:cs="David" w:hint="cs"/>
          <w:sz w:val="28"/>
          <w:szCs w:val="28"/>
          <w:rtl/>
        </w:rPr>
        <w:t>ב</w:t>
      </w:r>
      <w:r w:rsidR="0074040C" w:rsidRPr="0004711E">
        <w:rPr>
          <w:rFonts w:cs="David" w:hint="cs"/>
          <w:sz w:val="28"/>
          <w:szCs w:val="28"/>
          <w:rtl/>
        </w:rPr>
        <w:t>אירועים של הפרות מסיביות של זכויות אדם, גם כשלא חרגו משטחה של מדינה חברה באו"ם</w:t>
      </w:r>
      <w:r w:rsidR="005A05E0" w:rsidRPr="0004711E">
        <w:rPr>
          <w:rStyle w:val="a7"/>
          <w:rFonts w:cs="David"/>
          <w:sz w:val="28"/>
          <w:szCs w:val="28"/>
          <w:rtl/>
        </w:rPr>
        <w:footnoteReference w:id="33"/>
      </w:r>
      <w:r w:rsidR="0074040C" w:rsidRPr="0004711E">
        <w:rPr>
          <w:rFonts w:cs="David" w:hint="cs"/>
          <w:sz w:val="28"/>
          <w:szCs w:val="28"/>
          <w:rtl/>
        </w:rPr>
        <w:t xml:space="preserve">. כך, ניתן </w:t>
      </w:r>
      <w:r w:rsidR="00C14BD7" w:rsidRPr="0004711E">
        <w:rPr>
          <w:rFonts w:cs="David" w:hint="cs"/>
          <w:sz w:val="28"/>
          <w:szCs w:val="28"/>
          <w:rtl/>
        </w:rPr>
        <w:t xml:space="preserve">למצוא </w:t>
      </w:r>
      <w:r w:rsidR="0074040C" w:rsidRPr="0004711E">
        <w:rPr>
          <w:rFonts w:cs="David" w:hint="cs"/>
          <w:sz w:val="28"/>
          <w:szCs w:val="28"/>
          <w:rtl/>
        </w:rPr>
        <w:t>עשרות החלטות של מועצת הביטחון שמסווגות הפרות זכויות אדם כאיום על השלום.</w:t>
      </w:r>
    </w:p>
    <w:p w:rsidR="00515158" w:rsidRDefault="00515158" w:rsidP="00302D6D">
      <w:pPr>
        <w:spacing w:after="0" w:line="360" w:lineRule="auto"/>
        <w:jc w:val="both"/>
        <w:rPr>
          <w:rFonts w:cs="David"/>
          <w:sz w:val="28"/>
          <w:szCs w:val="28"/>
          <w:rtl/>
        </w:rPr>
      </w:pPr>
    </w:p>
    <w:p w:rsidR="00515158" w:rsidRPr="0004711E" w:rsidRDefault="00526B13" w:rsidP="00526B13">
      <w:pPr>
        <w:spacing w:after="0" w:line="360" w:lineRule="auto"/>
        <w:jc w:val="both"/>
        <w:rPr>
          <w:rFonts w:cs="David"/>
          <w:sz w:val="28"/>
          <w:szCs w:val="28"/>
          <w:rtl/>
        </w:rPr>
      </w:pPr>
      <w:r w:rsidRPr="0004711E">
        <w:rPr>
          <w:rFonts w:cs="David" w:hint="cs"/>
          <w:sz w:val="28"/>
          <w:szCs w:val="28"/>
          <w:rtl/>
        </w:rPr>
        <w:t>הצהרת העצרת על בירור עובדות</w:t>
      </w:r>
      <w:r>
        <w:rPr>
          <w:rFonts w:cs="David" w:hint="cs"/>
          <w:sz w:val="28"/>
          <w:szCs w:val="28"/>
          <w:rtl/>
        </w:rPr>
        <w:t xml:space="preserve"> הנזכרת לעיל קבעה גם סטנדרטים בסיסיים ל</w:t>
      </w:r>
      <w:r w:rsidR="00420084">
        <w:rPr>
          <w:rFonts w:cs="David" w:hint="cs"/>
          <w:sz w:val="28"/>
          <w:szCs w:val="28"/>
          <w:rtl/>
        </w:rPr>
        <w:t>פעילותן של ועדות חקירה בינלאומיות</w:t>
      </w:r>
      <w:r>
        <w:rPr>
          <w:rFonts w:cs="David" w:hint="cs"/>
          <w:sz w:val="28"/>
          <w:szCs w:val="28"/>
          <w:rtl/>
        </w:rPr>
        <w:t>.</w:t>
      </w:r>
      <w:r w:rsidR="00420084">
        <w:rPr>
          <w:rFonts w:cs="David" w:hint="cs"/>
          <w:sz w:val="28"/>
          <w:szCs w:val="28"/>
          <w:rtl/>
        </w:rPr>
        <w:t xml:space="preserve"> </w:t>
      </w:r>
      <w:r w:rsidR="00515158">
        <w:rPr>
          <w:rFonts w:cs="David" w:hint="cs"/>
          <w:sz w:val="28"/>
          <w:szCs w:val="28"/>
          <w:rtl/>
        </w:rPr>
        <w:t xml:space="preserve">מעבר </w:t>
      </w:r>
      <w:r w:rsidR="00420084">
        <w:rPr>
          <w:rFonts w:cs="David" w:hint="cs"/>
          <w:sz w:val="28"/>
          <w:szCs w:val="28"/>
          <w:rtl/>
        </w:rPr>
        <w:t>ל</w:t>
      </w:r>
      <w:r w:rsidR="00420084" w:rsidRPr="0004711E">
        <w:rPr>
          <w:rFonts w:cs="David" w:hint="cs"/>
          <w:sz w:val="28"/>
          <w:szCs w:val="28"/>
          <w:rtl/>
        </w:rPr>
        <w:t>הצהר</w:t>
      </w:r>
      <w:r>
        <w:rPr>
          <w:rFonts w:cs="David" w:hint="cs"/>
          <w:sz w:val="28"/>
          <w:szCs w:val="28"/>
          <w:rtl/>
        </w:rPr>
        <w:t>ה זו נעשו ניסיונות נוספים לקביעת סטנדרטים כאמור</w:t>
      </w:r>
      <w:r w:rsidR="00420084">
        <w:rPr>
          <w:rFonts w:cs="David" w:hint="cs"/>
          <w:sz w:val="28"/>
          <w:szCs w:val="28"/>
          <w:rtl/>
        </w:rPr>
        <w:t>. כך,</w:t>
      </w:r>
      <w:r w:rsidR="00420084" w:rsidRPr="0004711E">
        <w:rPr>
          <w:rFonts w:cs="David" w:hint="cs"/>
          <w:sz w:val="28"/>
          <w:szCs w:val="28"/>
          <w:rtl/>
        </w:rPr>
        <w:t xml:space="preserve"> </w:t>
      </w:r>
      <w:r w:rsidR="00515158" w:rsidRPr="0004711E">
        <w:rPr>
          <w:rFonts w:cs="David" w:hint="cs"/>
          <w:sz w:val="28"/>
          <w:szCs w:val="28"/>
          <w:rtl/>
        </w:rPr>
        <w:t>בשנת 2015 פרסם משרד הנציב העליון לזכויות אדם של האו"ם את מדריך ועדות החקירה והמשלחות לבירור עובדות על משפט זכויות האדם הבינלאומי והמשפט ההומניטארי הבינלאומי</w:t>
      </w:r>
      <w:bookmarkStart w:id="6" w:name="_Ref454836804"/>
      <w:r w:rsidR="00515158" w:rsidRPr="0004711E">
        <w:rPr>
          <w:rStyle w:val="a7"/>
          <w:rFonts w:cs="David"/>
          <w:sz w:val="28"/>
          <w:szCs w:val="28"/>
          <w:rtl/>
        </w:rPr>
        <w:footnoteReference w:id="34"/>
      </w:r>
      <w:bookmarkEnd w:id="6"/>
      <w:r w:rsidR="00515158" w:rsidRPr="0004711E">
        <w:rPr>
          <w:rFonts w:cs="David" w:hint="cs"/>
          <w:sz w:val="28"/>
          <w:szCs w:val="28"/>
          <w:rtl/>
        </w:rPr>
        <w:t>.</w:t>
      </w:r>
      <w:r w:rsidR="00420084">
        <w:rPr>
          <w:rFonts w:cs="David" w:hint="cs"/>
          <w:sz w:val="28"/>
          <w:szCs w:val="28"/>
          <w:rtl/>
        </w:rPr>
        <w:t xml:space="preserve"> כמו כן, ניתן למצוא הצעות נוספות לכללי פעולה לוועדות חקירה בינלאומיות בפרק החמישי לעבודה. יחד עם זאת, אף אחת ממערכות הכללים הללו לא הפכה למחייבת, ובמהלך השנים נמתחה ביקורת רבה על דרך עבודתן של הוועדות, כפי שיפורט בפרק החמישי.</w:t>
      </w:r>
    </w:p>
    <w:p w:rsidR="0074040C" w:rsidRPr="0004711E" w:rsidRDefault="0074040C" w:rsidP="008B316C">
      <w:pPr>
        <w:spacing w:after="0" w:line="360" w:lineRule="auto"/>
        <w:jc w:val="both"/>
        <w:rPr>
          <w:rFonts w:cs="David"/>
          <w:sz w:val="28"/>
          <w:szCs w:val="28"/>
          <w:rtl/>
        </w:rPr>
      </w:pPr>
    </w:p>
    <w:p w:rsidR="00681A50" w:rsidRPr="0004711E" w:rsidRDefault="00BE0C5E" w:rsidP="00526B13">
      <w:pPr>
        <w:spacing w:after="0" w:line="360" w:lineRule="auto"/>
        <w:jc w:val="both"/>
        <w:rPr>
          <w:rFonts w:cs="David"/>
          <w:sz w:val="28"/>
          <w:szCs w:val="28"/>
          <w:rtl/>
        </w:rPr>
      </w:pPr>
      <w:r w:rsidRPr="0004711E">
        <w:rPr>
          <w:rFonts w:cs="David" w:hint="cs"/>
          <w:sz w:val="28"/>
          <w:szCs w:val="28"/>
          <w:rtl/>
        </w:rPr>
        <w:t xml:space="preserve">האו"ם עושה שימוש בכמה וריאציות של </w:t>
      </w:r>
      <w:r w:rsidR="00526B13">
        <w:rPr>
          <w:rFonts w:cs="David" w:hint="cs"/>
          <w:sz w:val="28"/>
          <w:szCs w:val="28"/>
          <w:rtl/>
        </w:rPr>
        <w:t>"ועדות חקירה" מעין אלה בהן עסקינן כאן</w:t>
      </w:r>
      <w:r w:rsidRPr="0004711E">
        <w:rPr>
          <w:rFonts w:cs="David" w:hint="cs"/>
          <w:sz w:val="28"/>
          <w:szCs w:val="28"/>
          <w:rtl/>
        </w:rPr>
        <w:t>: ועדת חקירה (</w:t>
      </w:r>
      <w:r w:rsidRPr="0004711E">
        <w:rPr>
          <w:rFonts w:cs="David"/>
          <w:sz w:val="28"/>
          <w:szCs w:val="28"/>
        </w:rPr>
        <w:t>commission of Inquiry – COI</w:t>
      </w:r>
      <w:r w:rsidRPr="0004711E">
        <w:rPr>
          <w:rFonts w:cs="David" w:hint="cs"/>
          <w:sz w:val="28"/>
          <w:szCs w:val="28"/>
          <w:rtl/>
        </w:rPr>
        <w:t xml:space="preserve"> או </w:t>
      </w:r>
      <w:r w:rsidRPr="0004711E">
        <w:rPr>
          <w:rFonts w:cs="David"/>
          <w:sz w:val="28"/>
          <w:szCs w:val="28"/>
        </w:rPr>
        <w:t>Board of Inquiry – BOI</w:t>
      </w:r>
      <w:r w:rsidRPr="0004711E">
        <w:rPr>
          <w:rFonts w:cs="David" w:hint="cs"/>
          <w:sz w:val="28"/>
          <w:szCs w:val="28"/>
          <w:rtl/>
        </w:rPr>
        <w:t>); משלחת ל</w:t>
      </w:r>
      <w:r w:rsidR="00337147" w:rsidRPr="0004711E">
        <w:rPr>
          <w:rFonts w:cs="David" w:hint="cs"/>
          <w:sz w:val="28"/>
          <w:szCs w:val="28"/>
          <w:rtl/>
        </w:rPr>
        <w:t xml:space="preserve">בירור </w:t>
      </w:r>
      <w:r w:rsidRPr="0004711E">
        <w:rPr>
          <w:rFonts w:cs="David" w:hint="cs"/>
          <w:sz w:val="28"/>
          <w:szCs w:val="28"/>
          <w:rtl/>
        </w:rPr>
        <w:t>עובדות (</w:t>
      </w:r>
      <w:r w:rsidRPr="0004711E">
        <w:rPr>
          <w:rFonts w:cs="David"/>
          <w:sz w:val="28"/>
          <w:szCs w:val="28"/>
        </w:rPr>
        <w:t>Fact</w:t>
      </w:r>
      <w:r w:rsidR="004A1D72">
        <w:rPr>
          <w:rFonts w:cs="David"/>
          <w:sz w:val="28"/>
          <w:szCs w:val="28"/>
        </w:rPr>
        <w:t>-</w:t>
      </w:r>
      <w:r w:rsidRPr="0004711E">
        <w:rPr>
          <w:rFonts w:cs="David"/>
          <w:sz w:val="28"/>
          <w:szCs w:val="28"/>
        </w:rPr>
        <w:t>Finding Mission – FFM</w:t>
      </w:r>
      <w:r w:rsidRPr="0004711E">
        <w:rPr>
          <w:rFonts w:cs="David" w:hint="cs"/>
          <w:sz w:val="28"/>
          <w:szCs w:val="28"/>
          <w:rtl/>
        </w:rPr>
        <w:t>); ועוד.</w:t>
      </w:r>
    </w:p>
    <w:p w:rsidR="00690F52" w:rsidRPr="0004711E" w:rsidRDefault="00690F52" w:rsidP="008B316C">
      <w:pPr>
        <w:spacing w:after="0" w:line="360" w:lineRule="auto"/>
        <w:jc w:val="both"/>
        <w:rPr>
          <w:rFonts w:cs="David"/>
          <w:sz w:val="28"/>
          <w:szCs w:val="28"/>
          <w:rtl/>
        </w:rPr>
      </w:pPr>
    </w:p>
    <w:p w:rsidR="006D43D8" w:rsidRPr="0004711E" w:rsidRDefault="00690F52" w:rsidP="008B316C">
      <w:pPr>
        <w:spacing w:after="0" w:line="360" w:lineRule="auto"/>
        <w:jc w:val="both"/>
        <w:rPr>
          <w:rFonts w:cs="David"/>
          <w:sz w:val="28"/>
          <w:szCs w:val="28"/>
          <w:rtl/>
        </w:rPr>
      </w:pPr>
      <w:r w:rsidRPr="0004711E">
        <w:rPr>
          <w:rFonts w:cs="David" w:hint="cs"/>
          <w:sz w:val="28"/>
          <w:szCs w:val="28"/>
          <w:rtl/>
        </w:rPr>
        <w:t xml:space="preserve">לפי חוות </w:t>
      </w:r>
      <w:r w:rsidR="00302D6D">
        <w:rPr>
          <w:rFonts w:cs="David" w:hint="cs"/>
          <w:sz w:val="28"/>
          <w:szCs w:val="28"/>
          <w:rtl/>
        </w:rPr>
        <w:t>ה</w:t>
      </w:r>
      <w:r w:rsidRPr="0004711E">
        <w:rPr>
          <w:rFonts w:cs="David" w:hint="cs"/>
          <w:sz w:val="28"/>
          <w:szCs w:val="28"/>
          <w:rtl/>
        </w:rPr>
        <w:t>דעת של המחלקה המשפטית של האו"ם</w:t>
      </w:r>
      <w:bookmarkStart w:id="7" w:name="_Ref455327530"/>
      <w:r w:rsidRPr="0004711E">
        <w:rPr>
          <w:rStyle w:val="a7"/>
          <w:rFonts w:cs="David"/>
          <w:sz w:val="28"/>
          <w:szCs w:val="28"/>
          <w:rtl/>
        </w:rPr>
        <w:footnoteReference w:id="35"/>
      </w:r>
      <w:bookmarkEnd w:id="7"/>
      <w:r w:rsidRPr="0004711E">
        <w:rPr>
          <w:rFonts w:cs="David" w:hint="cs"/>
          <w:sz w:val="28"/>
          <w:szCs w:val="28"/>
          <w:rtl/>
        </w:rPr>
        <w:t xml:space="preserve">, </w:t>
      </w:r>
      <w:r w:rsidR="009F6ED1">
        <w:rPr>
          <w:rFonts w:cs="David" w:hint="cs"/>
          <w:sz w:val="28"/>
          <w:szCs w:val="28"/>
          <w:rtl/>
        </w:rPr>
        <w:t xml:space="preserve">ועדות חקירה </w:t>
      </w:r>
      <w:r w:rsidR="002E66E4" w:rsidRPr="0004711E">
        <w:rPr>
          <w:rFonts w:cs="David" w:hint="cs"/>
          <w:sz w:val="28"/>
          <w:szCs w:val="28"/>
          <w:rtl/>
        </w:rPr>
        <w:t>(</w:t>
      </w:r>
      <w:r w:rsidR="002E66E4" w:rsidRPr="0004711E">
        <w:rPr>
          <w:rFonts w:cs="David"/>
          <w:sz w:val="28"/>
          <w:szCs w:val="28"/>
        </w:rPr>
        <w:t>COIs</w:t>
      </w:r>
      <w:r w:rsidR="002E66E4" w:rsidRPr="0004711E">
        <w:rPr>
          <w:rFonts w:cs="David" w:hint="cs"/>
          <w:sz w:val="28"/>
          <w:szCs w:val="28"/>
          <w:rtl/>
        </w:rPr>
        <w:t xml:space="preserve">) התפתחו בפרקטיקה של האו"ם כמנגנונים לחקירת הפרות חמורות ובקנה מידה רחב של זכויות אדם ומשפט בינלאומי הומניטארי במהלך עימות מזוין. הן מקבלות מנדט לקבוע את העובדות, להתאים את הפשעים, למצוא את האחראים ולהמליץ המלצות ביחס אליהם. כך, לדוגמה, מינתה מועצת הביטחון של האו"ם את ועדות החקירה </w:t>
      </w:r>
      <w:r w:rsidR="00794D5A" w:rsidRPr="0004711E">
        <w:rPr>
          <w:rFonts w:cs="David" w:hint="cs"/>
          <w:sz w:val="28"/>
          <w:szCs w:val="28"/>
          <w:rtl/>
        </w:rPr>
        <w:t xml:space="preserve">(כוועדות מומחים) </w:t>
      </w:r>
      <w:r w:rsidR="002E66E4" w:rsidRPr="0004711E">
        <w:rPr>
          <w:rFonts w:cs="David" w:hint="cs"/>
          <w:sz w:val="28"/>
          <w:szCs w:val="28"/>
          <w:rtl/>
        </w:rPr>
        <w:t>של יוגוסלביה</w:t>
      </w:r>
      <w:r w:rsidR="002E66E4" w:rsidRPr="0004711E">
        <w:rPr>
          <w:rStyle w:val="a7"/>
          <w:rFonts w:cs="David"/>
          <w:sz w:val="28"/>
          <w:szCs w:val="28"/>
          <w:rtl/>
        </w:rPr>
        <w:footnoteReference w:id="36"/>
      </w:r>
      <w:r w:rsidR="00A237F5" w:rsidRPr="0004711E">
        <w:rPr>
          <w:rFonts w:cs="David" w:hint="cs"/>
          <w:sz w:val="28"/>
          <w:szCs w:val="28"/>
          <w:rtl/>
        </w:rPr>
        <w:t xml:space="preserve"> (בראשותו של שריף בסיוני)</w:t>
      </w:r>
      <w:r w:rsidR="002E66E4" w:rsidRPr="0004711E">
        <w:rPr>
          <w:rFonts w:cs="David" w:hint="cs"/>
          <w:sz w:val="28"/>
          <w:szCs w:val="28"/>
          <w:rtl/>
        </w:rPr>
        <w:t xml:space="preserve">, </w:t>
      </w:r>
      <w:r w:rsidR="00794D5A" w:rsidRPr="0004711E">
        <w:rPr>
          <w:rFonts w:cs="David" w:hint="cs"/>
          <w:sz w:val="28"/>
          <w:szCs w:val="28"/>
          <w:rtl/>
        </w:rPr>
        <w:t>רואנדה</w:t>
      </w:r>
      <w:r w:rsidR="00794D5A" w:rsidRPr="0004711E">
        <w:rPr>
          <w:rStyle w:val="a7"/>
          <w:rFonts w:cs="David"/>
          <w:sz w:val="28"/>
          <w:szCs w:val="28"/>
          <w:rtl/>
        </w:rPr>
        <w:footnoteReference w:id="37"/>
      </w:r>
      <w:r w:rsidR="00794D5A" w:rsidRPr="0004711E">
        <w:rPr>
          <w:rFonts w:cs="David" w:hint="cs"/>
          <w:sz w:val="28"/>
          <w:szCs w:val="28"/>
          <w:rtl/>
        </w:rPr>
        <w:t xml:space="preserve"> </w:t>
      </w:r>
      <w:r w:rsidR="00794D5A" w:rsidRPr="0004711E">
        <w:rPr>
          <w:rFonts w:cs="David" w:hint="cs"/>
          <w:sz w:val="28"/>
          <w:szCs w:val="28"/>
          <w:rtl/>
        </w:rPr>
        <w:lastRenderedPageBreak/>
        <w:t>ובורונדי</w:t>
      </w:r>
      <w:r w:rsidR="00794D5A" w:rsidRPr="0004711E">
        <w:rPr>
          <w:rStyle w:val="a7"/>
          <w:rFonts w:cs="David"/>
          <w:sz w:val="28"/>
          <w:szCs w:val="28"/>
          <w:rtl/>
        </w:rPr>
        <w:footnoteReference w:id="38"/>
      </w:r>
      <w:r w:rsidR="00570D37" w:rsidRPr="0004711E">
        <w:rPr>
          <w:rFonts w:cs="David" w:hint="cs"/>
          <w:sz w:val="28"/>
          <w:szCs w:val="28"/>
          <w:rtl/>
        </w:rPr>
        <w:t xml:space="preserve">. </w:t>
      </w:r>
      <w:r w:rsidR="00A5092D" w:rsidRPr="0004711E">
        <w:rPr>
          <w:rFonts w:cs="David" w:hint="cs"/>
          <w:sz w:val="28"/>
          <w:szCs w:val="28"/>
          <w:rtl/>
        </w:rPr>
        <w:t>ועדות החקירה של יוגוסלביה ורואנדה סללו את הדרך ל</w:t>
      </w:r>
      <w:r w:rsidR="00066741" w:rsidRPr="0004711E">
        <w:rPr>
          <w:rFonts w:cs="David" w:hint="cs"/>
          <w:sz w:val="28"/>
          <w:szCs w:val="28"/>
          <w:rtl/>
        </w:rPr>
        <w:t xml:space="preserve">החלטת מועצת הביטחון על </w:t>
      </w:r>
      <w:r w:rsidR="00A5092D" w:rsidRPr="0004711E">
        <w:rPr>
          <w:rFonts w:cs="David" w:hint="cs"/>
          <w:sz w:val="28"/>
          <w:szCs w:val="28"/>
          <w:rtl/>
        </w:rPr>
        <w:t xml:space="preserve">הקמתם של בית הדין </w:t>
      </w:r>
      <w:r w:rsidR="00066741" w:rsidRPr="0004711E">
        <w:rPr>
          <w:rFonts w:cs="David" w:hint="cs"/>
          <w:sz w:val="28"/>
          <w:szCs w:val="28"/>
          <w:rtl/>
        </w:rPr>
        <w:t>הפלילי הבינלאומי ליוגוסלביה לשעבר (</w:t>
      </w:r>
      <w:r w:rsidR="00066741" w:rsidRPr="0004711E">
        <w:rPr>
          <w:rFonts w:cs="David"/>
          <w:sz w:val="28"/>
          <w:szCs w:val="28"/>
        </w:rPr>
        <w:t>International Criminal Tribunal for the Former Yugoslavia – ICTY</w:t>
      </w:r>
      <w:r w:rsidR="00066741" w:rsidRPr="0004711E">
        <w:rPr>
          <w:rFonts w:cs="David" w:hint="cs"/>
          <w:sz w:val="28"/>
          <w:szCs w:val="28"/>
          <w:rtl/>
        </w:rPr>
        <w:t>)</w:t>
      </w:r>
      <w:r w:rsidR="00066741" w:rsidRPr="0004711E">
        <w:rPr>
          <w:rStyle w:val="a7"/>
          <w:rFonts w:cs="David"/>
          <w:sz w:val="28"/>
          <w:szCs w:val="28"/>
          <w:rtl/>
        </w:rPr>
        <w:footnoteReference w:id="39"/>
      </w:r>
      <w:r w:rsidR="00066741" w:rsidRPr="0004711E">
        <w:rPr>
          <w:rFonts w:cs="David" w:hint="cs"/>
          <w:sz w:val="28"/>
          <w:szCs w:val="28"/>
          <w:rtl/>
        </w:rPr>
        <w:t xml:space="preserve"> ובית הדין הפלילי הבינלאומי לרואנדה (</w:t>
      </w:r>
      <w:r w:rsidR="00066741" w:rsidRPr="0004711E">
        <w:rPr>
          <w:rFonts w:cs="David"/>
          <w:sz w:val="28"/>
          <w:szCs w:val="28"/>
        </w:rPr>
        <w:t>International Criminal Court for Rwanda – ICTR</w:t>
      </w:r>
      <w:r w:rsidR="00066741" w:rsidRPr="0004711E">
        <w:rPr>
          <w:rFonts w:cs="David" w:hint="cs"/>
          <w:sz w:val="28"/>
          <w:szCs w:val="28"/>
          <w:rtl/>
        </w:rPr>
        <w:t>)</w:t>
      </w:r>
      <w:r w:rsidR="00066741" w:rsidRPr="0004711E">
        <w:rPr>
          <w:rStyle w:val="a7"/>
          <w:rFonts w:cs="David"/>
          <w:sz w:val="28"/>
          <w:szCs w:val="28"/>
          <w:rtl/>
        </w:rPr>
        <w:footnoteReference w:id="40"/>
      </w:r>
      <w:r w:rsidR="00066741" w:rsidRPr="0004711E">
        <w:rPr>
          <w:rFonts w:cs="David" w:hint="cs"/>
          <w:sz w:val="28"/>
          <w:szCs w:val="28"/>
          <w:rtl/>
        </w:rPr>
        <w:t>, בהתאמה</w:t>
      </w:r>
      <w:r w:rsidR="009A6D40" w:rsidRPr="0004711E">
        <w:rPr>
          <w:rStyle w:val="a7"/>
          <w:rFonts w:cs="David"/>
          <w:sz w:val="28"/>
          <w:szCs w:val="28"/>
          <w:rtl/>
        </w:rPr>
        <w:footnoteReference w:id="41"/>
      </w:r>
      <w:r w:rsidR="00066741" w:rsidRPr="0004711E">
        <w:rPr>
          <w:rFonts w:cs="David" w:hint="cs"/>
          <w:sz w:val="28"/>
          <w:szCs w:val="28"/>
          <w:rtl/>
        </w:rPr>
        <w:t xml:space="preserve">. </w:t>
      </w:r>
      <w:r w:rsidR="00D44FBA" w:rsidRPr="0004711E">
        <w:rPr>
          <w:rFonts w:cs="David" w:hint="cs"/>
          <w:sz w:val="28"/>
          <w:szCs w:val="28"/>
          <w:rtl/>
        </w:rPr>
        <w:t>יצוין, כי במסגרת עבודתו של ה-</w:t>
      </w:r>
      <w:r w:rsidR="00D44FBA" w:rsidRPr="0004711E">
        <w:rPr>
          <w:rFonts w:cs="David" w:hint="cs"/>
          <w:sz w:val="28"/>
          <w:szCs w:val="28"/>
        </w:rPr>
        <w:t>ICTY</w:t>
      </w:r>
      <w:r w:rsidR="00D44FBA" w:rsidRPr="0004711E">
        <w:rPr>
          <w:rFonts w:cs="David" w:hint="cs"/>
          <w:sz w:val="28"/>
          <w:szCs w:val="28"/>
          <w:rtl/>
        </w:rPr>
        <w:t xml:space="preserve"> הוקמה ועדת חקירה לא שגרתית, בתוך בית הדין עצמו, כדי לחקור את ההפצצות של נאט"ו בקוסובו</w:t>
      </w:r>
      <w:r w:rsidR="006D43D8" w:rsidRPr="0004711E">
        <w:rPr>
          <w:rFonts w:cs="David" w:hint="cs"/>
          <w:sz w:val="28"/>
          <w:szCs w:val="28"/>
          <w:rtl/>
        </w:rPr>
        <w:t>, שהובילו לפגיעה באזרחים רבים. מכל מקום, עבודת הוועדה לא הובילה ל</w:t>
      </w:r>
      <w:r w:rsidR="00483634" w:rsidRPr="0004711E">
        <w:rPr>
          <w:rFonts w:cs="David" w:hint="cs"/>
          <w:sz w:val="28"/>
          <w:szCs w:val="28"/>
          <w:rtl/>
        </w:rPr>
        <w:t>ה</w:t>
      </w:r>
      <w:r w:rsidR="006D43D8" w:rsidRPr="0004711E">
        <w:rPr>
          <w:rFonts w:cs="David" w:hint="cs"/>
          <w:sz w:val="28"/>
          <w:szCs w:val="28"/>
          <w:rtl/>
        </w:rPr>
        <w:t>עמדה לדין של מאן דהוא</w:t>
      </w:r>
      <w:r w:rsidR="006D43D8" w:rsidRPr="0004711E">
        <w:rPr>
          <w:rStyle w:val="a7"/>
          <w:rFonts w:cs="David"/>
          <w:sz w:val="28"/>
          <w:szCs w:val="28"/>
          <w:rtl/>
        </w:rPr>
        <w:footnoteReference w:id="42"/>
      </w:r>
      <w:r w:rsidR="006D43D8" w:rsidRPr="0004711E">
        <w:rPr>
          <w:rFonts w:cs="David" w:hint="cs"/>
          <w:sz w:val="28"/>
          <w:szCs w:val="28"/>
          <w:rtl/>
        </w:rPr>
        <w:t>.</w:t>
      </w:r>
      <w:r w:rsidR="00D44FBA" w:rsidRPr="0004711E">
        <w:rPr>
          <w:rFonts w:cs="David" w:hint="cs"/>
          <w:sz w:val="28"/>
          <w:szCs w:val="28"/>
          <w:rtl/>
        </w:rPr>
        <w:t xml:space="preserve"> </w:t>
      </w:r>
      <w:r w:rsidR="00663C2A" w:rsidRPr="0004711E">
        <w:rPr>
          <w:rFonts w:cs="David" w:hint="cs"/>
          <w:sz w:val="28"/>
          <w:szCs w:val="28"/>
          <w:rtl/>
        </w:rPr>
        <w:t xml:space="preserve">ניתן להזכיר גם את ועדת החקירה </w:t>
      </w:r>
      <w:r w:rsidR="009A6D40" w:rsidRPr="0004711E">
        <w:rPr>
          <w:rFonts w:cs="David" w:hint="cs"/>
          <w:sz w:val="28"/>
          <w:szCs w:val="28"/>
          <w:rtl/>
        </w:rPr>
        <w:t xml:space="preserve">(בראשות אנטוניו קססה) </w:t>
      </w:r>
      <w:r w:rsidR="00663C2A" w:rsidRPr="0004711E">
        <w:rPr>
          <w:rFonts w:cs="David" w:hint="cs"/>
          <w:sz w:val="28"/>
          <w:szCs w:val="28"/>
          <w:rtl/>
        </w:rPr>
        <w:t xml:space="preserve">שהוקמה </w:t>
      </w:r>
      <w:r w:rsidR="00692192">
        <w:rPr>
          <w:rFonts w:cs="David" w:hint="cs"/>
          <w:sz w:val="28"/>
          <w:szCs w:val="28"/>
          <w:rtl/>
        </w:rPr>
        <w:t>על ידי</w:t>
      </w:r>
      <w:r w:rsidR="00663C2A" w:rsidRPr="0004711E">
        <w:rPr>
          <w:rFonts w:cs="David" w:hint="cs"/>
          <w:sz w:val="28"/>
          <w:szCs w:val="28"/>
          <w:rtl/>
        </w:rPr>
        <w:t xml:space="preserve"> מועצת הביטחון לחקר האירועים בדארפור ולקביעה האם הם מהווים רצח עם</w:t>
      </w:r>
      <w:bookmarkStart w:id="8" w:name="_Ref454623201"/>
      <w:r w:rsidR="00663C2A" w:rsidRPr="0004711E">
        <w:rPr>
          <w:rStyle w:val="a7"/>
          <w:rFonts w:cs="David"/>
          <w:sz w:val="28"/>
          <w:szCs w:val="28"/>
          <w:rtl/>
        </w:rPr>
        <w:footnoteReference w:id="43"/>
      </w:r>
      <w:bookmarkEnd w:id="8"/>
      <w:r w:rsidR="00663C2A" w:rsidRPr="0004711E">
        <w:rPr>
          <w:rFonts w:cs="David" w:hint="cs"/>
          <w:sz w:val="28"/>
          <w:szCs w:val="28"/>
          <w:rtl/>
        </w:rPr>
        <w:t>, שייחודה בכך שקביעותיה לגבי אופי ההפרות הי</w:t>
      </w:r>
      <w:r w:rsidR="008E208C">
        <w:rPr>
          <w:rFonts w:cs="David" w:hint="cs"/>
          <w:sz w:val="28"/>
          <w:szCs w:val="28"/>
          <w:rtl/>
        </w:rPr>
        <w:t>ו</w:t>
      </w:r>
      <w:r w:rsidR="00663C2A" w:rsidRPr="0004711E">
        <w:rPr>
          <w:rFonts w:cs="David" w:hint="cs"/>
          <w:sz w:val="28"/>
          <w:szCs w:val="28"/>
          <w:rtl/>
        </w:rPr>
        <w:t xml:space="preserve"> קרוב</w:t>
      </w:r>
      <w:r w:rsidR="008E208C">
        <w:rPr>
          <w:rFonts w:cs="David" w:hint="cs"/>
          <w:sz w:val="28"/>
          <w:szCs w:val="28"/>
          <w:rtl/>
        </w:rPr>
        <w:t>ות</w:t>
      </w:r>
      <w:r w:rsidR="00663C2A" w:rsidRPr="0004711E">
        <w:rPr>
          <w:rFonts w:cs="David" w:hint="cs"/>
          <w:sz w:val="28"/>
          <w:szCs w:val="28"/>
          <w:rtl/>
        </w:rPr>
        <w:t xml:space="preserve"> ל"קביעה שיפוטית" לאור המחלוקת הפוליטית בתוך מועצת הביטחון</w:t>
      </w:r>
      <w:r w:rsidR="00663C2A" w:rsidRPr="0004711E">
        <w:rPr>
          <w:rStyle w:val="a7"/>
          <w:rFonts w:cs="David"/>
          <w:sz w:val="28"/>
          <w:szCs w:val="28"/>
          <w:rtl/>
        </w:rPr>
        <w:footnoteReference w:id="44"/>
      </w:r>
      <w:r w:rsidR="00663C2A" w:rsidRPr="0004711E">
        <w:rPr>
          <w:rFonts w:cs="David" w:hint="cs"/>
          <w:sz w:val="28"/>
          <w:szCs w:val="28"/>
          <w:rtl/>
        </w:rPr>
        <w:t xml:space="preserve">. </w:t>
      </w:r>
      <w:r w:rsidR="00066741" w:rsidRPr="0004711E">
        <w:rPr>
          <w:rFonts w:cs="David" w:hint="cs"/>
          <w:sz w:val="28"/>
          <w:szCs w:val="28"/>
          <w:rtl/>
        </w:rPr>
        <w:t xml:space="preserve">ועדת החקירה לדארפור אומנם לא קבעה שבדארפור התחולל רצח עם, אך קבעה שהתבצעו שם פשעי מלחמה ופשעים נגד האנושות וגרמה להפניה הראשונה בהיסטוריה של אירוע לבחינת התובע של בית הדין הפלילי הבינלאומי </w:t>
      </w:r>
      <w:r w:rsidR="00692192">
        <w:rPr>
          <w:rFonts w:cs="David" w:hint="cs"/>
          <w:sz w:val="28"/>
          <w:szCs w:val="28"/>
          <w:rtl/>
        </w:rPr>
        <w:t>על ידי</w:t>
      </w:r>
      <w:r w:rsidR="00066741" w:rsidRPr="0004711E">
        <w:rPr>
          <w:rFonts w:cs="David" w:hint="cs"/>
          <w:sz w:val="28"/>
          <w:szCs w:val="28"/>
          <w:rtl/>
        </w:rPr>
        <w:t xml:space="preserve"> מועצת הביטחון</w:t>
      </w:r>
      <w:r w:rsidR="00066741" w:rsidRPr="0004711E">
        <w:rPr>
          <w:rStyle w:val="a7"/>
          <w:rFonts w:cs="David"/>
          <w:sz w:val="28"/>
          <w:szCs w:val="28"/>
          <w:rtl/>
        </w:rPr>
        <w:footnoteReference w:id="45"/>
      </w:r>
      <w:r w:rsidR="00066741" w:rsidRPr="0004711E">
        <w:rPr>
          <w:rFonts w:cs="David" w:hint="cs"/>
          <w:sz w:val="28"/>
          <w:szCs w:val="28"/>
          <w:rtl/>
        </w:rPr>
        <w:t xml:space="preserve">. </w:t>
      </w:r>
    </w:p>
    <w:p w:rsidR="006D43D8" w:rsidRPr="0004711E" w:rsidRDefault="006D43D8" w:rsidP="008B316C">
      <w:pPr>
        <w:spacing w:after="0" w:line="360" w:lineRule="auto"/>
        <w:jc w:val="both"/>
        <w:rPr>
          <w:rFonts w:cs="David"/>
          <w:sz w:val="28"/>
          <w:szCs w:val="28"/>
          <w:rtl/>
        </w:rPr>
      </w:pPr>
    </w:p>
    <w:p w:rsidR="00690F52" w:rsidRPr="0004711E" w:rsidRDefault="009F6ED1" w:rsidP="00302D6D">
      <w:pPr>
        <w:spacing w:after="0" w:line="360" w:lineRule="auto"/>
        <w:jc w:val="both"/>
        <w:rPr>
          <w:rFonts w:cs="David"/>
          <w:sz w:val="28"/>
          <w:szCs w:val="28"/>
          <w:rtl/>
        </w:rPr>
      </w:pPr>
      <w:r>
        <w:rPr>
          <w:rFonts w:cs="David" w:hint="cs"/>
          <w:sz w:val="28"/>
          <w:szCs w:val="28"/>
          <w:rtl/>
        </w:rPr>
        <w:t xml:space="preserve">ועדות חקירה </w:t>
      </w:r>
      <w:r w:rsidR="00570D37" w:rsidRPr="0004711E">
        <w:rPr>
          <w:rFonts w:cs="David" w:hint="cs"/>
          <w:sz w:val="28"/>
          <w:szCs w:val="28"/>
          <w:rtl/>
        </w:rPr>
        <w:t xml:space="preserve">יכולות לבחון </w:t>
      </w:r>
      <w:r w:rsidR="00302D6D" w:rsidRPr="0004711E">
        <w:rPr>
          <w:rFonts w:cs="David" w:hint="cs"/>
          <w:sz w:val="28"/>
          <w:szCs w:val="28"/>
          <w:rtl/>
        </w:rPr>
        <w:t xml:space="preserve">גם </w:t>
      </w:r>
      <w:r w:rsidR="00570D37" w:rsidRPr="0004711E">
        <w:rPr>
          <w:rFonts w:cs="David" w:hint="cs"/>
          <w:sz w:val="28"/>
          <w:szCs w:val="28"/>
          <w:rtl/>
        </w:rPr>
        <w:t xml:space="preserve">הפרות של זכויות אדם במסגרת סכסוך פנימי שאינו מגיע </w:t>
      </w:r>
      <w:r w:rsidR="00302D6D">
        <w:rPr>
          <w:rFonts w:cs="David" w:hint="cs"/>
          <w:sz w:val="28"/>
          <w:szCs w:val="28"/>
          <w:rtl/>
        </w:rPr>
        <w:t>ל</w:t>
      </w:r>
      <w:r w:rsidR="00570D37" w:rsidRPr="0004711E">
        <w:rPr>
          <w:rFonts w:cs="David" w:hint="cs"/>
          <w:sz w:val="28"/>
          <w:szCs w:val="28"/>
          <w:rtl/>
        </w:rPr>
        <w:t>כדי עימות מזוין. ועדות כאלה הוקמו</w:t>
      </w:r>
      <w:r w:rsidR="009A6D40" w:rsidRPr="0004711E">
        <w:rPr>
          <w:rFonts w:cs="David" w:hint="cs"/>
          <w:sz w:val="28"/>
          <w:szCs w:val="28"/>
          <w:rtl/>
        </w:rPr>
        <w:t>, לדוגמה,</w:t>
      </w:r>
      <w:r w:rsidR="00570D37" w:rsidRPr="0004711E">
        <w:rPr>
          <w:rFonts w:cs="David" w:hint="cs"/>
          <w:sz w:val="28"/>
          <w:szCs w:val="28"/>
          <w:rtl/>
        </w:rPr>
        <w:t xml:space="preserve"> </w:t>
      </w:r>
      <w:r w:rsidR="00692192">
        <w:rPr>
          <w:rFonts w:cs="David" w:hint="cs"/>
          <w:sz w:val="28"/>
          <w:szCs w:val="28"/>
          <w:rtl/>
        </w:rPr>
        <w:t>על ידי</w:t>
      </w:r>
      <w:r w:rsidR="00570D37" w:rsidRPr="0004711E">
        <w:rPr>
          <w:rFonts w:cs="David" w:hint="cs"/>
          <w:sz w:val="28"/>
          <w:szCs w:val="28"/>
          <w:rtl/>
        </w:rPr>
        <w:t xml:space="preserve"> </w:t>
      </w:r>
      <w:r w:rsidR="002A7E10" w:rsidRPr="0004711E">
        <w:rPr>
          <w:rFonts w:cs="David" w:hint="cs"/>
          <w:sz w:val="28"/>
          <w:szCs w:val="28"/>
          <w:rtl/>
        </w:rPr>
        <w:t xml:space="preserve">נציבות </w:t>
      </w:r>
      <w:r w:rsidR="00570D37" w:rsidRPr="0004711E">
        <w:rPr>
          <w:rFonts w:cs="David" w:hint="cs"/>
          <w:sz w:val="28"/>
          <w:szCs w:val="28"/>
          <w:rtl/>
        </w:rPr>
        <w:t xml:space="preserve">זכויות האדם </w:t>
      </w:r>
      <w:r w:rsidR="00B60A94" w:rsidRPr="0004711E">
        <w:rPr>
          <w:rFonts w:cs="David" w:hint="cs"/>
          <w:sz w:val="28"/>
          <w:szCs w:val="28"/>
          <w:rtl/>
        </w:rPr>
        <w:t>(</w:t>
      </w:r>
      <w:r w:rsidR="00776AFF" w:rsidRPr="0004711E">
        <w:rPr>
          <w:rFonts w:cs="David"/>
          <w:sz w:val="28"/>
          <w:szCs w:val="28"/>
        </w:rPr>
        <w:t xml:space="preserve">Commission on </w:t>
      </w:r>
      <w:r w:rsidR="00B60A94" w:rsidRPr="0004711E">
        <w:rPr>
          <w:rFonts w:cs="David"/>
          <w:sz w:val="28"/>
          <w:szCs w:val="28"/>
        </w:rPr>
        <w:t>Human Rights</w:t>
      </w:r>
      <w:r w:rsidR="00B60A94" w:rsidRPr="0004711E">
        <w:rPr>
          <w:rFonts w:cs="David" w:hint="cs"/>
          <w:sz w:val="28"/>
          <w:szCs w:val="28"/>
          <w:rtl/>
        </w:rPr>
        <w:t>)</w:t>
      </w:r>
      <w:r w:rsidR="00B60A94" w:rsidRPr="0004711E">
        <w:rPr>
          <w:rStyle w:val="a7"/>
          <w:rFonts w:cs="David"/>
          <w:sz w:val="28"/>
          <w:szCs w:val="28"/>
          <w:rtl/>
        </w:rPr>
        <w:footnoteReference w:id="46"/>
      </w:r>
      <w:r w:rsidR="00B60A94" w:rsidRPr="0004711E">
        <w:rPr>
          <w:rFonts w:cs="David" w:hint="cs"/>
          <w:sz w:val="28"/>
          <w:szCs w:val="28"/>
          <w:rtl/>
        </w:rPr>
        <w:t xml:space="preserve"> </w:t>
      </w:r>
      <w:r w:rsidR="00373222" w:rsidRPr="0004711E">
        <w:rPr>
          <w:rFonts w:cs="David" w:hint="cs"/>
          <w:sz w:val="28"/>
          <w:szCs w:val="28"/>
          <w:rtl/>
        </w:rPr>
        <w:t>במזרח טימור</w:t>
      </w:r>
      <w:r w:rsidR="00373222" w:rsidRPr="0004711E">
        <w:rPr>
          <w:rStyle w:val="a7"/>
          <w:rFonts w:cs="David"/>
          <w:sz w:val="28"/>
          <w:szCs w:val="28"/>
          <w:rtl/>
        </w:rPr>
        <w:footnoteReference w:id="47"/>
      </w:r>
      <w:r w:rsidR="00373222" w:rsidRPr="0004711E">
        <w:rPr>
          <w:rFonts w:cs="David" w:hint="cs"/>
          <w:sz w:val="28"/>
          <w:szCs w:val="28"/>
          <w:rtl/>
        </w:rPr>
        <w:t xml:space="preserve">, </w:t>
      </w:r>
      <w:r w:rsidR="00570D37" w:rsidRPr="0004711E">
        <w:rPr>
          <w:rFonts w:cs="David" w:hint="cs"/>
          <w:sz w:val="28"/>
          <w:szCs w:val="28"/>
          <w:rtl/>
        </w:rPr>
        <w:t xml:space="preserve">בליבריה (2003), בטוגו </w:t>
      </w:r>
      <w:r w:rsidR="00570D37" w:rsidRPr="0004711E">
        <w:rPr>
          <w:rFonts w:cs="David" w:hint="cs"/>
          <w:sz w:val="28"/>
          <w:szCs w:val="28"/>
          <w:rtl/>
        </w:rPr>
        <w:lastRenderedPageBreak/>
        <w:t>(2001)</w:t>
      </w:r>
      <w:r w:rsidR="00570D37" w:rsidRPr="0004711E">
        <w:rPr>
          <w:rStyle w:val="a7"/>
          <w:rFonts w:cs="David"/>
          <w:sz w:val="28"/>
          <w:szCs w:val="28"/>
          <w:rtl/>
        </w:rPr>
        <w:footnoteReference w:id="48"/>
      </w:r>
      <w:r w:rsidR="00663C2A" w:rsidRPr="0004711E">
        <w:rPr>
          <w:rFonts w:cs="David" w:hint="cs"/>
          <w:sz w:val="28"/>
          <w:szCs w:val="28"/>
          <w:rtl/>
        </w:rPr>
        <w:t>,</w:t>
      </w:r>
      <w:r w:rsidR="00570D37" w:rsidRPr="0004711E">
        <w:rPr>
          <w:rFonts w:cs="David" w:hint="cs"/>
          <w:sz w:val="28"/>
          <w:szCs w:val="28"/>
          <w:rtl/>
        </w:rPr>
        <w:t xml:space="preserve"> בחוף השנהב (2004) </w:t>
      </w:r>
      <w:r w:rsidR="00663C2A" w:rsidRPr="0004711E">
        <w:rPr>
          <w:rFonts w:cs="David" w:hint="cs"/>
          <w:sz w:val="28"/>
          <w:szCs w:val="28"/>
          <w:rtl/>
        </w:rPr>
        <w:t xml:space="preserve">ושוב בטוגו (2005) </w:t>
      </w:r>
      <w:r w:rsidR="00570D37" w:rsidRPr="0004711E">
        <w:rPr>
          <w:rFonts w:cs="David" w:hint="cs"/>
          <w:sz w:val="28"/>
          <w:szCs w:val="28"/>
          <w:rtl/>
        </w:rPr>
        <w:t>ו</w:t>
      </w:r>
      <w:r w:rsidR="00692192">
        <w:rPr>
          <w:rFonts w:cs="David" w:hint="cs"/>
          <w:sz w:val="28"/>
          <w:szCs w:val="28"/>
          <w:rtl/>
        </w:rPr>
        <w:t>על ידי</w:t>
      </w:r>
      <w:r w:rsidR="00570D37" w:rsidRPr="0004711E">
        <w:rPr>
          <w:rFonts w:cs="David" w:hint="cs"/>
          <w:sz w:val="28"/>
          <w:szCs w:val="28"/>
          <w:rtl/>
        </w:rPr>
        <w:t xml:space="preserve"> מועצת הביטחון במזרח טימור (2006)</w:t>
      </w:r>
      <w:bookmarkStart w:id="9" w:name="_Ref454623380"/>
      <w:r w:rsidR="00570D37" w:rsidRPr="0004711E">
        <w:rPr>
          <w:rStyle w:val="a7"/>
          <w:rFonts w:cs="David"/>
          <w:sz w:val="28"/>
          <w:szCs w:val="28"/>
          <w:rtl/>
        </w:rPr>
        <w:footnoteReference w:id="49"/>
      </w:r>
      <w:bookmarkEnd w:id="9"/>
      <w:r w:rsidR="009A6D40" w:rsidRPr="0004711E">
        <w:rPr>
          <w:rFonts w:cs="David" w:hint="cs"/>
          <w:sz w:val="28"/>
          <w:szCs w:val="28"/>
          <w:rtl/>
        </w:rPr>
        <w:t xml:space="preserve"> וברפובליקה המרכז אפריקאית</w:t>
      </w:r>
      <w:r w:rsidR="009A6D40" w:rsidRPr="0004711E">
        <w:rPr>
          <w:rStyle w:val="a7"/>
          <w:rFonts w:cs="David"/>
          <w:sz w:val="28"/>
          <w:szCs w:val="28"/>
          <w:rtl/>
        </w:rPr>
        <w:footnoteReference w:id="50"/>
      </w:r>
      <w:r w:rsidR="00570D37" w:rsidRPr="0004711E">
        <w:rPr>
          <w:rFonts w:cs="David" w:hint="cs"/>
          <w:sz w:val="28"/>
          <w:szCs w:val="28"/>
          <w:rtl/>
        </w:rPr>
        <w:t>.</w:t>
      </w:r>
      <w:r w:rsidR="00A237F5" w:rsidRPr="0004711E">
        <w:rPr>
          <w:rFonts w:cs="David" w:hint="cs"/>
          <w:sz w:val="28"/>
          <w:szCs w:val="28"/>
          <w:rtl/>
        </w:rPr>
        <w:t xml:space="preserve"> מ</w:t>
      </w:r>
      <w:r w:rsidR="004C71CA" w:rsidRPr="0004711E">
        <w:rPr>
          <w:rFonts w:cs="David" w:hint="cs"/>
          <w:sz w:val="28"/>
          <w:szCs w:val="28"/>
          <w:rtl/>
        </w:rPr>
        <w:t>זכ"ל האו"ם הקים ועדת חקירת לגינ</w:t>
      </w:r>
      <w:r w:rsidR="00A237F5" w:rsidRPr="0004711E">
        <w:rPr>
          <w:rFonts w:cs="David" w:hint="cs"/>
          <w:sz w:val="28"/>
          <w:szCs w:val="28"/>
          <w:rtl/>
        </w:rPr>
        <w:t>אה (2009)</w:t>
      </w:r>
      <w:r w:rsidR="00A237F5" w:rsidRPr="0004711E">
        <w:rPr>
          <w:rStyle w:val="a7"/>
          <w:rFonts w:cs="David"/>
          <w:sz w:val="28"/>
          <w:szCs w:val="28"/>
          <w:rtl/>
        </w:rPr>
        <w:footnoteReference w:id="51"/>
      </w:r>
      <w:r w:rsidR="00A237F5" w:rsidRPr="0004711E">
        <w:rPr>
          <w:rFonts w:cs="David" w:hint="cs"/>
          <w:sz w:val="28"/>
          <w:szCs w:val="28"/>
          <w:rtl/>
        </w:rPr>
        <w:t xml:space="preserve">. מועצת זכויות האדם הקימה </w:t>
      </w:r>
      <w:r>
        <w:rPr>
          <w:rFonts w:cs="David" w:hint="cs"/>
          <w:sz w:val="28"/>
          <w:szCs w:val="28"/>
          <w:rtl/>
        </w:rPr>
        <w:t xml:space="preserve">ועדות חקירה </w:t>
      </w:r>
      <w:r w:rsidR="00A237F5" w:rsidRPr="0004711E">
        <w:rPr>
          <w:rFonts w:cs="David" w:hint="cs"/>
          <w:sz w:val="28"/>
          <w:szCs w:val="28"/>
          <w:rtl/>
        </w:rPr>
        <w:t>ללוב</w:t>
      </w:r>
      <w:bookmarkStart w:id="10" w:name="_Ref454792817"/>
      <w:r w:rsidR="00A237F5" w:rsidRPr="0004711E">
        <w:rPr>
          <w:rStyle w:val="a7"/>
          <w:rFonts w:cs="David"/>
          <w:sz w:val="28"/>
          <w:szCs w:val="28"/>
          <w:rtl/>
        </w:rPr>
        <w:footnoteReference w:id="52"/>
      </w:r>
      <w:bookmarkEnd w:id="10"/>
      <w:r w:rsidR="002F46C8" w:rsidRPr="0004711E">
        <w:rPr>
          <w:rFonts w:cs="David" w:hint="cs"/>
          <w:sz w:val="28"/>
          <w:szCs w:val="28"/>
          <w:rtl/>
        </w:rPr>
        <w:t>, לצפון קוריאה</w:t>
      </w:r>
      <w:bookmarkStart w:id="11" w:name="_Ref454623015"/>
      <w:r w:rsidR="002F46C8" w:rsidRPr="0004711E">
        <w:rPr>
          <w:rStyle w:val="a7"/>
          <w:rFonts w:cs="David"/>
          <w:sz w:val="28"/>
          <w:szCs w:val="28"/>
          <w:rtl/>
        </w:rPr>
        <w:footnoteReference w:id="53"/>
      </w:r>
      <w:bookmarkEnd w:id="11"/>
      <w:r w:rsidR="002F46C8" w:rsidRPr="0004711E">
        <w:rPr>
          <w:rFonts w:cs="David" w:hint="cs"/>
          <w:sz w:val="28"/>
          <w:szCs w:val="28"/>
          <w:rtl/>
        </w:rPr>
        <w:t xml:space="preserve"> </w:t>
      </w:r>
      <w:r w:rsidR="009A6D40" w:rsidRPr="0004711E">
        <w:rPr>
          <w:rFonts w:cs="David" w:hint="cs"/>
          <w:sz w:val="28"/>
          <w:szCs w:val="28"/>
          <w:rtl/>
        </w:rPr>
        <w:t>ו</w:t>
      </w:r>
      <w:r w:rsidR="002F46C8" w:rsidRPr="0004711E">
        <w:rPr>
          <w:rFonts w:cs="David" w:hint="cs"/>
          <w:sz w:val="28"/>
          <w:szCs w:val="28"/>
          <w:rtl/>
        </w:rPr>
        <w:t>לסרי לנקה</w:t>
      </w:r>
      <w:r w:rsidR="002F46C8" w:rsidRPr="0004711E">
        <w:rPr>
          <w:rStyle w:val="a7"/>
          <w:rFonts w:cs="David"/>
          <w:sz w:val="28"/>
          <w:szCs w:val="28"/>
          <w:rtl/>
        </w:rPr>
        <w:footnoteReference w:id="54"/>
      </w:r>
      <w:r w:rsidR="00A237F5" w:rsidRPr="0004711E">
        <w:rPr>
          <w:rFonts w:cs="David" w:hint="cs"/>
          <w:sz w:val="28"/>
          <w:szCs w:val="28"/>
          <w:rtl/>
        </w:rPr>
        <w:t>. הנציב העליון לזכויות אדם של האו"ם</w:t>
      </w:r>
      <w:r w:rsidR="002F46C8" w:rsidRPr="0004711E">
        <w:rPr>
          <w:rStyle w:val="a7"/>
          <w:rFonts w:cs="David"/>
          <w:sz w:val="28"/>
          <w:szCs w:val="28"/>
          <w:rtl/>
        </w:rPr>
        <w:footnoteReference w:id="55"/>
      </w:r>
      <w:r w:rsidR="00A237F5" w:rsidRPr="0004711E">
        <w:rPr>
          <w:rFonts w:cs="David" w:hint="cs"/>
          <w:sz w:val="28"/>
          <w:szCs w:val="28"/>
          <w:rtl/>
        </w:rPr>
        <w:t xml:space="preserve"> ולאחריו מועצת זכויות האדם</w:t>
      </w:r>
      <w:bookmarkStart w:id="12" w:name="_Ref454623113"/>
      <w:r w:rsidR="002F46C8" w:rsidRPr="0004711E">
        <w:rPr>
          <w:rStyle w:val="a7"/>
          <w:rFonts w:cs="David"/>
          <w:sz w:val="28"/>
          <w:szCs w:val="28"/>
          <w:rtl/>
        </w:rPr>
        <w:footnoteReference w:id="56"/>
      </w:r>
      <w:bookmarkEnd w:id="12"/>
      <w:r w:rsidR="00A237F5" w:rsidRPr="0004711E">
        <w:rPr>
          <w:rFonts w:cs="David" w:hint="cs"/>
          <w:sz w:val="28"/>
          <w:szCs w:val="28"/>
          <w:rtl/>
        </w:rPr>
        <w:t xml:space="preserve"> הקימו </w:t>
      </w:r>
      <w:r>
        <w:rPr>
          <w:rFonts w:cs="David" w:hint="cs"/>
          <w:sz w:val="28"/>
          <w:szCs w:val="28"/>
          <w:rtl/>
        </w:rPr>
        <w:t xml:space="preserve">ועדות חקירה </w:t>
      </w:r>
      <w:r w:rsidR="00A237F5" w:rsidRPr="0004711E">
        <w:rPr>
          <w:rFonts w:cs="David" w:hint="cs"/>
          <w:sz w:val="28"/>
          <w:szCs w:val="28"/>
          <w:rtl/>
        </w:rPr>
        <w:t>לסוריה.</w:t>
      </w:r>
      <w:r w:rsidR="009A6D40" w:rsidRPr="0004711E">
        <w:rPr>
          <w:rFonts w:cs="David" w:hint="cs"/>
          <w:sz w:val="28"/>
          <w:szCs w:val="28"/>
          <w:rtl/>
        </w:rPr>
        <w:t xml:space="preserve"> וישנן דוגמאות </w:t>
      </w:r>
      <w:r w:rsidR="00391A2C" w:rsidRPr="0004711E">
        <w:rPr>
          <w:rFonts w:cs="David" w:hint="cs"/>
          <w:sz w:val="28"/>
          <w:szCs w:val="28"/>
          <w:rtl/>
        </w:rPr>
        <w:t xml:space="preserve">לוועדות רבות </w:t>
      </w:r>
      <w:r w:rsidR="009A6D40" w:rsidRPr="0004711E">
        <w:rPr>
          <w:rFonts w:cs="David" w:hint="cs"/>
          <w:sz w:val="28"/>
          <w:szCs w:val="28"/>
          <w:rtl/>
        </w:rPr>
        <w:t>נוספות</w:t>
      </w:r>
      <w:r w:rsidR="00391A2C" w:rsidRPr="0004711E">
        <w:rPr>
          <w:rFonts w:cs="David" w:hint="cs"/>
          <w:sz w:val="28"/>
          <w:szCs w:val="28"/>
          <w:rtl/>
        </w:rPr>
        <w:t xml:space="preserve">, שמונו </w:t>
      </w:r>
      <w:r w:rsidR="00692192">
        <w:rPr>
          <w:rFonts w:cs="David" w:hint="cs"/>
          <w:sz w:val="28"/>
          <w:szCs w:val="28"/>
          <w:rtl/>
        </w:rPr>
        <w:t>על ידי</w:t>
      </w:r>
      <w:r w:rsidR="00391A2C" w:rsidRPr="0004711E">
        <w:rPr>
          <w:rFonts w:cs="David" w:hint="cs"/>
          <w:sz w:val="28"/>
          <w:szCs w:val="28"/>
          <w:rtl/>
        </w:rPr>
        <w:t xml:space="preserve"> </w:t>
      </w:r>
      <w:r w:rsidR="002A7E10" w:rsidRPr="0004711E">
        <w:rPr>
          <w:rFonts w:cs="David" w:hint="cs"/>
          <w:sz w:val="28"/>
          <w:szCs w:val="28"/>
          <w:rtl/>
        </w:rPr>
        <w:t xml:space="preserve">נציבות </w:t>
      </w:r>
      <w:r w:rsidR="00391A2C" w:rsidRPr="0004711E">
        <w:rPr>
          <w:rFonts w:cs="David" w:hint="cs"/>
          <w:sz w:val="28"/>
          <w:szCs w:val="28"/>
          <w:rtl/>
        </w:rPr>
        <w:t xml:space="preserve">זכויות האדם ומועצת זכויות האדם (עד היום מונו 50 ועדות </w:t>
      </w:r>
      <w:r w:rsidR="00692192">
        <w:rPr>
          <w:rFonts w:cs="David" w:hint="cs"/>
          <w:sz w:val="28"/>
          <w:szCs w:val="28"/>
          <w:rtl/>
        </w:rPr>
        <w:t>על ידי</w:t>
      </w:r>
      <w:r w:rsidR="00391A2C" w:rsidRPr="0004711E">
        <w:rPr>
          <w:rFonts w:cs="David" w:hint="cs"/>
          <w:sz w:val="28"/>
          <w:szCs w:val="28"/>
          <w:rtl/>
        </w:rPr>
        <w:t xml:space="preserve"> הגופים האלה)</w:t>
      </w:r>
      <w:r w:rsidR="009A6D40" w:rsidRPr="0004711E">
        <w:rPr>
          <w:rFonts w:cs="David" w:hint="cs"/>
          <w:sz w:val="28"/>
          <w:szCs w:val="28"/>
          <w:rtl/>
        </w:rPr>
        <w:t>.</w:t>
      </w:r>
    </w:p>
    <w:p w:rsidR="00570D37" w:rsidRPr="0004711E" w:rsidRDefault="00570D37" w:rsidP="008B316C">
      <w:pPr>
        <w:spacing w:after="0" w:line="360" w:lineRule="auto"/>
        <w:jc w:val="both"/>
        <w:rPr>
          <w:rFonts w:cs="David"/>
          <w:sz w:val="28"/>
          <w:szCs w:val="28"/>
          <w:rtl/>
        </w:rPr>
      </w:pPr>
    </w:p>
    <w:p w:rsidR="00570D37" w:rsidRPr="0004711E" w:rsidRDefault="00570D37" w:rsidP="00302D6D">
      <w:pPr>
        <w:spacing w:after="0" w:line="360" w:lineRule="auto"/>
        <w:jc w:val="both"/>
        <w:rPr>
          <w:rFonts w:cs="David"/>
          <w:sz w:val="28"/>
          <w:szCs w:val="28"/>
          <w:rtl/>
        </w:rPr>
      </w:pPr>
      <w:r w:rsidRPr="0004711E">
        <w:rPr>
          <w:rFonts w:cs="David" w:hint="cs"/>
          <w:sz w:val="28"/>
          <w:szCs w:val="28"/>
          <w:rtl/>
        </w:rPr>
        <w:t>לפי אותה חוות דעת</w:t>
      </w:r>
      <w:r w:rsidR="00526B13">
        <w:rPr>
          <w:rFonts w:cs="David" w:hint="cs"/>
          <w:sz w:val="28"/>
          <w:szCs w:val="28"/>
          <w:rtl/>
        </w:rPr>
        <w:t xml:space="preserve"> </w:t>
      </w:r>
      <w:r w:rsidR="00526B13" w:rsidRPr="0004711E">
        <w:rPr>
          <w:rFonts w:cs="David" w:hint="cs"/>
          <w:sz w:val="28"/>
          <w:szCs w:val="28"/>
          <w:rtl/>
        </w:rPr>
        <w:t>של המחלקה המשפטית של האו"ם</w:t>
      </w:r>
      <w:r w:rsidR="00526B13">
        <w:rPr>
          <w:rStyle w:val="a7"/>
          <w:rFonts w:cs="David"/>
          <w:sz w:val="28"/>
          <w:szCs w:val="28"/>
          <w:rtl/>
        </w:rPr>
        <w:footnoteReference w:id="57"/>
      </w:r>
      <w:r w:rsidRPr="0004711E">
        <w:rPr>
          <w:rFonts w:cs="David" w:hint="cs"/>
          <w:sz w:val="28"/>
          <w:szCs w:val="28"/>
          <w:rtl/>
        </w:rPr>
        <w:t xml:space="preserve">, </w:t>
      </w:r>
      <w:r w:rsidR="00302D6D" w:rsidRPr="0004711E">
        <w:rPr>
          <w:rFonts w:cs="David" w:hint="cs"/>
          <w:sz w:val="28"/>
          <w:szCs w:val="28"/>
          <w:rtl/>
        </w:rPr>
        <w:t xml:space="preserve">משלחות לבירור </w:t>
      </w:r>
      <w:r w:rsidR="00302D6D">
        <w:rPr>
          <w:rFonts w:cs="David" w:hint="cs"/>
          <w:sz w:val="28"/>
          <w:szCs w:val="28"/>
          <w:rtl/>
        </w:rPr>
        <w:t>עובדות</w:t>
      </w:r>
      <w:r w:rsidR="00302D6D" w:rsidRPr="0004711E">
        <w:rPr>
          <w:rFonts w:cs="David" w:hint="cs"/>
          <w:sz w:val="28"/>
          <w:szCs w:val="28"/>
          <w:rtl/>
        </w:rPr>
        <w:t xml:space="preserve"> </w:t>
      </w:r>
      <w:r w:rsidRPr="0004711E">
        <w:rPr>
          <w:rFonts w:cs="David" w:hint="cs"/>
          <w:sz w:val="28"/>
          <w:szCs w:val="28"/>
          <w:rtl/>
        </w:rPr>
        <w:t>הן כלי לאיסוף מידע על מנת לסייע לאו"ם למלא את תפקידו בשמירת השלום והביטחון הלאומי. כן יכול מזכ"ל האו"ם, במסגרת המנדט הנובע מהמוניטין ומהמעמד שמקנה לו הקהילה הבינלאומית (</w:t>
      </w:r>
      <w:r w:rsidRPr="0004711E">
        <w:rPr>
          <w:rFonts w:cs="David"/>
          <w:sz w:val="28"/>
          <w:szCs w:val="28"/>
        </w:rPr>
        <w:t>good offices</w:t>
      </w:r>
      <w:r w:rsidRPr="0004711E">
        <w:rPr>
          <w:rFonts w:cs="David" w:hint="cs"/>
          <w:sz w:val="28"/>
          <w:szCs w:val="28"/>
          <w:rtl/>
        </w:rPr>
        <w:t>) למנות משלחות ל</w:t>
      </w:r>
      <w:r w:rsidR="00337147" w:rsidRPr="0004711E">
        <w:rPr>
          <w:rFonts w:cs="David" w:hint="cs"/>
          <w:sz w:val="28"/>
          <w:szCs w:val="28"/>
          <w:rtl/>
        </w:rPr>
        <w:t xml:space="preserve">בירור </w:t>
      </w:r>
      <w:r w:rsidRPr="0004711E">
        <w:rPr>
          <w:rFonts w:cs="David" w:hint="cs"/>
          <w:sz w:val="28"/>
          <w:szCs w:val="28"/>
          <w:rtl/>
        </w:rPr>
        <w:t>עובדות ככלי ליישוב סכסוכים.</w:t>
      </w:r>
      <w:r w:rsidR="00197A45" w:rsidRPr="0004711E">
        <w:rPr>
          <w:rFonts w:cs="David" w:hint="cs"/>
          <w:sz w:val="28"/>
          <w:szCs w:val="28"/>
          <w:rtl/>
        </w:rPr>
        <w:t xml:space="preserve"> </w:t>
      </w:r>
      <w:r w:rsidR="00B31BC3">
        <w:rPr>
          <w:rFonts w:cs="David" w:hint="cs"/>
          <w:sz w:val="28"/>
          <w:szCs w:val="28"/>
          <w:rtl/>
        </w:rPr>
        <w:t>על פי</w:t>
      </w:r>
      <w:r w:rsidR="00904EAA" w:rsidRPr="0004711E">
        <w:rPr>
          <w:rFonts w:cs="David" w:hint="cs"/>
          <w:sz w:val="28"/>
          <w:szCs w:val="28"/>
          <w:rtl/>
        </w:rPr>
        <w:t xml:space="preserve"> הפרקטיקה, סמכות זו נובעת מסעיף 98 למגילת האו"ם, שלפיו ימלא המזכ"ל גם סמכויות שמועברות אליו מגופים אחרים של האו"ם (שכוללות פונקציות של יישוב סכסוכים), ומסעיף 99, שמאפשר למזכ"ל להביא לידיעת מועצת הביטחון עניינים שלדעתו עלולים לסכן את השלום והביטחון </w:t>
      </w:r>
      <w:r w:rsidR="00904EAA" w:rsidRPr="0004711E">
        <w:rPr>
          <w:rFonts w:cs="David" w:hint="cs"/>
          <w:sz w:val="28"/>
          <w:szCs w:val="28"/>
          <w:rtl/>
        </w:rPr>
        <w:lastRenderedPageBreak/>
        <w:t>הבינלאומיים</w:t>
      </w:r>
      <w:r w:rsidR="00904EAA" w:rsidRPr="0004711E">
        <w:rPr>
          <w:rStyle w:val="a7"/>
          <w:rFonts w:cs="David"/>
          <w:sz w:val="28"/>
          <w:szCs w:val="28"/>
          <w:rtl/>
        </w:rPr>
        <w:footnoteReference w:id="58"/>
      </w:r>
      <w:r w:rsidR="00904EAA" w:rsidRPr="0004711E">
        <w:rPr>
          <w:rFonts w:cs="David" w:hint="cs"/>
          <w:sz w:val="28"/>
          <w:szCs w:val="28"/>
          <w:rtl/>
        </w:rPr>
        <w:t xml:space="preserve">. </w:t>
      </w:r>
      <w:r w:rsidR="00390EE7" w:rsidRPr="0004711E">
        <w:rPr>
          <w:rFonts w:cs="David" w:hint="cs"/>
          <w:sz w:val="28"/>
          <w:szCs w:val="28"/>
          <w:rtl/>
        </w:rPr>
        <w:t xml:space="preserve">ד"ר דפנה שרגא, שעבדה במשך 22 שנים במחלקה המשפטית של האו"ם ושרואיינה במסגרת עבודה זו, </w:t>
      </w:r>
      <w:r w:rsidR="00390EE7">
        <w:rPr>
          <w:rFonts w:cs="David" w:hint="cs"/>
          <w:sz w:val="28"/>
          <w:szCs w:val="28"/>
          <w:rtl/>
        </w:rPr>
        <w:t xml:space="preserve">ציינה בראיון כי </w:t>
      </w:r>
      <w:r w:rsidR="001C4346" w:rsidRPr="0004711E">
        <w:rPr>
          <w:rFonts w:cs="David" w:hint="cs"/>
          <w:sz w:val="28"/>
          <w:szCs w:val="28"/>
          <w:rtl/>
        </w:rPr>
        <w:t xml:space="preserve">לפי הפרקטיקה, </w:t>
      </w:r>
      <w:r w:rsidR="00302D6D" w:rsidRPr="0004711E">
        <w:rPr>
          <w:rFonts w:cs="David" w:hint="cs"/>
          <w:sz w:val="28"/>
          <w:szCs w:val="28"/>
          <w:rtl/>
        </w:rPr>
        <w:t xml:space="preserve">ממנה </w:t>
      </w:r>
      <w:r w:rsidR="001C4346" w:rsidRPr="0004711E">
        <w:rPr>
          <w:rFonts w:cs="David" w:hint="cs"/>
          <w:sz w:val="28"/>
          <w:szCs w:val="28"/>
          <w:rtl/>
        </w:rPr>
        <w:t xml:space="preserve">המזכ"ל ועדות כאלה בהסכמת הצדדים. </w:t>
      </w:r>
      <w:r w:rsidR="007676EC" w:rsidRPr="0004711E">
        <w:rPr>
          <w:rFonts w:cs="David" w:hint="cs"/>
          <w:sz w:val="28"/>
          <w:szCs w:val="28"/>
          <w:rtl/>
        </w:rPr>
        <w:t xml:space="preserve">לפי חוות הדעת, </w:t>
      </w:r>
      <w:r w:rsidR="00197A45" w:rsidRPr="0004711E">
        <w:rPr>
          <w:rFonts w:cs="David" w:hint="cs"/>
          <w:sz w:val="28"/>
          <w:szCs w:val="28"/>
          <w:rtl/>
        </w:rPr>
        <w:t>בעוד שו</w:t>
      </w:r>
      <w:r w:rsidR="009F6ED1">
        <w:rPr>
          <w:rFonts w:cs="David" w:hint="cs"/>
          <w:sz w:val="28"/>
          <w:szCs w:val="28"/>
          <w:rtl/>
        </w:rPr>
        <w:t xml:space="preserve">ועדות חקירה </w:t>
      </w:r>
      <w:r w:rsidR="00197A45" w:rsidRPr="0004711E">
        <w:rPr>
          <w:rFonts w:cs="David" w:hint="cs"/>
          <w:sz w:val="28"/>
          <w:szCs w:val="28"/>
          <w:rtl/>
        </w:rPr>
        <w:t>קובעות קביעות עובדתיות ומשפטיות כאחד, משלחות ל</w:t>
      </w:r>
      <w:r w:rsidR="00337147" w:rsidRPr="0004711E">
        <w:rPr>
          <w:rFonts w:cs="David" w:hint="cs"/>
          <w:sz w:val="28"/>
          <w:szCs w:val="28"/>
          <w:rtl/>
        </w:rPr>
        <w:t xml:space="preserve">בירור </w:t>
      </w:r>
      <w:r w:rsidR="00197A45" w:rsidRPr="0004711E">
        <w:rPr>
          <w:rFonts w:cs="David" w:hint="cs"/>
          <w:sz w:val="28"/>
          <w:szCs w:val="28"/>
          <w:rtl/>
        </w:rPr>
        <w:t>עובדות מוגבלו</w:t>
      </w:r>
      <w:r w:rsidR="00CB7E78">
        <w:rPr>
          <w:rFonts w:cs="David" w:hint="cs"/>
          <w:sz w:val="28"/>
          <w:szCs w:val="28"/>
          <w:rtl/>
        </w:rPr>
        <w:t xml:space="preserve">ת לקביעת העובדות בלבד (לדוגמה, </w:t>
      </w:r>
      <w:r w:rsidR="00197A45" w:rsidRPr="0004711E">
        <w:rPr>
          <w:rFonts w:cs="David" w:hint="cs"/>
          <w:sz w:val="28"/>
          <w:szCs w:val="28"/>
          <w:rtl/>
        </w:rPr>
        <w:t xml:space="preserve">פאנל </w:t>
      </w:r>
      <w:r w:rsidR="00CB7E78">
        <w:rPr>
          <w:rFonts w:cs="David" w:hint="cs"/>
          <w:sz w:val="28"/>
          <w:szCs w:val="28"/>
          <w:rtl/>
        </w:rPr>
        <w:t xml:space="preserve">החקירה </w:t>
      </w:r>
      <w:r w:rsidR="00197A45" w:rsidRPr="0004711E">
        <w:rPr>
          <w:rFonts w:cs="David" w:hint="cs"/>
          <w:sz w:val="28"/>
          <w:szCs w:val="28"/>
          <w:rtl/>
        </w:rPr>
        <w:t>על אלג'יריה מ-1998).</w:t>
      </w:r>
    </w:p>
    <w:p w:rsidR="007D338D" w:rsidRPr="0004711E" w:rsidRDefault="007D338D" w:rsidP="008B316C">
      <w:pPr>
        <w:spacing w:after="0" w:line="360" w:lineRule="auto"/>
        <w:jc w:val="both"/>
        <w:rPr>
          <w:rFonts w:cs="David"/>
          <w:sz w:val="28"/>
          <w:szCs w:val="28"/>
          <w:rtl/>
        </w:rPr>
      </w:pPr>
    </w:p>
    <w:p w:rsidR="007D338D" w:rsidRPr="0004711E" w:rsidRDefault="007D338D" w:rsidP="00302D6D">
      <w:pPr>
        <w:spacing w:after="0" w:line="360" w:lineRule="auto"/>
        <w:jc w:val="both"/>
        <w:rPr>
          <w:rFonts w:cs="David"/>
          <w:sz w:val="28"/>
          <w:szCs w:val="28"/>
          <w:rtl/>
        </w:rPr>
      </w:pPr>
      <w:r w:rsidRPr="0004711E">
        <w:rPr>
          <w:rFonts w:cs="David" w:hint="cs"/>
          <w:sz w:val="28"/>
          <w:szCs w:val="28"/>
          <w:rtl/>
        </w:rPr>
        <w:t>למרות ההבחנה הברורה שעושה חוות הדעת בין ועדת חקירה ומשלחת ל</w:t>
      </w:r>
      <w:r w:rsidR="00337147" w:rsidRPr="0004711E">
        <w:rPr>
          <w:rFonts w:cs="David" w:hint="cs"/>
          <w:sz w:val="28"/>
          <w:szCs w:val="28"/>
          <w:rtl/>
        </w:rPr>
        <w:t xml:space="preserve">בירור </w:t>
      </w:r>
      <w:r w:rsidRPr="0004711E">
        <w:rPr>
          <w:rFonts w:cs="David" w:hint="cs"/>
          <w:sz w:val="28"/>
          <w:szCs w:val="28"/>
          <w:rtl/>
        </w:rPr>
        <w:t xml:space="preserve">עובדות, </w:t>
      </w:r>
      <w:r w:rsidR="00B50C86" w:rsidRPr="0004711E">
        <w:rPr>
          <w:rFonts w:cs="David" w:hint="cs"/>
          <w:sz w:val="28"/>
          <w:szCs w:val="28"/>
          <w:rtl/>
        </w:rPr>
        <w:t>שעולה לכאורה בקנה אחד גם עם תוכן ה</w:t>
      </w:r>
      <w:r w:rsidR="00CB7E78">
        <w:rPr>
          <w:rFonts w:cs="David" w:hint="cs"/>
          <w:sz w:val="28"/>
          <w:szCs w:val="28"/>
          <w:rtl/>
        </w:rPr>
        <w:t>צהר</w:t>
      </w:r>
      <w:r w:rsidR="00B50C86" w:rsidRPr="0004711E">
        <w:rPr>
          <w:rFonts w:cs="David" w:hint="cs"/>
          <w:sz w:val="28"/>
          <w:szCs w:val="28"/>
          <w:rtl/>
        </w:rPr>
        <w:t xml:space="preserve">ת העצרת הכללית </w:t>
      </w:r>
      <w:r w:rsidR="00CB7E78" w:rsidRPr="0004711E">
        <w:rPr>
          <w:rFonts w:cs="David" w:hint="cs"/>
          <w:sz w:val="28"/>
          <w:szCs w:val="28"/>
          <w:rtl/>
        </w:rPr>
        <w:t>על בירור עובדות</w:t>
      </w:r>
      <w:r w:rsidR="00B50C86" w:rsidRPr="0004711E">
        <w:rPr>
          <w:rFonts w:cs="David" w:hint="cs"/>
          <w:sz w:val="28"/>
          <w:szCs w:val="28"/>
          <w:rtl/>
        </w:rPr>
        <w:t xml:space="preserve">, </w:t>
      </w:r>
      <w:r w:rsidRPr="0004711E">
        <w:rPr>
          <w:rFonts w:cs="David" w:hint="cs"/>
          <w:sz w:val="28"/>
          <w:szCs w:val="28"/>
          <w:rtl/>
        </w:rPr>
        <w:t>נראה שבפועל אין הבדל מעשי כזה, ויש שימוש מקביל במנגנוני בדיקה משני הסוגים</w:t>
      </w:r>
      <w:r w:rsidR="00E92A4C" w:rsidRPr="0004711E">
        <w:rPr>
          <w:rStyle w:val="a7"/>
          <w:rFonts w:cs="David"/>
          <w:sz w:val="28"/>
          <w:szCs w:val="28"/>
          <w:rtl/>
        </w:rPr>
        <w:footnoteReference w:id="59"/>
      </w:r>
      <w:r w:rsidRPr="0004711E">
        <w:rPr>
          <w:rFonts w:cs="David" w:hint="cs"/>
          <w:sz w:val="28"/>
          <w:szCs w:val="28"/>
          <w:rtl/>
        </w:rPr>
        <w:t>. כך, לדוגמה, פעלה ועדת גולדסטון כמשלחת ל</w:t>
      </w:r>
      <w:r w:rsidR="00337147" w:rsidRPr="0004711E">
        <w:rPr>
          <w:rFonts w:cs="David" w:hint="cs"/>
          <w:sz w:val="28"/>
          <w:szCs w:val="28"/>
          <w:rtl/>
        </w:rPr>
        <w:t xml:space="preserve">בירור </w:t>
      </w:r>
      <w:r w:rsidRPr="0004711E">
        <w:rPr>
          <w:rFonts w:cs="David" w:hint="cs"/>
          <w:sz w:val="28"/>
          <w:szCs w:val="28"/>
          <w:rtl/>
        </w:rPr>
        <w:t xml:space="preserve">עובדות אך קבעה קביעות משפטיות. </w:t>
      </w:r>
    </w:p>
    <w:p w:rsidR="007D338D" w:rsidRPr="0004711E" w:rsidRDefault="007D338D" w:rsidP="008B316C">
      <w:pPr>
        <w:spacing w:after="0" w:line="360" w:lineRule="auto"/>
        <w:jc w:val="both"/>
        <w:rPr>
          <w:rFonts w:cs="David"/>
          <w:sz w:val="28"/>
          <w:szCs w:val="28"/>
          <w:rtl/>
        </w:rPr>
      </w:pPr>
    </w:p>
    <w:p w:rsidR="00483634" w:rsidRPr="0004711E" w:rsidRDefault="00197A45" w:rsidP="00526B13">
      <w:pPr>
        <w:spacing w:after="0" w:line="360" w:lineRule="auto"/>
        <w:jc w:val="both"/>
        <w:rPr>
          <w:rFonts w:cs="David"/>
          <w:sz w:val="28"/>
          <w:szCs w:val="28"/>
          <w:rtl/>
        </w:rPr>
      </w:pPr>
      <w:r w:rsidRPr="0004711E">
        <w:rPr>
          <w:rFonts w:cs="David" w:hint="cs"/>
          <w:sz w:val="28"/>
          <w:szCs w:val="28"/>
          <w:rtl/>
        </w:rPr>
        <w:t>סוג שלישי של ועדה שנזכר בחוות הדעת, הוא ועדה שנועדה לחקור פשע</w:t>
      </w:r>
      <w:r w:rsidR="00CB7E78">
        <w:rPr>
          <w:rFonts w:cs="David" w:hint="cs"/>
          <w:sz w:val="28"/>
          <w:szCs w:val="28"/>
          <w:rtl/>
        </w:rPr>
        <w:t xml:space="preserve"> ספציפי</w:t>
      </w:r>
      <w:r w:rsidRPr="0004711E">
        <w:rPr>
          <w:rFonts w:cs="David" w:hint="cs"/>
          <w:sz w:val="28"/>
          <w:szCs w:val="28"/>
          <w:rtl/>
        </w:rPr>
        <w:t xml:space="preserve">. ועדה כזו </w:t>
      </w:r>
      <w:r w:rsidR="001451B7" w:rsidRPr="0004711E">
        <w:rPr>
          <w:rFonts w:cs="David" w:hint="cs"/>
          <w:sz w:val="28"/>
          <w:szCs w:val="28"/>
          <w:rtl/>
        </w:rPr>
        <w:t xml:space="preserve">מונתה </w:t>
      </w:r>
      <w:r w:rsidRPr="0004711E">
        <w:rPr>
          <w:rFonts w:cs="David" w:hint="cs"/>
          <w:sz w:val="28"/>
          <w:szCs w:val="28"/>
          <w:rtl/>
        </w:rPr>
        <w:t xml:space="preserve">לחקר רצח </w:t>
      </w:r>
      <w:r w:rsidR="001451B7" w:rsidRPr="0004711E">
        <w:rPr>
          <w:rFonts w:cs="David" w:hint="cs"/>
          <w:sz w:val="28"/>
          <w:szCs w:val="28"/>
          <w:rtl/>
        </w:rPr>
        <w:t>ראש הממשלה רפיק</w:t>
      </w:r>
      <w:r w:rsidRPr="0004711E">
        <w:rPr>
          <w:rFonts w:cs="David" w:hint="cs"/>
          <w:sz w:val="28"/>
          <w:szCs w:val="28"/>
          <w:rtl/>
        </w:rPr>
        <w:t xml:space="preserve"> חרירי בלבנון - </w:t>
      </w:r>
      <w:r w:rsidRPr="0004711E">
        <w:rPr>
          <w:rFonts w:cs="David"/>
          <w:sz w:val="28"/>
          <w:szCs w:val="28"/>
        </w:rPr>
        <w:t>International Independent Investigation Commission (IIIC)</w:t>
      </w:r>
      <w:r w:rsidRPr="0004711E">
        <w:rPr>
          <w:rFonts w:cs="David" w:hint="cs"/>
          <w:sz w:val="28"/>
          <w:szCs w:val="28"/>
          <w:rtl/>
        </w:rPr>
        <w:t xml:space="preserve">. ועדה זו התייחדה בכך שלראשונה בהיסטוריה, </w:t>
      </w:r>
      <w:r w:rsidR="00302D6D">
        <w:rPr>
          <w:rFonts w:cs="David" w:hint="cs"/>
          <w:sz w:val="28"/>
          <w:szCs w:val="28"/>
          <w:rtl/>
        </w:rPr>
        <w:t xml:space="preserve">חקרה </w:t>
      </w:r>
      <w:r w:rsidRPr="0004711E">
        <w:rPr>
          <w:rFonts w:cs="David" w:hint="cs"/>
          <w:sz w:val="28"/>
          <w:szCs w:val="28"/>
          <w:rtl/>
        </w:rPr>
        <w:t xml:space="preserve">ועדה של האו"ם פשע לפי הדין המקומי </w:t>
      </w:r>
      <w:r w:rsidRPr="0004711E">
        <w:rPr>
          <w:rFonts w:cs="David"/>
          <w:sz w:val="28"/>
          <w:szCs w:val="28"/>
          <w:rtl/>
        </w:rPr>
        <w:t>–</w:t>
      </w:r>
      <w:r w:rsidRPr="0004711E">
        <w:rPr>
          <w:rFonts w:cs="David" w:hint="cs"/>
          <w:sz w:val="28"/>
          <w:szCs w:val="28"/>
          <w:rtl/>
        </w:rPr>
        <w:t xml:space="preserve"> הלבנוני. </w:t>
      </w:r>
      <w:r w:rsidR="00FE3B79" w:rsidRPr="0004711E">
        <w:rPr>
          <w:rFonts w:cs="David" w:hint="cs"/>
          <w:sz w:val="28"/>
          <w:szCs w:val="28"/>
          <w:rtl/>
        </w:rPr>
        <w:t>הוועדה אף הובילה להקמתו של בית הדין המיוחד ללבנון (</w:t>
      </w:r>
      <w:r w:rsidR="00FE3B79" w:rsidRPr="0004711E">
        <w:rPr>
          <w:rFonts w:cs="David"/>
          <w:sz w:val="28"/>
          <w:szCs w:val="28"/>
        </w:rPr>
        <w:t>Special Tribunal for Lebanon – STL</w:t>
      </w:r>
      <w:r w:rsidR="00FE3B79" w:rsidRPr="0004711E">
        <w:rPr>
          <w:rFonts w:cs="David" w:hint="cs"/>
          <w:sz w:val="28"/>
          <w:szCs w:val="28"/>
          <w:rtl/>
        </w:rPr>
        <w:t>) בהחלטה של מועצת הביטחון</w:t>
      </w:r>
      <w:r w:rsidR="00FE3B79" w:rsidRPr="0004711E">
        <w:rPr>
          <w:rStyle w:val="a7"/>
          <w:rFonts w:cs="David"/>
          <w:sz w:val="28"/>
          <w:szCs w:val="28"/>
          <w:rtl/>
        </w:rPr>
        <w:footnoteReference w:id="60"/>
      </w:r>
      <w:r w:rsidR="00FE3B79" w:rsidRPr="0004711E">
        <w:rPr>
          <w:rFonts w:cs="David" w:hint="cs"/>
          <w:sz w:val="28"/>
          <w:szCs w:val="28"/>
          <w:rtl/>
        </w:rPr>
        <w:t xml:space="preserve">, </w:t>
      </w:r>
      <w:r w:rsidR="00B31BC3">
        <w:rPr>
          <w:rFonts w:cs="David" w:hint="cs"/>
          <w:sz w:val="28"/>
          <w:szCs w:val="28"/>
          <w:rtl/>
        </w:rPr>
        <w:t>על פי</w:t>
      </w:r>
      <w:r w:rsidR="00FE3B79" w:rsidRPr="0004711E">
        <w:rPr>
          <w:rFonts w:cs="David" w:hint="cs"/>
          <w:sz w:val="28"/>
          <w:szCs w:val="28"/>
          <w:rtl/>
        </w:rPr>
        <w:t xml:space="preserve"> בקשת ממשלת לבנון. </w:t>
      </w:r>
    </w:p>
    <w:p w:rsidR="00C22960" w:rsidRPr="0004711E" w:rsidRDefault="00C22960" w:rsidP="008B316C">
      <w:pPr>
        <w:spacing w:after="0" w:line="360" w:lineRule="auto"/>
        <w:jc w:val="both"/>
        <w:rPr>
          <w:rFonts w:cs="David"/>
          <w:sz w:val="28"/>
          <w:szCs w:val="28"/>
          <w:rtl/>
        </w:rPr>
      </w:pPr>
    </w:p>
    <w:p w:rsidR="00197A45" w:rsidRPr="0004711E" w:rsidRDefault="00663C2A" w:rsidP="00356074">
      <w:pPr>
        <w:spacing w:after="0" w:line="360" w:lineRule="auto"/>
        <w:jc w:val="both"/>
        <w:rPr>
          <w:rFonts w:cs="David"/>
          <w:sz w:val="28"/>
          <w:szCs w:val="28"/>
          <w:rtl/>
        </w:rPr>
      </w:pPr>
      <w:r w:rsidRPr="0004711E">
        <w:rPr>
          <w:rFonts w:cs="David" w:hint="cs"/>
          <w:sz w:val="28"/>
          <w:szCs w:val="28"/>
          <w:rtl/>
        </w:rPr>
        <w:t xml:space="preserve">ועדות נוספות לחקר פשעים במדינות היו הוועדה לחקר מותו של ראש ממשלת קונגו, </w:t>
      </w:r>
      <w:r w:rsidRPr="0004711E">
        <w:rPr>
          <w:rFonts w:cs="David"/>
          <w:sz w:val="28"/>
          <w:szCs w:val="28"/>
        </w:rPr>
        <w:t>Lumumba</w:t>
      </w:r>
      <w:r w:rsidRPr="0004711E">
        <w:rPr>
          <w:rFonts w:cs="David" w:hint="cs"/>
          <w:sz w:val="28"/>
          <w:szCs w:val="28"/>
          <w:rtl/>
        </w:rPr>
        <w:t xml:space="preserve">, ב-1961 והוועדה לחקר הרצח של הנשיא </w:t>
      </w:r>
      <w:r w:rsidRPr="0004711E">
        <w:rPr>
          <w:rFonts w:cs="David"/>
          <w:sz w:val="28"/>
          <w:szCs w:val="28"/>
        </w:rPr>
        <w:t>Ndadaye</w:t>
      </w:r>
      <w:r w:rsidRPr="0004711E">
        <w:rPr>
          <w:rFonts w:cs="David" w:hint="cs"/>
          <w:sz w:val="28"/>
          <w:szCs w:val="28"/>
          <w:rtl/>
        </w:rPr>
        <w:t xml:space="preserve"> בבורונדי ב-1993, ומעשי הטבח שבוצעו לאחר מכן. </w:t>
      </w:r>
      <w:r w:rsidR="00197A45" w:rsidRPr="0004711E">
        <w:rPr>
          <w:rFonts w:cs="David" w:hint="cs"/>
          <w:sz w:val="28"/>
          <w:szCs w:val="28"/>
          <w:rtl/>
        </w:rPr>
        <w:t>ועדה אחרת</w:t>
      </w:r>
      <w:r w:rsidR="00B31BC3">
        <w:rPr>
          <w:rFonts w:cs="David" w:hint="cs"/>
          <w:sz w:val="28"/>
          <w:szCs w:val="28"/>
          <w:rtl/>
        </w:rPr>
        <w:t>,</w:t>
      </w:r>
      <w:r w:rsidR="00197A45" w:rsidRPr="0004711E">
        <w:rPr>
          <w:rFonts w:cs="David" w:hint="cs"/>
          <w:sz w:val="28"/>
          <w:szCs w:val="28"/>
          <w:rtl/>
        </w:rPr>
        <w:t xml:space="preserve"> שמונתה לחקור פשעים מקומיים</w:t>
      </w:r>
      <w:r w:rsidR="00B31BC3">
        <w:rPr>
          <w:rFonts w:cs="David" w:hint="cs"/>
          <w:sz w:val="28"/>
          <w:szCs w:val="28"/>
          <w:rtl/>
        </w:rPr>
        <w:t>,</w:t>
      </w:r>
      <w:r w:rsidR="00197A45" w:rsidRPr="0004711E">
        <w:rPr>
          <w:rFonts w:cs="David" w:hint="cs"/>
          <w:sz w:val="28"/>
          <w:szCs w:val="28"/>
          <w:rtl/>
        </w:rPr>
        <w:t xml:space="preserve"> הייתה ה-</w:t>
      </w:r>
      <w:r w:rsidR="00197A45" w:rsidRPr="0004711E">
        <w:rPr>
          <w:rFonts w:cs="David"/>
          <w:sz w:val="28"/>
          <w:szCs w:val="28"/>
        </w:rPr>
        <w:t>International Commission against Impunity in Guatemala (CICIG)</w:t>
      </w:r>
      <w:r w:rsidR="00197A45" w:rsidRPr="0004711E">
        <w:rPr>
          <w:rFonts w:cs="David" w:hint="cs"/>
          <w:sz w:val="28"/>
          <w:szCs w:val="28"/>
          <w:rtl/>
        </w:rPr>
        <w:t xml:space="preserve">, שהוקמה בהסכם בין האו"ם לממשלת גואטמלה, במטרה </w:t>
      </w:r>
      <w:r w:rsidR="00197A45" w:rsidRPr="0004711E">
        <w:rPr>
          <w:rFonts w:cs="David" w:hint="cs"/>
          <w:b/>
          <w:bCs/>
          <w:sz w:val="28"/>
          <w:szCs w:val="28"/>
          <w:rtl/>
        </w:rPr>
        <w:t>לסייע</w:t>
      </w:r>
      <w:r w:rsidR="00197A45" w:rsidRPr="0004711E">
        <w:rPr>
          <w:rFonts w:cs="David" w:hint="cs"/>
          <w:sz w:val="28"/>
          <w:szCs w:val="28"/>
          <w:rtl/>
        </w:rPr>
        <w:t xml:space="preserve"> לתביעה בגואטמלה לחקור ולהעמיד לדין בגין פשע מאורגן במדינה, מבלי שניתן לוועדה מנדט לחקור בעצמה.</w:t>
      </w:r>
    </w:p>
    <w:p w:rsidR="00776E7F" w:rsidRPr="0004711E" w:rsidRDefault="00776E7F" w:rsidP="008B316C">
      <w:pPr>
        <w:spacing w:after="0" w:line="360" w:lineRule="auto"/>
        <w:jc w:val="both"/>
        <w:rPr>
          <w:rFonts w:cs="David"/>
          <w:sz w:val="28"/>
          <w:szCs w:val="28"/>
          <w:rtl/>
        </w:rPr>
      </w:pPr>
    </w:p>
    <w:p w:rsidR="007D338D" w:rsidRPr="0004711E" w:rsidRDefault="00776E7F" w:rsidP="00090D56">
      <w:pPr>
        <w:spacing w:after="0" w:line="360" w:lineRule="auto"/>
        <w:jc w:val="both"/>
        <w:rPr>
          <w:rFonts w:cs="David"/>
          <w:sz w:val="28"/>
          <w:szCs w:val="28"/>
          <w:rtl/>
        </w:rPr>
      </w:pPr>
      <w:r w:rsidRPr="0004711E">
        <w:rPr>
          <w:rFonts w:cs="David" w:hint="cs"/>
          <w:sz w:val="28"/>
          <w:szCs w:val="28"/>
          <w:rtl/>
        </w:rPr>
        <w:lastRenderedPageBreak/>
        <w:t xml:space="preserve">חוות הדעת ממשיכה וקובעת כי </w:t>
      </w:r>
      <w:r w:rsidR="009F6ED1">
        <w:rPr>
          <w:rFonts w:cs="David" w:hint="cs"/>
          <w:sz w:val="28"/>
          <w:szCs w:val="28"/>
          <w:rtl/>
        </w:rPr>
        <w:t xml:space="preserve">ועדות חקירה </w:t>
      </w:r>
      <w:r w:rsidRPr="0004711E">
        <w:rPr>
          <w:rFonts w:cs="David" w:hint="cs"/>
          <w:sz w:val="28"/>
          <w:szCs w:val="28"/>
          <w:rtl/>
        </w:rPr>
        <w:t>ומשלחות ל</w:t>
      </w:r>
      <w:r w:rsidR="00337147" w:rsidRPr="0004711E">
        <w:rPr>
          <w:rFonts w:cs="David" w:hint="cs"/>
          <w:sz w:val="28"/>
          <w:szCs w:val="28"/>
          <w:rtl/>
        </w:rPr>
        <w:t xml:space="preserve">בירור </w:t>
      </w:r>
      <w:r w:rsidRPr="0004711E">
        <w:rPr>
          <w:rFonts w:cs="David" w:hint="cs"/>
          <w:sz w:val="28"/>
          <w:szCs w:val="28"/>
          <w:rtl/>
        </w:rPr>
        <w:t xml:space="preserve">עובדות יכולות להתמנות </w:t>
      </w:r>
      <w:r w:rsidR="00692192">
        <w:rPr>
          <w:rFonts w:cs="David" w:hint="cs"/>
          <w:sz w:val="28"/>
          <w:szCs w:val="28"/>
          <w:rtl/>
        </w:rPr>
        <w:t>על ידי</w:t>
      </w:r>
      <w:r w:rsidRPr="0004711E">
        <w:rPr>
          <w:rFonts w:cs="David" w:hint="cs"/>
          <w:sz w:val="28"/>
          <w:szCs w:val="28"/>
          <w:rtl/>
        </w:rPr>
        <w:t xml:space="preserve"> מועצת הביטחון או העצרת הכללית</w:t>
      </w:r>
      <w:r w:rsidR="00904EAA" w:rsidRPr="0004711E">
        <w:rPr>
          <w:rStyle w:val="a7"/>
          <w:rFonts w:cs="David"/>
          <w:sz w:val="28"/>
          <w:szCs w:val="28"/>
          <w:rtl/>
        </w:rPr>
        <w:footnoteReference w:id="61"/>
      </w:r>
      <w:r w:rsidRPr="0004711E">
        <w:rPr>
          <w:rFonts w:cs="David" w:hint="cs"/>
          <w:sz w:val="28"/>
          <w:szCs w:val="28"/>
          <w:rtl/>
        </w:rPr>
        <w:t xml:space="preserve">, או </w:t>
      </w:r>
      <w:r w:rsidR="00692192">
        <w:rPr>
          <w:rFonts w:cs="David" w:hint="cs"/>
          <w:sz w:val="28"/>
          <w:szCs w:val="28"/>
          <w:rtl/>
        </w:rPr>
        <w:t>על ידי</w:t>
      </w:r>
      <w:r w:rsidRPr="0004711E">
        <w:rPr>
          <w:rFonts w:cs="David" w:hint="cs"/>
          <w:sz w:val="28"/>
          <w:szCs w:val="28"/>
          <w:rtl/>
        </w:rPr>
        <w:t xml:space="preserve"> מזכ"ל האו"ם, בהתאם למנדט מ</w:t>
      </w:r>
      <w:r w:rsidR="00904EAA" w:rsidRPr="0004711E">
        <w:rPr>
          <w:rFonts w:cs="David" w:hint="cs"/>
          <w:sz w:val="28"/>
          <w:szCs w:val="28"/>
          <w:rtl/>
        </w:rPr>
        <w:t>א</w:t>
      </w:r>
      <w:r w:rsidRPr="0004711E">
        <w:rPr>
          <w:rFonts w:cs="David" w:hint="cs"/>
          <w:sz w:val="28"/>
          <w:szCs w:val="28"/>
          <w:rtl/>
        </w:rPr>
        <w:t xml:space="preserve">חד הגופים הללו או בהתאם לסמכותו האינהרנטית, </w:t>
      </w:r>
      <w:r w:rsidR="00904EAA" w:rsidRPr="0004711E">
        <w:rPr>
          <w:rFonts w:cs="David" w:hint="cs"/>
          <w:sz w:val="28"/>
          <w:szCs w:val="28"/>
          <w:rtl/>
        </w:rPr>
        <w:t xml:space="preserve">ולפי </w:t>
      </w:r>
      <w:r w:rsidRPr="0004711E">
        <w:rPr>
          <w:rFonts w:cs="David" w:hint="cs"/>
          <w:sz w:val="28"/>
          <w:szCs w:val="28"/>
          <w:rtl/>
        </w:rPr>
        <w:t xml:space="preserve">בקשה של ממשלה נוגעת בדבר. </w:t>
      </w:r>
      <w:r w:rsidR="007D338D" w:rsidRPr="0004711E">
        <w:rPr>
          <w:rFonts w:cs="David" w:hint="cs"/>
          <w:sz w:val="28"/>
          <w:szCs w:val="28"/>
          <w:rtl/>
        </w:rPr>
        <w:t xml:space="preserve">כאשר המזכ"ל אינו נדרש לכך </w:t>
      </w:r>
      <w:r w:rsidR="00692192">
        <w:rPr>
          <w:rFonts w:cs="David" w:hint="cs"/>
          <w:sz w:val="28"/>
          <w:szCs w:val="28"/>
          <w:rtl/>
        </w:rPr>
        <w:t>על ידי</w:t>
      </w:r>
      <w:r w:rsidR="007D338D" w:rsidRPr="0004711E">
        <w:rPr>
          <w:rFonts w:cs="David" w:hint="cs"/>
          <w:sz w:val="28"/>
          <w:szCs w:val="28"/>
          <w:rtl/>
        </w:rPr>
        <w:t xml:space="preserve"> מועצת הביטחון או העצרת הכללית, הוא אינו מחויב להפעיל </w:t>
      </w:r>
      <w:r w:rsidR="00090D56">
        <w:rPr>
          <w:rFonts w:cs="David" w:hint="cs"/>
          <w:sz w:val="28"/>
          <w:szCs w:val="28"/>
          <w:rtl/>
        </w:rPr>
        <w:t xml:space="preserve">את </w:t>
      </w:r>
      <w:r w:rsidR="007D338D" w:rsidRPr="0004711E">
        <w:rPr>
          <w:rFonts w:cs="David" w:hint="cs"/>
          <w:sz w:val="28"/>
          <w:szCs w:val="28"/>
          <w:rtl/>
        </w:rPr>
        <w:t xml:space="preserve">סמכותו </w:t>
      </w:r>
      <w:r w:rsidR="00B31BC3">
        <w:rPr>
          <w:rFonts w:cs="David" w:hint="cs"/>
          <w:sz w:val="28"/>
          <w:szCs w:val="28"/>
          <w:rtl/>
        </w:rPr>
        <w:t>על פי</w:t>
      </w:r>
      <w:r w:rsidR="007D338D" w:rsidRPr="0004711E">
        <w:rPr>
          <w:rFonts w:cs="David" w:hint="cs"/>
          <w:sz w:val="28"/>
          <w:szCs w:val="28"/>
          <w:rtl/>
        </w:rPr>
        <w:t xml:space="preserve"> בקשת הממשלה הנוגעת בדבר, ובכל מקרה הוא יכול לשקול את השיקולים הפוליטיים, המשפטיים, הפיננסיים והטכניים כדי להחליט האם מינוי ועדה כזו מעשי, ראוי או רצוי. בקבלת ההחלטה יתחשב המזכ"ל גם בדעת הגופים באו"ם שכבר עוסקים בנושא. </w:t>
      </w:r>
    </w:p>
    <w:p w:rsidR="007D338D" w:rsidRPr="0004711E" w:rsidRDefault="007D338D" w:rsidP="008B316C">
      <w:pPr>
        <w:spacing w:after="0" w:line="360" w:lineRule="auto"/>
        <w:jc w:val="both"/>
        <w:rPr>
          <w:rFonts w:cs="David"/>
          <w:sz w:val="28"/>
          <w:szCs w:val="28"/>
          <w:rtl/>
        </w:rPr>
      </w:pPr>
    </w:p>
    <w:p w:rsidR="00776E7F" w:rsidRPr="0004711E" w:rsidRDefault="00776E7F" w:rsidP="00090D56">
      <w:pPr>
        <w:spacing w:after="0" w:line="360" w:lineRule="auto"/>
        <w:jc w:val="both"/>
        <w:rPr>
          <w:rFonts w:cs="David"/>
          <w:sz w:val="28"/>
          <w:szCs w:val="28"/>
          <w:rtl/>
        </w:rPr>
      </w:pPr>
      <w:r w:rsidRPr="0004711E">
        <w:rPr>
          <w:rFonts w:cs="David" w:hint="cs"/>
          <w:sz w:val="28"/>
          <w:szCs w:val="28"/>
          <w:rtl/>
        </w:rPr>
        <w:t xml:space="preserve">שיתוף הפעולה של הממשלה הרלוונטית דרוש בכל מקרה לשם הצלחת החקירה ויישום המלצותיה. </w:t>
      </w:r>
      <w:r w:rsidR="00B31BC3">
        <w:rPr>
          <w:rFonts w:cs="David" w:hint="cs"/>
          <w:sz w:val="28"/>
          <w:szCs w:val="28"/>
          <w:rtl/>
        </w:rPr>
        <w:t xml:space="preserve">על </w:t>
      </w:r>
      <w:r w:rsidRPr="0004711E">
        <w:rPr>
          <w:rFonts w:cs="David" w:hint="cs"/>
          <w:sz w:val="28"/>
          <w:szCs w:val="28"/>
          <w:rtl/>
        </w:rPr>
        <w:t xml:space="preserve">הממשלה </w:t>
      </w:r>
      <w:r w:rsidR="00B31BC3">
        <w:rPr>
          <w:rFonts w:cs="David" w:hint="cs"/>
          <w:sz w:val="28"/>
          <w:szCs w:val="28"/>
          <w:rtl/>
        </w:rPr>
        <w:t xml:space="preserve">לאפשר </w:t>
      </w:r>
      <w:r w:rsidRPr="0004711E">
        <w:rPr>
          <w:rFonts w:cs="David" w:hint="cs"/>
          <w:sz w:val="28"/>
          <w:szCs w:val="28"/>
          <w:rtl/>
        </w:rPr>
        <w:t>גישה לשטחה ולמקום החקירה, להבטיח חופש תנועה וגישה בלתי מופרעת לכל מקורות המידע והראיות, להבטיח פריבילגיות וחסינויות, סידורי אבטחה והגנת עדים.</w:t>
      </w:r>
      <w:r w:rsidR="002368CA" w:rsidRPr="0004711E">
        <w:rPr>
          <w:rFonts w:cs="David" w:hint="cs"/>
          <w:sz w:val="28"/>
          <w:szCs w:val="28"/>
          <w:rtl/>
        </w:rPr>
        <w:t xml:space="preserve"> </w:t>
      </w:r>
      <w:r w:rsidR="00663C2A" w:rsidRPr="0004711E">
        <w:rPr>
          <w:rFonts w:cs="David" w:hint="cs"/>
          <w:sz w:val="28"/>
          <w:szCs w:val="28"/>
          <w:rtl/>
        </w:rPr>
        <w:t>ועדות החקירה לדארפור וללבנון זכו לשיתוף פעולה מכוח חובה</w:t>
      </w:r>
      <w:r w:rsidR="00B31BC3">
        <w:rPr>
          <w:rFonts w:cs="David" w:hint="cs"/>
          <w:sz w:val="28"/>
          <w:szCs w:val="28"/>
          <w:rtl/>
        </w:rPr>
        <w:t>,</w:t>
      </w:r>
      <w:r w:rsidR="00663C2A" w:rsidRPr="0004711E">
        <w:rPr>
          <w:rFonts w:cs="David" w:hint="cs"/>
          <w:sz w:val="28"/>
          <w:szCs w:val="28"/>
          <w:rtl/>
        </w:rPr>
        <w:t xml:space="preserve"> שהוטלה לפי פרק 7 למגילת האו"ם (</w:t>
      </w:r>
      <w:r w:rsidR="007D338D" w:rsidRPr="0004711E">
        <w:rPr>
          <w:rFonts w:cs="David" w:hint="cs"/>
          <w:sz w:val="28"/>
          <w:szCs w:val="28"/>
          <w:rtl/>
        </w:rPr>
        <w:t>שמאפשר למועצת הביטחון לאכוף את החלטותיה באמצעות הפעלת כוח</w:t>
      </w:r>
      <w:r w:rsidR="00663C2A" w:rsidRPr="0004711E">
        <w:rPr>
          <w:rFonts w:cs="David" w:hint="cs"/>
          <w:sz w:val="28"/>
          <w:szCs w:val="28"/>
          <w:rtl/>
        </w:rPr>
        <w:t xml:space="preserve">). </w:t>
      </w:r>
      <w:r w:rsidR="007D338D" w:rsidRPr="0004711E">
        <w:rPr>
          <w:rFonts w:cs="David" w:hint="cs"/>
          <w:sz w:val="28"/>
          <w:szCs w:val="28"/>
          <w:rtl/>
        </w:rPr>
        <w:t xml:space="preserve">יחד עם זאת, גם אם המועצה מקימה את הוועדה לפי פרק 6 (שעניינו ביישוב סכסוכים בדרכי שלום) וברור שכוונתה הייתה לחייב את הצדדים לשתף פעולה (לדוגמה, תוך שימוש בלשון </w:t>
      </w:r>
      <w:r w:rsidR="00090D56">
        <w:rPr>
          <w:rFonts w:cs="David" w:hint="cs"/>
          <w:sz w:val="28"/>
          <w:szCs w:val="28"/>
        </w:rPr>
        <w:t>D</w:t>
      </w:r>
      <w:r w:rsidR="00090D56" w:rsidRPr="0004711E">
        <w:rPr>
          <w:rFonts w:cs="David"/>
          <w:sz w:val="28"/>
          <w:szCs w:val="28"/>
        </w:rPr>
        <w:t>ecides</w:t>
      </w:r>
      <w:r w:rsidR="007D338D" w:rsidRPr="0004711E">
        <w:rPr>
          <w:rFonts w:cs="David" w:hint="cs"/>
          <w:sz w:val="28"/>
          <w:szCs w:val="28"/>
          <w:rtl/>
        </w:rPr>
        <w:t xml:space="preserve">), ברור שעל המדינה הנוגעת בדבר לשתף פעולה, שאם לא כן תקבל המועצה החלטה לפי פרק 7. לכן, גם אם לשון ההחלטה לפי פרק 6 היא רק המלצה, כנראה שלא תהיה מדינה שלא תשתף פעולה עם </w:t>
      </w:r>
      <w:r w:rsidR="00FC173A" w:rsidRPr="0004711E">
        <w:rPr>
          <w:rFonts w:cs="David" w:hint="cs"/>
          <w:sz w:val="28"/>
          <w:szCs w:val="28"/>
          <w:rtl/>
        </w:rPr>
        <w:t xml:space="preserve">ועדה שמונתה </w:t>
      </w:r>
      <w:r w:rsidR="00692192">
        <w:rPr>
          <w:rFonts w:cs="David" w:hint="cs"/>
          <w:sz w:val="28"/>
          <w:szCs w:val="28"/>
          <w:rtl/>
        </w:rPr>
        <w:t>על ידי</w:t>
      </w:r>
      <w:r w:rsidR="00FC173A" w:rsidRPr="0004711E">
        <w:rPr>
          <w:rFonts w:cs="David" w:hint="cs"/>
          <w:sz w:val="28"/>
          <w:szCs w:val="28"/>
          <w:rtl/>
        </w:rPr>
        <w:t xml:space="preserve"> </w:t>
      </w:r>
      <w:r w:rsidR="007D338D" w:rsidRPr="0004711E">
        <w:rPr>
          <w:rFonts w:cs="David" w:hint="cs"/>
          <w:sz w:val="28"/>
          <w:szCs w:val="28"/>
          <w:rtl/>
        </w:rPr>
        <w:t>מועצת הביטחון.</w:t>
      </w:r>
    </w:p>
    <w:p w:rsidR="00284E12" w:rsidRPr="0004711E" w:rsidRDefault="00284E12" w:rsidP="008B316C">
      <w:pPr>
        <w:spacing w:after="0" w:line="360" w:lineRule="auto"/>
        <w:jc w:val="both"/>
        <w:rPr>
          <w:rFonts w:cs="David"/>
          <w:sz w:val="28"/>
          <w:szCs w:val="28"/>
          <w:rtl/>
        </w:rPr>
      </w:pPr>
    </w:p>
    <w:p w:rsidR="00C209FD" w:rsidRPr="0004711E" w:rsidRDefault="00C209FD" w:rsidP="008B316C">
      <w:pPr>
        <w:spacing w:after="0" w:line="360" w:lineRule="auto"/>
        <w:jc w:val="both"/>
        <w:rPr>
          <w:rFonts w:cs="David"/>
          <w:sz w:val="28"/>
          <w:szCs w:val="28"/>
          <w:rtl/>
        </w:rPr>
      </w:pPr>
      <w:r w:rsidRPr="0004711E">
        <w:rPr>
          <w:rFonts w:cs="David" w:hint="cs"/>
          <w:sz w:val="28"/>
          <w:szCs w:val="28"/>
          <w:rtl/>
        </w:rPr>
        <w:t xml:space="preserve">להבדיל ממועצת הביטחון, לעצרת הכללית ולמועצת זכויות האדם אין כלים לחייב מדינה לשתף פעולה עם ועדת חקירה. </w:t>
      </w:r>
    </w:p>
    <w:p w:rsidR="00C209FD" w:rsidRPr="0004711E" w:rsidRDefault="00C209FD" w:rsidP="008B316C">
      <w:pPr>
        <w:spacing w:after="0" w:line="360" w:lineRule="auto"/>
        <w:jc w:val="both"/>
        <w:rPr>
          <w:rFonts w:cs="David"/>
          <w:sz w:val="28"/>
          <w:szCs w:val="28"/>
          <w:rtl/>
        </w:rPr>
      </w:pPr>
    </w:p>
    <w:p w:rsidR="006D1971" w:rsidRPr="0004711E" w:rsidRDefault="007D338D" w:rsidP="008B316C">
      <w:pPr>
        <w:spacing w:after="0" w:line="360" w:lineRule="auto"/>
        <w:jc w:val="both"/>
        <w:rPr>
          <w:rFonts w:cs="David"/>
          <w:sz w:val="28"/>
          <w:szCs w:val="28"/>
          <w:rtl/>
        </w:rPr>
      </w:pPr>
      <w:r w:rsidRPr="0004711E">
        <w:rPr>
          <w:rFonts w:cs="David" w:hint="cs"/>
          <w:sz w:val="28"/>
          <w:szCs w:val="28"/>
          <w:rtl/>
        </w:rPr>
        <w:t>למרות ש</w:t>
      </w:r>
      <w:r w:rsidR="00663C2A" w:rsidRPr="0004711E">
        <w:rPr>
          <w:rFonts w:cs="David" w:hint="cs"/>
          <w:sz w:val="28"/>
          <w:szCs w:val="28"/>
          <w:rtl/>
        </w:rPr>
        <w:t xml:space="preserve">שיתוף הפעולה עם ועדת חקירה חשוב מאוד ליכולתה </w:t>
      </w:r>
      <w:r w:rsidR="00356074">
        <w:rPr>
          <w:rFonts w:cs="David" w:hint="cs"/>
          <w:sz w:val="28"/>
          <w:szCs w:val="28"/>
          <w:rtl/>
        </w:rPr>
        <w:t xml:space="preserve">של זו </w:t>
      </w:r>
      <w:r w:rsidR="00663C2A" w:rsidRPr="0004711E">
        <w:rPr>
          <w:rFonts w:cs="David" w:hint="cs"/>
          <w:sz w:val="28"/>
          <w:szCs w:val="28"/>
          <w:rtl/>
        </w:rPr>
        <w:t>לבצע את עבודתה, כבר היו מקרים בהם נמנעה מו</w:t>
      </w:r>
      <w:r w:rsidR="009F6ED1">
        <w:rPr>
          <w:rFonts w:cs="David" w:hint="cs"/>
          <w:sz w:val="28"/>
          <w:szCs w:val="28"/>
          <w:rtl/>
        </w:rPr>
        <w:t xml:space="preserve">ועדות חקירה </w:t>
      </w:r>
      <w:r w:rsidR="00663C2A" w:rsidRPr="0004711E">
        <w:rPr>
          <w:rFonts w:cs="David" w:hint="cs"/>
          <w:sz w:val="28"/>
          <w:szCs w:val="28"/>
          <w:rtl/>
        </w:rPr>
        <w:t>הגישה לשטח והן בכל זאת ביצעו את תפקידן. כך היה בוועדת החקירה לרצח ראש ממשלת קונגו וכך בוועדת חקירה אחרת</w:t>
      </w:r>
      <w:r w:rsidR="00B31BC3">
        <w:rPr>
          <w:rFonts w:cs="David" w:hint="cs"/>
          <w:sz w:val="28"/>
          <w:szCs w:val="28"/>
          <w:rtl/>
        </w:rPr>
        <w:t>,</w:t>
      </w:r>
      <w:r w:rsidR="00663C2A" w:rsidRPr="0004711E">
        <w:rPr>
          <w:rFonts w:cs="David" w:hint="cs"/>
          <w:sz w:val="28"/>
          <w:szCs w:val="28"/>
          <w:rtl/>
        </w:rPr>
        <w:t xml:space="preserve"> שחקרה אירועי טבח בשנים 1994</w:t>
      </w:r>
      <w:r w:rsidR="00B31BC3">
        <w:rPr>
          <w:rFonts w:cs="David" w:hint="cs"/>
          <w:sz w:val="28"/>
          <w:szCs w:val="28"/>
          <w:rtl/>
        </w:rPr>
        <w:t xml:space="preserve"> </w:t>
      </w:r>
      <w:r w:rsidR="00663C2A" w:rsidRPr="0004711E">
        <w:rPr>
          <w:rFonts w:cs="David" w:hint="cs"/>
          <w:sz w:val="28"/>
          <w:szCs w:val="28"/>
          <w:rtl/>
        </w:rPr>
        <w:t>-</w:t>
      </w:r>
      <w:r w:rsidR="00B31BC3">
        <w:rPr>
          <w:rFonts w:cs="David" w:hint="cs"/>
          <w:sz w:val="28"/>
          <w:szCs w:val="28"/>
          <w:rtl/>
        </w:rPr>
        <w:t xml:space="preserve"> </w:t>
      </w:r>
      <w:r w:rsidR="00663C2A" w:rsidRPr="0004711E">
        <w:rPr>
          <w:rFonts w:cs="David" w:hint="cs"/>
          <w:sz w:val="28"/>
          <w:szCs w:val="28"/>
          <w:rtl/>
        </w:rPr>
        <w:t xml:space="preserve">1996 ברפובליקה הדמוקרטית של קונגו. </w:t>
      </w:r>
    </w:p>
    <w:p w:rsidR="0018035C" w:rsidRPr="0004711E" w:rsidRDefault="0018035C" w:rsidP="008B316C">
      <w:pPr>
        <w:spacing w:after="0" w:line="360" w:lineRule="auto"/>
        <w:jc w:val="both"/>
        <w:rPr>
          <w:rFonts w:cs="David"/>
          <w:sz w:val="28"/>
          <w:szCs w:val="28"/>
          <w:rtl/>
        </w:rPr>
      </w:pPr>
    </w:p>
    <w:p w:rsidR="0018035C" w:rsidRPr="0004711E" w:rsidRDefault="0018035C" w:rsidP="00090D56">
      <w:pPr>
        <w:spacing w:after="0" w:line="360" w:lineRule="auto"/>
        <w:jc w:val="both"/>
        <w:rPr>
          <w:rFonts w:cs="David"/>
          <w:sz w:val="28"/>
          <w:szCs w:val="28"/>
          <w:rtl/>
        </w:rPr>
      </w:pPr>
      <w:r w:rsidRPr="0004711E">
        <w:rPr>
          <w:rFonts w:cs="David" w:hint="cs"/>
          <w:sz w:val="28"/>
          <w:szCs w:val="28"/>
          <w:rtl/>
        </w:rPr>
        <w:lastRenderedPageBreak/>
        <w:t xml:space="preserve">הקמתן של </w:t>
      </w:r>
      <w:r w:rsidR="009F6ED1">
        <w:rPr>
          <w:rFonts w:cs="David" w:hint="cs"/>
          <w:sz w:val="28"/>
          <w:szCs w:val="28"/>
          <w:rtl/>
        </w:rPr>
        <w:t xml:space="preserve">ועדות חקירה </w:t>
      </w:r>
      <w:r w:rsidRPr="0004711E">
        <w:rPr>
          <w:rFonts w:cs="David" w:hint="cs"/>
          <w:sz w:val="28"/>
          <w:szCs w:val="28"/>
          <w:rtl/>
        </w:rPr>
        <w:t>נעשית תמיד אד הוק</w:t>
      </w:r>
      <w:r w:rsidR="00A5092D" w:rsidRPr="0004711E">
        <w:rPr>
          <w:rFonts w:cs="David" w:hint="cs"/>
          <w:sz w:val="28"/>
          <w:szCs w:val="28"/>
          <w:rtl/>
        </w:rPr>
        <w:t>. זו הייתה הפרקטיקה</w:t>
      </w:r>
      <w:r w:rsidRPr="0004711E">
        <w:rPr>
          <w:rFonts w:cs="David" w:hint="cs"/>
          <w:sz w:val="28"/>
          <w:szCs w:val="28"/>
          <w:rtl/>
        </w:rPr>
        <w:t xml:space="preserve"> </w:t>
      </w:r>
      <w:r w:rsidR="00A5092D" w:rsidRPr="0004711E">
        <w:rPr>
          <w:rFonts w:cs="David" w:hint="cs"/>
          <w:sz w:val="28"/>
          <w:szCs w:val="28"/>
          <w:rtl/>
        </w:rPr>
        <w:t xml:space="preserve">של האו"ם מאז ומעולם, והיא בדרך כלל הצליחה, ככל הנראה בשל רצונן של מדינות לשמר לעצמן גמישות ולבחון בכל מקרה את מידת התאמתה של ועדת החקירה שיבקש האו"ם להקים. </w:t>
      </w:r>
      <w:r w:rsidR="00995D11" w:rsidRPr="0004711E">
        <w:rPr>
          <w:rFonts w:cs="David" w:hint="cs"/>
          <w:sz w:val="28"/>
          <w:szCs w:val="28"/>
          <w:rtl/>
        </w:rPr>
        <w:t>מזכ"ל האו"ם אף פרסם בשנת 1970 דוח</w:t>
      </w:r>
      <w:r w:rsidR="006F0CEB" w:rsidRPr="0004711E">
        <w:rPr>
          <w:rStyle w:val="a7"/>
          <w:rFonts w:cs="David"/>
          <w:sz w:val="28"/>
          <w:szCs w:val="28"/>
          <w:rtl/>
        </w:rPr>
        <w:footnoteReference w:id="62"/>
      </w:r>
      <w:r w:rsidR="00090D56">
        <w:rPr>
          <w:rFonts w:cs="David" w:hint="cs"/>
          <w:sz w:val="28"/>
          <w:szCs w:val="28"/>
          <w:rtl/>
        </w:rPr>
        <w:t>,</w:t>
      </w:r>
      <w:r w:rsidR="00995D11" w:rsidRPr="0004711E">
        <w:rPr>
          <w:rFonts w:cs="David" w:hint="cs"/>
          <w:sz w:val="28"/>
          <w:szCs w:val="28"/>
          <w:rtl/>
        </w:rPr>
        <w:t xml:space="preserve"> שבו הציע שהעצרת הכללית ונציבות זכויות האדם יחדלו להקים גופים אד הוק, שעלולים להיתפס כבלתי יציבים ולזכות לאמון מופחת, ו</w:t>
      </w:r>
      <w:r w:rsidR="00356074">
        <w:rPr>
          <w:rFonts w:cs="David" w:hint="cs"/>
          <w:sz w:val="28"/>
          <w:szCs w:val="28"/>
          <w:rtl/>
        </w:rPr>
        <w:t xml:space="preserve">חלף זאת </w:t>
      </w:r>
      <w:r w:rsidR="00995D11" w:rsidRPr="0004711E">
        <w:rPr>
          <w:rFonts w:cs="David" w:hint="cs"/>
          <w:sz w:val="28"/>
          <w:szCs w:val="28"/>
          <w:rtl/>
        </w:rPr>
        <w:t>להקים סוכנות יישום (</w:t>
      </w:r>
      <w:r w:rsidR="00995D11" w:rsidRPr="0004711E">
        <w:rPr>
          <w:rFonts w:cs="David"/>
          <w:sz w:val="28"/>
          <w:szCs w:val="28"/>
        </w:rPr>
        <w:t>agency of implementation</w:t>
      </w:r>
      <w:r w:rsidR="00995D11" w:rsidRPr="0004711E">
        <w:rPr>
          <w:rFonts w:cs="David" w:hint="cs"/>
          <w:sz w:val="28"/>
          <w:szCs w:val="28"/>
          <w:rtl/>
        </w:rPr>
        <w:t>) תחת חסות האו"ם. עוד ציין מזכ</w:t>
      </w:r>
      <w:r w:rsidR="006F0CEB" w:rsidRPr="0004711E">
        <w:rPr>
          <w:rFonts w:cs="David" w:hint="cs"/>
          <w:sz w:val="28"/>
          <w:szCs w:val="28"/>
          <w:rtl/>
        </w:rPr>
        <w:t>"</w:t>
      </w:r>
      <w:r w:rsidR="00995D11" w:rsidRPr="0004711E">
        <w:rPr>
          <w:rFonts w:cs="David" w:hint="cs"/>
          <w:sz w:val="28"/>
          <w:szCs w:val="28"/>
          <w:rtl/>
        </w:rPr>
        <w:t xml:space="preserve">ל האו"ם בדוח, שסוכנות כזו חייבת להיות בעלת אופי הומניטארי ולא פוליטי בלבד, ולפעול ללא משוא פנים, ביעילות ובהגינות. </w:t>
      </w:r>
      <w:r w:rsidR="006F0CEB" w:rsidRPr="0004711E">
        <w:rPr>
          <w:rFonts w:cs="David" w:hint="cs"/>
          <w:sz w:val="28"/>
          <w:szCs w:val="28"/>
          <w:rtl/>
        </w:rPr>
        <w:t>ברם, ה</w:t>
      </w:r>
      <w:r w:rsidRPr="0004711E">
        <w:rPr>
          <w:rFonts w:cs="David" w:hint="cs"/>
          <w:sz w:val="28"/>
          <w:szCs w:val="28"/>
          <w:rtl/>
        </w:rPr>
        <w:t xml:space="preserve">ניסיונות </w:t>
      </w:r>
      <w:r w:rsidR="006F0CEB" w:rsidRPr="0004711E">
        <w:rPr>
          <w:rFonts w:cs="David" w:hint="cs"/>
          <w:sz w:val="28"/>
          <w:szCs w:val="28"/>
          <w:rtl/>
        </w:rPr>
        <w:t>ה</w:t>
      </w:r>
      <w:r w:rsidR="00064EF6" w:rsidRPr="0004711E">
        <w:rPr>
          <w:rFonts w:cs="David" w:hint="cs"/>
          <w:sz w:val="28"/>
          <w:szCs w:val="28"/>
          <w:rtl/>
        </w:rPr>
        <w:t xml:space="preserve">בינלאומיים </w:t>
      </w:r>
      <w:r w:rsidRPr="0004711E">
        <w:rPr>
          <w:rFonts w:cs="David" w:hint="cs"/>
          <w:sz w:val="28"/>
          <w:szCs w:val="28"/>
          <w:rtl/>
        </w:rPr>
        <w:t xml:space="preserve">למסד </w:t>
      </w:r>
      <w:r w:rsidR="00E7634E" w:rsidRPr="0004711E">
        <w:rPr>
          <w:rFonts w:cs="David" w:hint="cs"/>
          <w:sz w:val="28"/>
          <w:szCs w:val="28"/>
          <w:rtl/>
        </w:rPr>
        <w:t xml:space="preserve">ועדות </w:t>
      </w:r>
      <w:r w:rsidR="00064EF6" w:rsidRPr="0004711E">
        <w:rPr>
          <w:rFonts w:cs="David" w:hint="cs"/>
          <w:sz w:val="28"/>
          <w:szCs w:val="28"/>
          <w:rtl/>
        </w:rPr>
        <w:t xml:space="preserve">כאלה </w:t>
      </w:r>
      <w:r w:rsidRPr="0004711E">
        <w:rPr>
          <w:rFonts w:cs="David" w:hint="cs"/>
          <w:sz w:val="28"/>
          <w:szCs w:val="28"/>
          <w:rtl/>
        </w:rPr>
        <w:t xml:space="preserve">כמוסד קבוע ומחייב </w:t>
      </w:r>
      <w:r w:rsidR="00B31BC3">
        <w:rPr>
          <w:rFonts w:cs="David" w:hint="cs"/>
          <w:sz w:val="28"/>
          <w:szCs w:val="28"/>
          <w:rtl/>
        </w:rPr>
        <w:t xml:space="preserve">- </w:t>
      </w:r>
      <w:r w:rsidRPr="0004711E">
        <w:rPr>
          <w:rFonts w:cs="David" w:hint="cs"/>
          <w:sz w:val="28"/>
          <w:szCs w:val="28"/>
          <w:rtl/>
        </w:rPr>
        <w:t>נכשלו. דוגמה לניסיון לא מוצלח כזה היא הוועדה הבינלאומית ל</w:t>
      </w:r>
      <w:r w:rsidR="00337147" w:rsidRPr="0004711E">
        <w:rPr>
          <w:rFonts w:cs="David" w:hint="cs"/>
          <w:sz w:val="28"/>
          <w:szCs w:val="28"/>
          <w:rtl/>
        </w:rPr>
        <w:t xml:space="preserve">בירור </w:t>
      </w:r>
      <w:r w:rsidRPr="0004711E">
        <w:rPr>
          <w:rFonts w:cs="David" w:hint="cs"/>
          <w:sz w:val="28"/>
          <w:szCs w:val="28"/>
          <w:rtl/>
        </w:rPr>
        <w:t>עובדות (</w:t>
      </w:r>
      <w:r w:rsidRPr="0004711E">
        <w:rPr>
          <w:rFonts w:cs="David"/>
          <w:sz w:val="28"/>
          <w:szCs w:val="28"/>
        </w:rPr>
        <w:t xml:space="preserve">International </w:t>
      </w:r>
      <w:r w:rsidR="00A5092D" w:rsidRPr="0004711E">
        <w:rPr>
          <w:rFonts w:cs="David"/>
          <w:sz w:val="28"/>
          <w:szCs w:val="28"/>
        </w:rPr>
        <w:t xml:space="preserve">Humanitarian </w:t>
      </w:r>
      <w:r w:rsidRPr="0004711E">
        <w:rPr>
          <w:rFonts w:cs="David"/>
          <w:sz w:val="28"/>
          <w:szCs w:val="28"/>
        </w:rPr>
        <w:t>Fact</w:t>
      </w:r>
      <w:r w:rsidR="00090D56">
        <w:rPr>
          <w:rFonts w:cs="David"/>
          <w:sz w:val="28"/>
          <w:szCs w:val="28"/>
        </w:rPr>
        <w:t>-</w:t>
      </w:r>
      <w:r w:rsidRPr="0004711E">
        <w:rPr>
          <w:rFonts w:cs="David"/>
          <w:sz w:val="28"/>
          <w:szCs w:val="28"/>
        </w:rPr>
        <w:t>Finding Commission – I</w:t>
      </w:r>
      <w:r w:rsidR="00A5092D" w:rsidRPr="0004711E">
        <w:rPr>
          <w:rFonts w:cs="David"/>
          <w:sz w:val="28"/>
          <w:szCs w:val="28"/>
        </w:rPr>
        <w:t>H</w:t>
      </w:r>
      <w:r w:rsidRPr="0004711E">
        <w:rPr>
          <w:rFonts w:cs="David"/>
          <w:sz w:val="28"/>
          <w:szCs w:val="28"/>
        </w:rPr>
        <w:t>FFC</w:t>
      </w:r>
      <w:r w:rsidRPr="0004711E">
        <w:rPr>
          <w:rFonts w:cs="David" w:hint="cs"/>
          <w:sz w:val="28"/>
          <w:szCs w:val="28"/>
          <w:rtl/>
        </w:rPr>
        <w:t>) שהוקמה לפי סעיף 90 לפרוטוקול הנוסף לאמנות ג'נבה משנת 1949 בדבר הגנת קורבנות סכסוכים מזוינים בינלאומיים (פרוטוקול 1) משנת 1977</w:t>
      </w:r>
      <w:r w:rsidRPr="0004711E">
        <w:rPr>
          <w:rStyle w:val="a7"/>
          <w:rFonts w:cs="David"/>
          <w:sz w:val="28"/>
          <w:szCs w:val="28"/>
          <w:rtl/>
        </w:rPr>
        <w:footnoteReference w:id="63"/>
      </w:r>
      <w:r w:rsidRPr="0004711E">
        <w:rPr>
          <w:rFonts w:cs="David" w:hint="cs"/>
          <w:sz w:val="28"/>
          <w:szCs w:val="28"/>
          <w:rtl/>
        </w:rPr>
        <w:t xml:space="preserve">. </w:t>
      </w:r>
      <w:r w:rsidR="00E7634E" w:rsidRPr="0004711E">
        <w:rPr>
          <w:rFonts w:cs="David" w:hint="cs"/>
          <w:sz w:val="28"/>
          <w:szCs w:val="28"/>
          <w:rtl/>
        </w:rPr>
        <w:t xml:space="preserve">זו ועדה קבועה </w:t>
      </w:r>
      <w:r w:rsidR="00A5092D" w:rsidRPr="0004711E">
        <w:rPr>
          <w:rFonts w:cs="David" w:hint="cs"/>
          <w:sz w:val="28"/>
          <w:szCs w:val="28"/>
          <w:rtl/>
        </w:rPr>
        <w:t xml:space="preserve">שמקום מושבה בברן שבשווייץ, שקיבלה סמכות לפעול ב-1991 (אז נצברו חתימותיהן של 20 מדינות שנדרשו לשם כך לפי סעיף 90), </w:t>
      </w:r>
      <w:r w:rsidR="00090D56">
        <w:rPr>
          <w:rFonts w:cs="David" w:hint="cs"/>
          <w:sz w:val="28"/>
          <w:szCs w:val="28"/>
          <w:rtl/>
        </w:rPr>
        <w:t>ו</w:t>
      </w:r>
      <w:r w:rsidR="00E7634E" w:rsidRPr="0004711E">
        <w:rPr>
          <w:rFonts w:cs="David" w:hint="cs"/>
          <w:sz w:val="28"/>
          <w:szCs w:val="28"/>
          <w:rtl/>
        </w:rPr>
        <w:t>שהוסמכה לחקור הפרות חמורות של אמנות ג'נבה והפרוטוקול הראשון, על פי הסכמת המדינות שהכירו בסמכות הוועדה. נכון להיום</w:t>
      </w:r>
      <w:r w:rsidR="00090D56">
        <w:rPr>
          <w:rFonts w:cs="David" w:hint="cs"/>
          <w:sz w:val="28"/>
          <w:szCs w:val="28"/>
          <w:rtl/>
        </w:rPr>
        <w:t>,</w:t>
      </w:r>
      <w:r w:rsidR="00E7634E" w:rsidRPr="0004711E">
        <w:rPr>
          <w:rFonts w:cs="David" w:hint="cs"/>
          <w:sz w:val="28"/>
          <w:szCs w:val="28"/>
          <w:rtl/>
        </w:rPr>
        <w:t xml:space="preserve"> הכירו 76 מדינות</w:t>
      </w:r>
      <w:r w:rsidR="00090D56">
        <w:rPr>
          <w:rFonts w:cs="David" w:hint="cs"/>
          <w:sz w:val="28"/>
          <w:szCs w:val="28"/>
          <w:rtl/>
        </w:rPr>
        <w:t xml:space="preserve"> </w:t>
      </w:r>
      <w:r w:rsidR="00090D56" w:rsidRPr="0004711E">
        <w:rPr>
          <w:rFonts w:cs="David" w:hint="cs"/>
          <w:sz w:val="28"/>
          <w:szCs w:val="28"/>
          <w:rtl/>
        </w:rPr>
        <w:t>בסמכות הוועדה</w:t>
      </w:r>
      <w:r w:rsidR="00A5092D" w:rsidRPr="0004711E">
        <w:rPr>
          <w:rStyle w:val="a7"/>
          <w:rFonts w:cs="David"/>
          <w:sz w:val="28"/>
          <w:szCs w:val="28"/>
          <w:rtl/>
        </w:rPr>
        <w:footnoteReference w:id="64"/>
      </w:r>
      <w:r w:rsidR="00A5092D" w:rsidRPr="0004711E">
        <w:rPr>
          <w:rFonts w:cs="David" w:hint="cs"/>
          <w:sz w:val="28"/>
          <w:szCs w:val="28"/>
          <w:rtl/>
        </w:rPr>
        <w:t>, אך הוועדה לא ניהלה חקירה</w:t>
      </w:r>
      <w:r w:rsidR="00B31BC3">
        <w:rPr>
          <w:rFonts w:cs="David" w:hint="cs"/>
          <w:sz w:val="28"/>
          <w:szCs w:val="28"/>
          <w:rtl/>
        </w:rPr>
        <w:t xml:space="preserve"> </w:t>
      </w:r>
      <w:r w:rsidR="00B31BC3" w:rsidRPr="0004711E">
        <w:rPr>
          <w:rFonts w:cs="David" w:hint="cs"/>
          <w:sz w:val="28"/>
          <w:szCs w:val="28"/>
          <w:rtl/>
        </w:rPr>
        <w:t>מעולם</w:t>
      </w:r>
      <w:r w:rsidR="00A5092D" w:rsidRPr="0004711E">
        <w:rPr>
          <w:rFonts w:cs="David" w:hint="cs"/>
          <w:sz w:val="28"/>
          <w:szCs w:val="28"/>
          <w:rtl/>
        </w:rPr>
        <w:t>.</w:t>
      </w:r>
      <w:r w:rsidR="002355F7" w:rsidRPr="0004711E">
        <w:rPr>
          <w:rFonts w:cs="David" w:hint="cs"/>
          <w:sz w:val="28"/>
          <w:szCs w:val="28"/>
          <w:rtl/>
        </w:rPr>
        <w:t xml:space="preserve"> אחד המרואיינים </w:t>
      </w:r>
      <w:r w:rsidR="00B31BC3">
        <w:rPr>
          <w:rFonts w:cs="David" w:hint="cs"/>
          <w:sz w:val="28"/>
          <w:szCs w:val="28"/>
          <w:rtl/>
        </w:rPr>
        <w:t>אמר</w:t>
      </w:r>
      <w:r w:rsidR="002355F7" w:rsidRPr="0004711E">
        <w:rPr>
          <w:rFonts w:cs="David" w:hint="cs"/>
          <w:sz w:val="28"/>
          <w:szCs w:val="28"/>
          <w:rtl/>
        </w:rPr>
        <w:t>, כי בעבר נעשה ניסיון להסמיך את ה-</w:t>
      </w:r>
      <w:r w:rsidR="002355F7" w:rsidRPr="0004711E">
        <w:rPr>
          <w:rFonts w:cs="David" w:hint="cs"/>
          <w:sz w:val="28"/>
          <w:szCs w:val="28"/>
        </w:rPr>
        <w:t>IHFFC</w:t>
      </w:r>
      <w:r w:rsidR="002355F7" w:rsidRPr="0004711E">
        <w:rPr>
          <w:rFonts w:cs="David" w:hint="cs"/>
          <w:sz w:val="28"/>
          <w:szCs w:val="28"/>
          <w:rtl/>
        </w:rPr>
        <w:t xml:space="preserve"> לחקור את אחד מהמבצעים שניהלה ישראל, אך הניסיון לא צלח</w:t>
      </w:r>
      <w:r w:rsidR="00B31BC3">
        <w:rPr>
          <w:rFonts w:cs="David" w:hint="cs"/>
          <w:sz w:val="28"/>
          <w:szCs w:val="28"/>
          <w:rtl/>
        </w:rPr>
        <w:t xml:space="preserve"> מטעמים שונים שלא ניתן לפרטם כאן</w:t>
      </w:r>
      <w:r w:rsidR="002355F7" w:rsidRPr="0004711E">
        <w:rPr>
          <w:rFonts w:cs="David" w:hint="cs"/>
          <w:sz w:val="28"/>
          <w:szCs w:val="28"/>
          <w:rtl/>
        </w:rPr>
        <w:t>.</w:t>
      </w:r>
    </w:p>
    <w:p w:rsidR="008012A8" w:rsidRPr="0004711E" w:rsidRDefault="008012A8" w:rsidP="008B316C">
      <w:pPr>
        <w:spacing w:after="0" w:line="360" w:lineRule="auto"/>
        <w:jc w:val="both"/>
        <w:rPr>
          <w:rFonts w:cs="David"/>
          <w:sz w:val="28"/>
          <w:szCs w:val="28"/>
          <w:rtl/>
        </w:rPr>
      </w:pPr>
    </w:p>
    <w:p w:rsidR="008012A8" w:rsidRPr="0004711E" w:rsidRDefault="008012A8" w:rsidP="00390EE7">
      <w:pPr>
        <w:spacing w:after="0" w:line="360" w:lineRule="auto"/>
        <w:jc w:val="both"/>
        <w:rPr>
          <w:rFonts w:cs="David"/>
          <w:sz w:val="28"/>
          <w:szCs w:val="28"/>
          <w:rtl/>
        </w:rPr>
      </w:pPr>
      <w:r w:rsidRPr="0004711E">
        <w:rPr>
          <w:rFonts w:cs="David" w:hint="cs"/>
          <w:sz w:val="28"/>
          <w:szCs w:val="28"/>
          <w:rtl/>
        </w:rPr>
        <w:t xml:space="preserve">מעבר לוועדות החקירה שתוארו עד כה, הרי שלפי תקנון האו"ם, </w:t>
      </w:r>
      <w:r w:rsidR="00B31BC3" w:rsidRPr="0004711E">
        <w:rPr>
          <w:rFonts w:cs="David" w:hint="cs"/>
          <w:sz w:val="28"/>
          <w:szCs w:val="28"/>
          <w:rtl/>
        </w:rPr>
        <w:t xml:space="preserve">חייב </w:t>
      </w:r>
      <w:r w:rsidRPr="0004711E">
        <w:rPr>
          <w:rFonts w:cs="David" w:hint="cs"/>
          <w:sz w:val="28"/>
          <w:szCs w:val="28"/>
          <w:rtl/>
        </w:rPr>
        <w:t xml:space="preserve">המזכ"ל להקים </w:t>
      </w:r>
      <w:r w:rsidRPr="0004711E">
        <w:rPr>
          <w:rFonts w:cs="David"/>
          <w:sz w:val="28"/>
          <w:szCs w:val="28"/>
        </w:rPr>
        <w:t xml:space="preserve">Board of Inquiry - </w:t>
      </w:r>
      <w:r w:rsidRPr="0004711E">
        <w:rPr>
          <w:rFonts w:cs="David" w:hint="cs"/>
          <w:sz w:val="28"/>
          <w:szCs w:val="28"/>
        </w:rPr>
        <w:t>BOI</w:t>
      </w:r>
      <w:r w:rsidRPr="0004711E">
        <w:rPr>
          <w:rFonts w:cs="David" w:hint="cs"/>
          <w:sz w:val="28"/>
          <w:szCs w:val="28"/>
          <w:rtl/>
        </w:rPr>
        <w:t xml:space="preserve"> לבחינת כל מקרה של פגיעה במתקני או"ם, רכוש או"ם או אנשי או"ם. על פניו, מדינה שהסכימה להקמת מתקני או"ם בשטחה, תתקשה לטעון כנגד שיתוף פעולה עם הליך חקירה שכזה. מדברים ש</w:t>
      </w:r>
      <w:r w:rsidR="00B31BC3">
        <w:rPr>
          <w:rFonts w:cs="David" w:hint="cs"/>
          <w:sz w:val="28"/>
          <w:szCs w:val="28"/>
          <w:rtl/>
        </w:rPr>
        <w:t>א</w:t>
      </w:r>
      <w:r w:rsidRPr="0004711E">
        <w:rPr>
          <w:rFonts w:cs="David" w:hint="cs"/>
          <w:sz w:val="28"/>
          <w:szCs w:val="28"/>
          <w:rtl/>
        </w:rPr>
        <w:t>מרה ד"ר דפנה שרגא</w:t>
      </w:r>
      <w:r w:rsidR="00390EE7">
        <w:rPr>
          <w:rFonts w:cs="David" w:hint="cs"/>
          <w:sz w:val="28"/>
          <w:szCs w:val="28"/>
          <w:rtl/>
        </w:rPr>
        <w:t xml:space="preserve"> בראיון </w:t>
      </w:r>
      <w:r w:rsidRPr="0004711E">
        <w:rPr>
          <w:rFonts w:cs="David" w:hint="cs"/>
          <w:sz w:val="28"/>
          <w:szCs w:val="28"/>
          <w:rtl/>
        </w:rPr>
        <w:t xml:space="preserve">במסגרת עבודה זו, </w:t>
      </w:r>
      <w:r w:rsidR="00B31BC3">
        <w:rPr>
          <w:rFonts w:cs="David" w:hint="cs"/>
          <w:sz w:val="28"/>
          <w:szCs w:val="28"/>
          <w:rtl/>
        </w:rPr>
        <w:t xml:space="preserve">עולה כי </w:t>
      </w:r>
      <w:r w:rsidRPr="0004711E">
        <w:rPr>
          <w:rFonts w:cs="David" w:hint="cs"/>
          <w:sz w:val="28"/>
          <w:szCs w:val="28"/>
          <w:rtl/>
        </w:rPr>
        <w:t xml:space="preserve">ועדות מעין אלה מוקמות כדבר שבשגרה אחרי כל אירוע של פגיעה כאמור. לדוגמה, ועדה כזו הוקמה לאחר שאנשי </w:t>
      </w:r>
      <w:r w:rsidRPr="0004711E">
        <w:rPr>
          <w:rFonts w:cs="David" w:hint="cs"/>
          <w:sz w:val="28"/>
          <w:szCs w:val="28"/>
          <w:rtl/>
        </w:rPr>
        <w:lastRenderedPageBreak/>
        <w:t xml:space="preserve">משלחת הסיוע של האו"ם בעיראק נפגעו בפיצוץ מלון בבגדד ב-2003 (בפיצוץ נהרג גם בכיר האו"ם </w:t>
      </w:r>
      <w:r w:rsidRPr="0004711E">
        <w:rPr>
          <w:rFonts w:cs="David"/>
          <w:sz w:val="28"/>
          <w:szCs w:val="28"/>
          <w:rtl/>
        </w:rPr>
        <w:t>סרחיו ויירה דה מלו</w:t>
      </w:r>
      <w:r w:rsidRPr="0004711E">
        <w:rPr>
          <w:rFonts w:cs="David" w:hint="cs"/>
          <w:sz w:val="28"/>
          <w:szCs w:val="28"/>
          <w:rtl/>
        </w:rPr>
        <w:t>)</w:t>
      </w:r>
      <w:r w:rsidR="002355F7" w:rsidRPr="0004711E">
        <w:rPr>
          <w:rStyle w:val="a7"/>
          <w:rFonts w:cs="David"/>
          <w:sz w:val="28"/>
          <w:szCs w:val="28"/>
          <w:rtl/>
        </w:rPr>
        <w:footnoteReference w:id="65"/>
      </w:r>
      <w:r w:rsidRPr="0004711E">
        <w:rPr>
          <w:rFonts w:cs="David" w:hint="cs"/>
          <w:sz w:val="28"/>
          <w:szCs w:val="28"/>
          <w:rtl/>
        </w:rPr>
        <w:t xml:space="preserve">. </w:t>
      </w:r>
      <w:r w:rsidR="002355F7" w:rsidRPr="0004711E">
        <w:rPr>
          <w:rFonts w:cs="David" w:hint="cs"/>
          <w:sz w:val="28"/>
          <w:szCs w:val="28"/>
          <w:rtl/>
        </w:rPr>
        <w:t xml:space="preserve">ועדת חקירה נוספת </w:t>
      </w:r>
      <w:r w:rsidRPr="0004711E">
        <w:rPr>
          <w:rFonts w:cs="David" w:hint="cs"/>
          <w:sz w:val="28"/>
          <w:szCs w:val="28"/>
          <w:rtl/>
        </w:rPr>
        <w:t>הוק</w:t>
      </w:r>
      <w:r w:rsidR="002355F7" w:rsidRPr="0004711E">
        <w:rPr>
          <w:rFonts w:cs="David" w:hint="cs"/>
          <w:sz w:val="28"/>
          <w:szCs w:val="28"/>
          <w:rtl/>
        </w:rPr>
        <w:t>מה</w:t>
      </w:r>
      <w:r w:rsidRPr="0004711E">
        <w:rPr>
          <w:rFonts w:cs="David" w:hint="cs"/>
          <w:sz w:val="28"/>
          <w:szCs w:val="28"/>
          <w:rtl/>
        </w:rPr>
        <w:t xml:space="preserve"> לאחר שמתקן או"ם באלג'יריה נפגע בפעולת טרור</w:t>
      </w:r>
      <w:r w:rsidR="002355F7" w:rsidRPr="0004711E">
        <w:rPr>
          <w:rFonts w:cs="David" w:hint="cs"/>
          <w:sz w:val="28"/>
          <w:szCs w:val="28"/>
          <w:rtl/>
        </w:rPr>
        <w:t xml:space="preserve"> בשנת 2007</w:t>
      </w:r>
      <w:r w:rsidR="002355F7" w:rsidRPr="0004711E">
        <w:rPr>
          <w:rStyle w:val="a7"/>
          <w:rFonts w:cs="David"/>
          <w:sz w:val="28"/>
          <w:szCs w:val="28"/>
          <w:rtl/>
        </w:rPr>
        <w:footnoteReference w:id="66"/>
      </w:r>
      <w:r w:rsidRPr="0004711E">
        <w:rPr>
          <w:rFonts w:cs="David" w:hint="cs"/>
          <w:sz w:val="28"/>
          <w:szCs w:val="28"/>
          <w:rtl/>
        </w:rPr>
        <w:t>.</w:t>
      </w:r>
    </w:p>
    <w:p w:rsidR="002355F7" w:rsidRPr="0004711E" w:rsidRDefault="002355F7" w:rsidP="008B316C">
      <w:pPr>
        <w:spacing w:after="0" w:line="360" w:lineRule="auto"/>
        <w:jc w:val="both"/>
        <w:rPr>
          <w:rFonts w:cs="David"/>
          <w:sz w:val="28"/>
          <w:szCs w:val="28"/>
          <w:rtl/>
        </w:rPr>
      </w:pPr>
    </w:p>
    <w:p w:rsidR="008012A8" w:rsidRPr="0004711E" w:rsidRDefault="002355F7" w:rsidP="00B31BC3">
      <w:pPr>
        <w:spacing w:after="0" w:line="360" w:lineRule="auto"/>
        <w:jc w:val="both"/>
        <w:rPr>
          <w:rFonts w:cs="David"/>
          <w:sz w:val="28"/>
          <w:szCs w:val="28"/>
          <w:rtl/>
        </w:rPr>
      </w:pPr>
      <w:r w:rsidRPr="0004711E">
        <w:rPr>
          <w:rFonts w:cs="David" w:hint="cs"/>
          <w:sz w:val="28"/>
          <w:szCs w:val="28"/>
          <w:rtl/>
        </w:rPr>
        <w:t xml:space="preserve">לדברי ד"ר שרגא, </w:t>
      </w:r>
      <w:r w:rsidR="008012A8" w:rsidRPr="0004711E">
        <w:rPr>
          <w:rFonts w:cs="David" w:hint="cs"/>
          <w:sz w:val="28"/>
          <w:szCs w:val="28"/>
          <w:rtl/>
        </w:rPr>
        <w:t>דוחות ה-</w:t>
      </w:r>
      <w:r w:rsidR="008012A8" w:rsidRPr="0004711E">
        <w:rPr>
          <w:rFonts w:cs="David" w:hint="cs"/>
          <w:sz w:val="28"/>
          <w:szCs w:val="28"/>
        </w:rPr>
        <w:t>B</w:t>
      </w:r>
      <w:r w:rsidR="008012A8" w:rsidRPr="0004711E">
        <w:rPr>
          <w:rFonts w:cs="David"/>
          <w:sz w:val="28"/>
          <w:szCs w:val="28"/>
        </w:rPr>
        <w:t>OI</w:t>
      </w:r>
      <w:r w:rsidR="008012A8" w:rsidRPr="0004711E">
        <w:rPr>
          <w:rFonts w:cs="David" w:hint="cs"/>
          <w:sz w:val="28"/>
          <w:szCs w:val="28"/>
          <w:rtl/>
        </w:rPr>
        <w:t xml:space="preserve"> אינם מתפרסמים בדרך כלל, אלא במקרים שיש בהם רגישות פוליטית, שאז הם מתפרסמים בנוסח מצ</w:t>
      </w:r>
      <w:r w:rsidRPr="0004711E">
        <w:rPr>
          <w:rFonts w:cs="David" w:hint="cs"/>
          <w:sz w:val="28"/>
          <w:szCs w:val="28"/>
          <w:rtl/>
        </w:rPr>
        <w:t>ומצם, כדי להיראות אובייקטיביים</w:t>
      </w:r>
      <w:r w:rsidRPr="0004711E">
        <w:rPr>
          <w:rStyle w:val="a7"/>
          <w:rFonts w:cs="David"/>
          <w:sz w:val="28"/>
          <w:szCs w:val="28"/>
          <w:rtl/>
        </w:rPr>
        <w:footnoteReference w:id="67"/>
      </w:r>
      <w:r w:rsidR="008012A8" w:rsidRPr="0004711E">
        <w:rPr>
          <w:rFonts w:cs="David" w:hint="cs"/>
          <w:sz w:val="28"/>
          <w:szCs w:val="28"/>
          <w:rtl/>
        </w:rPr>
        <w:t xml:space="preserve">. </w:t>
      </w:r>
      <w:r w:rsidR="001B5E7E" w:rsidRPr="0004711E">
        <w:rPr>
          <w:rFonts w:cs="David" w:hint="cs"/>
          <w:sz w:val="28"/>
          <w:szCs w:val="28"/>
          <w:rtl/>
        </w:rPr>
        <w:t xml:space="preserve">עוד לדבריה, </w:t>
      </w:r>
      <w:r w:rsidR="008012A8" w:rsidRPr="0004711E">
        <w:rPr>
          <w:rFonts w:cs="David" w:hint="cs"/>
          <w:sz w:val="28"/>
          <w:szCs w:val="28"/>
          <w:rtl/>
        </w:rPr>
        <w:t xml:space="preserve">לפי קביעת המחלקה המשפטית של האו"ם, </w:t>
      </w:r>
      <w:r w:rsidR="00B31BC3">
        <w:rPr>
          <w:rFonts w:cs="David" w:hint="cs"/>
          <w:sz w:val="28"/>
          <w:szCs w:val="28"/>
          <w:rtl/>
        </w:rPr>
        <w:t xml:space="preserve">על </w:t>
      </w:r>
      <w:r w:rsidR="008012A8" w:rsidRPr="0004711E">
        <w:rPr>
          <w:rFonts w:cs="David" w:hint="cs"/>
          <w:sz w:val="28"/>
          <w:szCs w:val="28"/>
          <w:rtl/>
        </w:rPr>
        <w:t>כל ועדת חקירה לפרסם את הדוח שלה בשל העניין הציבורי שיש בכך.</w:t>
      </w:r>
    </w:p>
    <w:p w:rsidR="008012A8" w:rsidRPr="0004711E" w:rsidRDefault="008012A8" w:rsidP="008B316C">
      <w:pPr>
        <w:spacing w:after="0" w:line="360" w:lineRule="auto"/>
        <w:jc w:val="both"/>
        <w:rPr>
          <w:rFonts w:cs="David"/>
          <w:sz w:val="28"/>
          <w:szCs w:val="28"/>
          <w:rtl/>
        </w:rPr>
      </w:pPr>
    </w:p>
    <w:p w:rsidR="00D53BF4" w:rsidRPr="0004711E" w:rsidRDefault="00D53BF4" w:rsidP="00CF66CE">
      <w:pPr>
        <w:spacing w:after="0" w:line="360" w:lineRule="auto"/>
        <w:jc w:val="both"/>
        <w:rPr>
          <w:rFonts w:cs="David"/>
          <w:sz w:val="28"/>
          <w:szCs w:val="28"/>
          <w:rtl/>
        </w:rPr>
      </w:pPr>
      <w:r w:rsidRPr="0004711E">
        <w:rPr>
          <w:rFonts w:cs="David" w:hint="cs"/>
          <w:sz w:val="28"/>
          <w:szCs w:val="28"/>
          <w:rtl/>
        </w:rPr>
        <w:t>יצוין, שגם מדינת ישראל פנתה למזכ"ל האו"ם בעבר בבקשה שיחקור עניינים מסוימים. כך, ב</w:t>
      </w:r>
      <w:r w:rsidR="00356074">
        <w:rPr>
          <w:rFonts w:cs="David" w:hint="cs"/>
          <w:sz w:val="28"/>
          <w:szCs w:val="28"/>
          <w:rtl/>
        </w:rPr>
        <w:t>יום 0</w:t>
      </w:r>
      <w:r w:rsidRPr="0004711E">
        <w:rPr>
          <w:rFonts w:cs="David" w:hint="cs"/>
          <w:sz w:val="28"/>
          <w:szCs w:val="28"/>
          <w:rtl/>
        </w:rPr>
        <w:t xml:space="preserve">1.10.04 טענה ישראל שטרוריסטים פלסטינים העבירו טיל קסאם באמבולנס של סוכנות הסעד והתעסוקה של האו"ם לפליטים במזרח הקרוב (אונר"א </w:t>
      </w:r>
      <w:r w:rsidRPr="0004711E">
        <w:rPr>
          <w:rFonts w:cs="David"/>
          <w:sz w:val="28"/>
          <w:szCs w:val="28"/>
          <w:rtl/>
        </w:rPr>
        <w:t>–</w:t>
      </w:r>
      <w:r w:rsidRPr="0004711E">
        <w:rPr>
          <w:rFonts w:cs="David" w:hint="cs"/>
          <w:sz w:val="28"/>
          <w:szCs w:val="28"/>
          <w:rtl/>
        </w:rPr>
        <w:t xml:space="preserve"> </w:t>
      </w:r>
      <w:r w:rsidRPr="0004711E">
        <w:rPr>
          <w:rFonts w:cs="David" w:hint="cs"/>
          <w:sz w:val="28"/>
          <w:szCs w:val="28"/>
        </w:rPr>
        <w:t>UNRWA</w:t>
      </w:r>
      <w:r w:rsidRPr="0004711E">
        <w:rPr>
          <w:rFonts w:cs="David" w:hint="cs"/>
          <w:sz w:val="28"/>
          <w:szCs w:val="28"/>
          <w:rtl/>
        </w:rPr>
        <w:t>). לביסוס הטענה הוצג סרטון וידאו</w:t>
      </w:r>
      <w:r w:rsidR="00B31BC3">
        <w:rPr>
          <w:rFonts w:cs="David" w:hint="cs"/>
          <w:sz w:val="28"/>
          <w:szCs w:val="28"/>
          <w:rtl/>
        </w:rPr>
        <w:t>,</w:t>
      </w:r>
      <w:r w:rsidRPr="0004711E">
        <w:rPr>
          <w:rFonts w:cs="David" w:hint="cs"/>
          <w:sz w:val="28"/>
          <w:szCs w:val="28"/>
          <w:rtl/>
        </w:rPr>
        <w:t xml:space="preserve"> שצולם ממזל"ט ישראלי. מאוחר יותר, הודתה ישראל כי ייתכן שהחפץ</w:t>
      </w:r>
      <w:r w:rsidR="00B31BC3">
        <w:rPr>
          <w:rFonts w:cs="David" w:hint="cs"/>
          <w:sz w:val="28"/>
          <w:szCs w:val="28"/>
          <w:rtl/>
        </w:rPr>
        <w:t>,</w:t>
      </w:r>
      <w:r w:rsidRPr="0004711E">
        <w:rPr>
          <w:rFonts w:cs="David" w:hint="cs"/>
          <w:sz w:val="28"/>
          <w:szCs w:val="28"/>
          <w:rtl/>
        </w:rPr>
        <w:t xml:space="preserve"> שהוכנס לרכב</w:t>
      </w:r>
      <w:r w:rsidR="00B31BC3">
        <w:rPr>
          <w:rFonts w:cs="David" w:hint="cs"/>
          <w:sz w:val="28"/>
          <w:szCs w:val="28"/>
          <w:rtl/>
        </w:rPr>
        <w:t>,</w:t>
      </w:r>
      <w:r w:rsidRPr="0004711E">
        <w:rPr>
          <w:rFonts w:cs="David" w:hint="cs"/>
          <w:sz w:val="28"/>
          <w:szCs w:val="28"/>
          <w:rtl/>
        </w:rPr>
        <w:t xml:space="preserve"> אינו טיל. באו"ם טענו כי מדובר באלונקה (וכך זכה המקרה לשם "אלונקה/קסאם"). מזכ"ל האו"ם שלח צוות של </w:t>
      </w:r>
      <w:r w:rsidR="00E56369">
        <w:rPr>
          <w:rFonts w:cs="David" w:hint="cs"/>
          <w:sz w:val="28"/>
          <w:szCs w:val="28"/>
          <w:rtl/>
        </w:rPr>
        <w:t>ארבעה</w:t>
      </w:r>
      <w:r w:rsidR="00E56369" w:rsidRPr="0004711E">
        <w:rPr>
          <w:rFonts w:cs="David" w:hint="cs"/>
          <w:sz w:val="28"/>
          <w:szCs w:val="28"/>
          <w:rtl/>
        </w:rPr>
        <w:t xml:space="preserve"> </w:t>
      </w:r>
      <w:r w:rsidRPr="0004711E">
        <w:rPr>
          <w:rFonts w:cs="David" w:hint="cs"/>
          <w:sz w:val="28"/>
          <w:szCs w:val="28"/>
          <w:rtl/>
        </w:rPr>
        <w:t>אנשים</w:t>
      </w:r>
      <w:r w:rsidR="00E56369">
        <w:rPr>
          <w:rFonts w:cs="David" w:hint="cs"/>
          <w:sz w:val="28"/>
          <w:szCs w:val="28"/>
          <w:rtl/>
        </w:rPr>
        <w:t>,</w:t>
      </w:r>
      <w:r w:rsidRPr="0004711E">
        <w:rPr>
          <w:rFonts w:cs="David" w:hint="cs"/>
          <w:sz w:val="28"/>
          <w:szCs w:val="28"/>
          <w:rtl/>
        </w:rPr>
        <w:t xml:space="preserve"> בראשות </w:t>
      </w:r>
      <w:r w:rsidRPr="0004711E">
        <w:rPr>
          <w:rFonts w:cs="David"/>
          <w:sz w:val="28"/>
          <w:szCs w:val="28"/>
        </w:rPr>
        <w:t>Geir Pedersen</w:t>
      </w:r>
      <w:r w:rsidRPr="0004711E">
        <w:rPr>
          <w:rFonts w:cs="David" w:hint="cs"/>
          <w:sz w:val="28"/>
          <w:szCs w:val="28"/>
          <w:rtl/>
        </w:rPr>
        <w:t xml:space="preserve"> מנורבגיה</w:t>
      </w:r>
      <w:r w:rsidR="00CF66CE">
        <w:rPr>
          <w:rStyle w:val="a7"/>
          <w:rFonts w:cs="David"/>
          <w:sz w:val="28"/>
          <w:szCs w:val="28"/>
          <w:rtl/>
        </w:rPr>
        <w:footnoteReference w:id="68"/>
      </w:r>
      <w:r w:rsidRPr="0004711E">
        <w:rPr>
          <w:rFonts w:cs="David" w:hint="cs"/>
          <w:sz w:val="28"/>
          <w:szCs w:val="28"/>
          <w:rtl/>
        </w:rPr>
        <w:t xml:space="preserve"> לבירור </w:t>
      </w:r>
      <w:r w:rsidR="00E56369">
        <w:rPr>
          <w:rFonts w:cs="David" w:hint="cs"/>
          <w:sz w:val="28"/>
          <w:szCs w:val="28"/>
          <w:rtl/>
        </w:rPr>
        <w:t>ה</w:t>
      </w:r>
      <w:r w:rsidRPr="0004711E">
        <w:rPr>
          <w:rFonts w:cs="David" w:hint="cs"/>
          <w:sz w:val="28"/>
          <w:szCs w:val="28"/>
          <w:rtl/>
        </w:rPr>
        <w:t>עובדות. בסופו של דבר, הו</w:t>
      </w:r>
      <w:r w:rsidR="00E174DF">
        <w:rPr>
          <w:rFonts w:cs="David" w:hint="cs"/>
          <w:sz w:val="28"/>
          <w:szCs w:val="28"/>
          <w:rtl/>
        </w:rPr>
        <w:t>כ</w:t>
      </w:r>
      <w:r w:rsidRPr="0004711E">
        <w:rPr>
          <w:rFonts w:cs="David" w:hint="cs"/>
          <w:sz w:val="28"/>
          <w:szCs w:val="28"/>
          <w:rtl/>
        </w:rPr>
        <w:t xml:space="preserve">חה </w:t>
      </w:r>
      <w:r w:rsidR="00E56369" w:rsidRPr="0004711E">
        <w:rPr>
          <w:rFonts w:cs="David" w:hint="cs"/>
          <w:sz w:val="28"/>
          <w:szCs w:val="28"/>
          <w:rtl/>
        </w:rPr>
        <w:t xml:space="preserve">טענת ישראל </w:t>
      </w:r>
      <w:r w:rsidRPr="0004711E">
        <w:rPr>
          <w:rFonts w:cs="David" w:hint="cs"/>
          <w:sz w:val="28"/>
          <w:szCs w:val="28"/>
          <w:rtl/>
        </w:rPr>
        <w:t>כלא נכונה, אך השיח סביב הקשרים של אונר"א לטרור הועיל למדינת ישראל בראייה רחבה יותר</w:t>
      </w:r>
      <w:r w:rsidRPr="0004711E">
        <w:rPr>
          <w:rStyle w:val="a7"/>
          <w:rFonts w:cs="David"/>
          <w:sz w:val="28"/>
          <w:szCs w:val="28"/>
          <w:rtl/>
        </w:rPr>
        <w:footnoteReference w:id="69"/>
      </w:r>
      <w:r w:rsidRPr="0004711E">
        <w:rPr>
          <w:rFonts w:cs="David" w:hint="cs"/>
          <w:sz w:val="28"/>
          <w:szCs w:val="28"/>
          <w:rtl/>
        </w:rPr>
        <w:t>.</w:t>
      </w:r>
    </w:p>
    <w:p w:rsidR="00D53BF4" w:rsidRPr="0004711E" w:rsidRDefault="00D53BF4" w:rsidP="008B316C">
      <w:pPr>
        <w:spacing w:after="0" w:line="360" w:lineRule="auto"/>
        <w:jc w:val="both"/>
        <w:rPr>
          <w:rFonts w:cs="David"/>
          <w:sz w:val="28"/>
          <w:szCs w:val="28"/>
          <w:rtl/>
        </w:rPr>
      </w:pPr>
    </w:p>
    <w:p w:rsidR="00064EF6" w:rsidRPr="0004711E" w:rsidRDefault="009F6ED1" w:rsidP="00E56369">
      <w:pPr>
        <w:spacing w:after="0" w:line="360" w:lineRule="auto"/>
        <w:jc w:val="both"/>
        <w:rPr>
          <w:rFonts w:cs="David"/>
          <w:sz w:val="28"/>
          <w:szCs w:val="28"/>
          <w:rtl/>
        </w:rPr>
      </w:pPr>
      <w:r>
        <w:rPr>
          <w:rFonts w:cs="David" w:hint="cs"/>
          <w:sz w:val="28"/>
          <w:szCs w:val="28"/>
          <w:rtl/>
        </w:rPr>
        <w:t xml:space="preserve">ועדות חקירה </w:t>
      </w:r>
      <w:r w:rsidR="00064EF6" w:rsidRPr="0004711E">
        <w:rPr>
          <w:rFonts w:cs="David" w:hint="cs"/>
          <w:sz w:val="28"/>
          <w:szCs w:val="28"/>
          <w:rtl/>
        </w:rPr>
        <w:t xml:space="preserve">בינלאומיות מתמנות לא רק </w:t>
      </w:r>
      <w:r w:rsidR="00692192">
        <w:rPr>
          <w:rFonts w:cs="David" w:hint="cs"/>
          <w:sz w:val="28"/>
          <w:szCs w:val="28"/>
          <w:rtl/>
        </w:rPr>
        <w:t>על ידי</w:t>
      </w:r>
      <w:r w:rsidR="00064EF6" w:rsidRPr="0004711E">
        <w:rPr>
          <w:rFonts w:cs="David" w:hint="cs"/>
          <w:sz w:val="28"/>
          <w:szCs w:val="28"/>
          <w:rtl/>
        </w:rPr>
        <w:t xml:space="preserve"> גופים של האו"ם, אלא גם </w:t>
      </w:r>
      <w:r w:rsidR="00692192">
        <w:rPr>
          <w:rFonts w:cs="David" w:hint="cs"/>
          <w:sz w:val="28"/>
          <w:szCs w:val="28"/>
          <w:rtl/>
        </w:rPr>
        <w:t>על ידי</w:t>
      </w:r>
      <w:r w:rsidR="00064EF6" w:rsidRPr="0004711E">
        <w:rPr>
          <w:rFonts w:cs="David" w:hint="cs"/>
          <w:sz w:val="28"/>
          <w:szCs w:val="28"/>
          <w:rtl/>
        </w:rPr>
        <w:t xml:space="preserve"> ארגונים בינלאומיים</w:t>
      </w:r>
      <w:r w:rsidR="00185D1F">
        <w:rPr>
          <w:rFonts w:cs="David" w:hint="cs"/>
          <w:sz w:val="28"/>
          <w:szCs w:val="28"/>
          <w:rtl/>
        </w:rPr>
        <w:t xml:space="preserve"> ובין-ממשלתיים אחרים</w:t>
      </w:r>
      <w:r w:rsidR="00064EF6" w:rsidRPr="0004711E">
        <w:rPr>
          <w:rFonts w:cs="David" w:hint="cs"/>
          <w:sz w:val="28"/>
          <w:szCs w:val="28"/>
          <w:rtl/>
        </w:rPr>
        <w:t>. דוג</w:t>
      </w:r>
      <w:r w:rsidR="0044462D" w:rsidRPr="0004711E">
        <w:rPr>
          <w:rFonts w:cs="David" w:hint="cs"/>
          <w:sz w:val="28"/>
          <w:szCs w:val="28"/>
          <w:rtl/>
        </w:rPr>
        <w:t>מה מעניינת היא ועדת החקירה שהקימה מועצת</w:t>
      </w:r>
      <w:r w:rsidR="00064EF6" w:rsidRPr="0004711E">
        <w:rPr>
          <w:rFonts w:cs="David" w:hint="cs"/>
          <w:sz w:val="28"/>
          <w:szCs w:val="28"/>
          <w:rtl/>
        </w:rPr>
        <w:t xml:space="preserve"> האיחוד האירופי </w:t>
      </w:r>
      <w:r w:rsidR="0044462D" w:rsidRPr="0004711E">
        <w:rPr>
          <w:rFonts w:cs="David" w:hint="cs"/>
          <w:sz w:val="28"/>
          <w:szCs w:val="28"/>
          <w:rtl/>
        </w:rPr>
        <w:t>(</w:t>
      </w:r>
      <w:r w:rsidR="0044462D" w:rsidRPr="0004711E">
        <w:rPr>
          <w:rFonts w:cs="David"/>
          <w:sz w:val="28"/>
          <w:szCs w:val="28"/>
        </w:rPr>
        <w:t xml:space="preserve">Independent International Fact-Finding </w:t>
      </w:r>
      <w:r w:rsidR="0044462D" w:rsidRPr="0004711E">
        <w:rPr>
          <w:rFonts w:cs="David"/>
          <w:sz w:val="28"/>
          <w:szCs w:val="28"/>
        </w:rPr>
        <w:lastRenderedPageBreak/>
        <w:t>Mission on the Conflict in Georgia - IIFFMCG</w:t>
      </w:r>
      <w:r w:rsidR="0044462D" w:rsidRPr="0004711E">
        <w:rPr>
          <w:rFonts w:cs="David" w:hint="cs"/>
          <w:sz w:val="28"/>
          <w:szCs w:val="28"/>
          <w:rtl/>
        </w:rPr>
        <w:t>)</w:t>
      </w:r>
      <w:r w:rsidR="0044462D" w:rsidRPr="0004711E">
        <w:rPr>
          <w:rStyle w:val="a7"/>
          <w:rFonts w:cs="David"/>
          <w:sz w:val="28"/>
          <w:szCs w:val="28"/>
          <w:rtl/>
        </w:rPr>
        <w:footnoteReference w:id="70"/>
      </w:r>
      <w:r w:rsidR="0044462D" w:rsidRPr="0004711E">
        <w:rPr>
          <w:rFonts w:cs="David" w:hint="cs"/>
          <w:sz w:val="28"/>
          <w:szCs w:val="28"/>
          <w:rtl/>
        </w:rPr>
        <w:t xml:space="preserve"> </w:t>
      </w:r>
      <w:r w:rsidR="00064EF6" w:rsidRPr="0004711E">
        <w:rPr>
          <w:rFonts w:cs="David" w:hint="cs"/>
          <w:sz w:val="28"/>
          <w:szCs w:val="28"/>
          <w:rtl/>
        </w:rPr>
        <w:t xml:space="preserve">לחקור את </w:t>
      </w:r>
      <w:r w:rsidR="00F736BB" w:rsidRPr="0004711E">
        <w:rPr>
          <w:rFonts w:cs="David" w:hint="cs"/>
          <w:sz w:val="28"/>
          <w:szCs w:val="28"/>
          <w:rtl/>
        </w:rPr>
        <w:t>המלחמה בין רוסיה לגיאורגיה ב-2008 ואף פשעי מלחמה שבוצעו במהלכה. למרות שגם רוסיה וגם גיאורגיה אינן חברות באיחוד האירופי, הסכימו</w:t>
      </w:r>
      <w:r w:rsidR="00E56369">
        <w:rPr>
          <w:rFonts w:cs="David" w:hint="cs"/>
          <w:sz w:val="28"/>
          <w:szCs w:val="28"/>
          <w:rtl/>
        </w:rPr>
        <w:t xml:space="preserve"> </w:t>
      </w:r>
      <w:r w:rsidR="00E56369" w:rsidRPr="0004711E">
        <w:rPr>
          <w:rFonts w:cs="David" w:hint="cs"/>
          <w:sz w:val="28"/>
          <w:szCs w:val="28"/>
          <w:rtl/>
        </w:rPr>
        <w:t>שתיהן</w:t>
      </w:r>
      <w:r w:rsidR="00F736BB" w:rsidRPr="0004711E">
        <w:rPr>
          <w:rFonts w:cs="David" w:hint="cs"/>
          <w:sz w:val="28"/>
          <w:szCs w:val="28"/>
          <w:rtl/>
        </w:rPr>
        <w:t xml:space="preserve"> לשתף פעולה עם החקירה.</w:t>
      </w:r>
    </w:p>
    <w:p w:rsidR="00064EF6" w:rsidRPr="0004711E" w:rsidRDefault="00064EF6" w:rsidP="008B316C">
      <w:pPr>
        <w:spacing w:after="0" w:line="360" w:lineRule="auto"/>
        <w:jc w:val="both"/>
        <w:rPr>
          <w:rFonts w:cs="David"/>
          <w:sz w:val="28"/>
          <w:szCs w:val="28"/>
          <w:rtl/>
        </w:rPr>
      </w:pPr>
    </w:p>
    <w:p w:rsidR="00FD179B" w:rsidRPr="0004711E" w:rsidRDefault="001B5E7E" w:rsidP="00E56369">
      <w:pPr>
        <w:spacing w:after="0" w:line="360" w:lineRule="auto"/>
        <w:jc w:val="both"/>
        <w:rPr>
          <w:rFonts w:cs="David"/>
          <w:sz w:val="28"/>
          <w:szCs w:val="28"/>
          <w:rtl/>
        </w:rPr>
      </w:pPr>
      <w:r w:rsidRPr="0004711E">
        <w:rPr>
          <w:rFonts w:cs="David" w:hint="cs"/>
          <w:sz w:val="28"/>
          <w:szCs w:val="28"/>
          <w:rtl/>
        </w:rPr>
        <w:t xml:space="preserve">לסיכומו של פרק זה ניתן לומר, כי </w:t>
      </w:r>
      <w:r w:rsidR="009F6ED1">
        <w:rPr>
          <w:rFonts w:cs="David" w:hint="cs"/>
          <w:sz w:val="28"/>
          <w:szCs w:val="28"/>
          <w:rtl/>
        </w:rPr>
        <w:t xml:space="preserve">ועדות חקירה </w:t>
      </w:r>
      <w:r w:rsidRPr="0004711E">
        <w:rPr>
          <w:rFonts w:cs="David" w:hint="cs"/>
          <w:sz w:val="28"/>
          <w:szCs w:val="28"/>
          <w:rtl/>
        </w:rPr>
        <w:t>בינלאומיות הן מנגנון שנעשה בו שימוש רב, שהולך וגובר בשנים האחרונות, בהקשרים של סכסוכים פנימיים ובינלאומיים במדינות רבות.</w:t>
      </w:r>
      <w:r w:rsidR="00FD179B" w:rsidRPr="0004711E">
        <w:rPr>
          <w:rFonts w:cs="David" w:hint="cs"/>
          <w:sz w:val="28"/>
          <w:szCs w:val="28"/>
          <w:rtl/>
        </w:rPr>
        <w:t xml:space="preserve"> </w:t>
      </w:r>
      <w:r w:rsidR="006A480D" w:rsidRPr="0004711E">
        <w:rPr>
          <w:rFonts w:cs="David" w:hint="cs"/>
          <w:sz w:val="28"/>
          <w:szCs w:val="28"/>
          <w:rtl/>
        </w:rPr>
        <w:t>הן נתפסות כרכיב חשוב בשמירה על השלום ו</w:t>
      </w:r>
      <w:r w:rsidR="00E56369">
        <w:rPr>
          <w:rFonts w:cs="David" w:hint="cs"/>
          <w:sz w:val="28"/>
          <w:szCs w:val="28"/>
          <w:rtl/>
        </w:rPr>
        <w:t xml:space="preserve">על </w:t>
      </w:r>
      <w:r w:rsidR="006A480D" w:rsidRPr="0004711E">
        <w:rPr>
          <w:rFonts w:cs="David" w:hint="cs"/>
          <w:sz w:val="28"/>
          <w:szCs w:val="28"/>
          <w:rtl/>
        </w:rPr>
        <w:t xml:space="preserve">הביטחון בעולם. הן מעודדות ציות לדיני הלחימה ולכיבוד זכויות אדם. </w:t>
      </w:r>
      <w:r w:rsidR="00FD179B" w:rsidRPr="0004711E">
        <w:rPr>
          <w:rFonts w:cs="David" w:hint="cs"/>
          <w:sz w:val="28"/>
          <w:szCs w:val="28"/>
          <w:rtl/>
        </w:rPr>
        <w:t>אם בעבר היה שימוש במנגנון זה רק בהסכמת הצד</w:t>
      </w:r>
      <w:r w:rsidR="006A480D" w:rsidRPr="0004711E">
        <w:rPr>
          <w:rFonts w:cs="David" w:hint="cs"/>
          <w:sz w:val="28"/>
          <w:szCs w:val="28"/>
          <w:rtl/>
        </w:rPr>
        <w:t>ד</w:t>
      </w:r>
      <w:r w:rsidR="00FD179B" w:rsidRPr="0004711E">
        <w:rPr>
          <w:rFonts w:cs="David" w:hint="cs"/>
          <w:sz w:val="28"/>
          <w:szCs w:val="28"/>
          <w:rtl/>
        </w:rPr>
        <w:t>ים, הרי שהיום הוא מתמנה לא אחת גם ללא הסכמה, למרות שלחלק מהגופים הממנים אין יכול</w:t>
      </w:r>
      <w:r w:rsidR="00E56369">
        <w:rPr>
          <w:rFonts w:cs="David" w:hint="cs"/>
          <w:sz w:val="28"/>
          <w:szCs w:val="28"/>
          <w:rtl/>
        </w:rPr>
        <w:t>ת</w:t>
      </w:r>
      <w:r w:rsidR="00FD179B" w:rsidRPr="0004711E">
        <w:rPr>
          <w:rFonts w:cs="David" w:hint="cs"/>
          <w:sz w:val="28"/>
          <w:szCs w:val="28"/>
          <w:rtl/>
        </w:rPr>
        <w:t xml:space="preserve"> לאכוף את שיתוף הפעולה של הצדדים, מה שיכול לפגוע באפקטיביות של עבוד</w:t>
      </w:r>
      <w:r w:rsidR="00E56369">
        <w:rPr>
          <w:rFonts w:cs="David" w:hint="cs"/>
          <w:sz w:val="28"/>
          <w:szCs w:val="28"/>
          <w:rtl/>
        </w:rPr>
        <w:t>ת</w:t>
      </w:r>
      <w:r w:rsidR="00FD179B" w:rsidRPr="0004711E">
        <w:rPr>
          <w:rFonts w:cs="David" w:hint="cs"/>
          <w:sz w:val="28"/>
          <w:szCs w:val="28"/>
          <w:rtl/>
        </w:rPr>
        <w:t xml:space="preserve"> המנגנון. עוד ניתן לראות, כי במהלך השנים צברו ה</w:t>
      </w:r>
      <w:r w:rsidR="00090D56">
        <w:rPr>
          <w:rFonts w:cs="David" w:hint="cs"/>
          <w:sz w:val="28"/>
          <w:szCs w:val="28"/>
          <w:rtl/>
        </w:rPr>
        <w:t>ו</w:t>
      </w:r>
      <w:r w:rsidR="0074404A">
        <w:rPr>
          <w:rFonts w:cs="David" w:hint="cs"/>
          <w:sz w:val="28"/>
          <w:szCs w:val="28"/>
          <w:rtl/>
        </w:rPr>
        <w:t>ועדות</w:t>
      </w:r>
      <w:r w:rsidR="00FD179B" w:rsidRPr="0004711E">
        <w:rPr>
          <w:rFonts w:cs="David" w:hint="cs"/>
          <w:sz w:val="28"/>
          <w:szCs w:val="28"/>
          <w:rtl/>
        </w:rPr>
        <w:t xml:space="preserve"> כוח ולרב</w:t>
      </w:r>
      <w:r w:rsidR="00090D56">
        <w:rPr>
          <w:rFonts w:cs="David" w:hint="cs"/>
          <w:sz w:val="28"/>
          <w:szCs w:val="28"/>
          <w:rtl/>
        </w:rPr>
        <w:t>ות</w:t>
      </w:r>
      <w:r w:rsidR="00FD179B" w:rsidRPr="0004711E">
        <w:rPr>
          <w:rFonts w:cs="David" w:hint="cs"/>
          <w:sz w:val="28"/>
          <w:szCs w:val="28"/>
          <w:rtl/>
        </w:rPr>
        <w:t xml:space="preserve"> מה</w:t>
      </w:r>
      <w:r w:rsidR="00090D56">
        <w:rPr>
          <w:rFonts w:cs="David" w:hint="cs"/>
          <w:sz w:val="28"/>
          <w:szCs w:val="28"/>
          <w:rtl/>
        </w:rPr>
        <w:t>ן</w:t>
      </w:r>
      <w:r w:rsidR="00FD179B" w:rsidRPr="0004711E">
        <w:rPr>
          <w:rFonts w:cs="David" w:hint="cs"/>
          <w:sz w:val="28"/>
          <w:szCs w:val="28"/>
          <w:rtl/>
        </w:rPr>
        <w:t xml:space="preserve"> יש כיום סמכות לקבוע קביעות משפטיות ולמצוא מי היו האשמים בהפרת זכויות אדם. חלק מהוועדות שהוקמו אף הובילו להקמת בתי דין להעמדה לדין של האשמים.</w:t>
      </w:r>
      <w:r w:rsidR="006A480D" w:rsidRPr="0004711E">
        <w:rPr>
          <w:rFonts w:cs="David" w:hint="cs"/>
          <w:sz w:val="28"/>
          <w:szCs w:val="28"/>
          <w:rtl/>
        </w:rPr>
        <w:t xml:space="preserve"> זה</w:t>
      </w:r>
      <w:r w:rsidR="00E56369">
        <w:rPr>
          <w:rFonts w:cs="David" w:hint="cs"/>
          <w:sz w:val="28"/>
          <w:szCs w:val="28"/>
          <w:rtl/>
        </w:rPr>
        <w:t>ו</w:t>
      </w:r>
      <w:r w:rsidR="006A480D" w:rsidRPr="0004711E">
        <w:rPr>
          <w:rFonts w:cs="David" w:hint="cs"/>
          <w:sz w:val="28"/>
          <w:szCs w:val="28"/>
          <w:rtl/>
        </w:rPr>
        <w:t xml:space="preserve"> ביטוי למגמה כוללת של התחזקותו של המשפט הפלילי הבינלאומי ו</w:t>
      </w:r>
      <w:r w:rsidR="00E56369">
        <w:rPr>
          <w:rFonts w:cs="David" w:hint="cs"/>
          <w:sz w:val="28"/>
          <w:szCs w:val="28"/>
          <w:rtl/>
        </w:rPr>
        <w:t xml:space="preserve">של </w:t>
      </w:r>
      <w:r w:rsidR="006A480D" w:rsidRPr="0004711E">
        <w:rPr>
          <w:rFonts w:cs="David" w:hint="cs"/>
          <w:sz w:val="28"/>
          <w:szCs w:val="28"/>
          <w:rtl/>
        </w:rPr>
        <w:t>קידום אחריותיות (</w:t>
      </w:r>
      <w:r w:rsidR="006A480D" w:rsidRPr="0004711E">
        <w:rPr>
          <w:rFonts w:cs="David"/>
          <w:sz w:val="28"/>
          <w:szCs w:val="28"/>
        </w:rPr>
        <w:t>accountability</w:t>
      </w:r>
      <w:r w:rsidR="006A480D" w:rsidRPr="0004711E">
        <w:rPr>
          <w:rFonts w:cs="David" w:hint="cs"/>
          <w:sz w:val="28"/>
          <w:szCs w:val="28"/>
          <w:rtl/>
        </w:rPr>
        <w:t>) בעולם.</w:t>
      </w:r>
    </w:p>
    <w:p w:rsidR="00FD179B" w:rsidRPr="0004711E" w:rsidRDefault="00FD179B" w:rsidP="008B316C">
      <w:pPr>
        <w:spacing w:after="0" w:line="360" w:lineRule="auto"/>
        <w:jc w:val="both"/>
        <w:rPr>
          <w:rFonts w:cs="David"/>
          <w:sz w:val="28"/>
          <w:szCs w:val="28"/>
          <w:rtl/>
        </w:rPr>
      </w:pPr>
    </w:p>
    <w:p w:rsidR="001B5E7E" w:rsidRDefault="001B5E7E" w:rsidP="00A16FFD">
      <w:pPr>
        <w:spacing w:after="0" w:line="360" w:lineRule="auto"/>
        <w:jc w:val="both"/>
        <w:rPr>
          <w:rFonts w:cs="David"/>
          <w:sz w:val="28"/>
          <w:szCs w:val="28"/>
          <w:rtl/>
        </w:rPr>
      </w:pPr>
      <w:r w:rsidRPr="0004711E">
        <w:rPr>
          <w:rFonts w:cs="David" w:hint="cs"/>
          <w:sz w:val="28"/>
          <w:szCs w:val="28"/>
          <w:rtl/>
        </w:rPr>
        <w:t xml:space="preserve">גם </w:t>
      </w:r>
      <w:r w:rsidR="00FD179B" w:rsidRPr="0004711E">
        <w:rPr>
          <w:rFonts w:cs="David" w:hint="cs"/>
          <w:sz w:val="28"/>
          <w:szCs w:val="28"/>
          <w:rtl/>
        </w:rPr>
        <w:t xml:space="preserve">מקומה </w:t>
      </w:r>
      <w:r w:rsidRPr="0004711E">
        <w:rPr>
          <w:rFonts w:cs="David" w:hint="cs"/>
          <w:sz w:val="28"/>
          <w:szCs w:val="28"/>
          <w:rtl/>
        </w:rPr>
        <w:t xml:space="preserve">של מדינת ישראל לא נפקד </w:t>
      </w:r>
      <w:r w:rsidR="00FD179B" w:rsidRPr="0004711E">
        <w:rPr>
          <w:rFonts w:cs="David" w:hint="cs"/>
          <w:sz w:val="28"/>
          <w:szCs w:val="28"/>
          <w:rtl/>
        </w:rPr>
        <w:t>ממ</w:t>
      </w:r>
      <w:r w:rsidR="00E174DF">
        <w:rPr>
          <w:rFonts w:cs="David" w:hint="cs"/>
          <w:sz w:val="28"/>
          <w:szCs w:val="28"/>
          <w:rtl/>
        </w:rPr>
        <w:t>גמ</w:t>
      </w:r>
      <w:r w:rsidR="00FD179B" w:rsidRPr="0004711E">
        <w:rPr>
          <w:rFonts w:cs="David" w:hint="cs"/>
          <w:sz w:val="28"/>
          <w:szCs w:val="28"/>
          <w:rtl/>
        </w:rPr>
        <w:t>ה זו</w:t>
      </w:r>
      <w:r w:rsidR="00E56369">
        <w:rPr>
          <w:rFonts w:cs="David" w:hint="cs"/>
          <w:sz w:val="28"/>
          <w:szCs w:val="28"/>
          <w:rtl/>
        </w:rPr>
        <w:t>.</w:t>
      </w:r>
      <w:r w:rsidRPr="0004711E">
        <w:rPr>
          <w:rFonts w:cs="David" w:hint="cs"/>
          <w:sz w:val="28"/>
          <w:szCs w:val="28"/>
          <w:rtl/>
        </w:rPr>
        <w:t xml:space="preserve"> מבצעים צבאיים רבים של ישראל נבחנו </w:t>
      </w:r>
      <w:r w:rsidR="00692192">
        <w:rPr>
          <w:rFonts w:cs="David" w:hint="cs"/>
          <w:sz w:val="28"/>
          <w:szCs w:val="28"/>
          <w:rtl/>
        </w:rPr>
        <w:t>על ידי</w:t>
      </w:r>
      <w:r w:rsidRPr="0004711E">
        <w:rPr>
          <w:rFonts w:cs="David" w:hint="cs"/>
          <w:sz w:val="28"/>
          <w:szCs w:val="28"/>
          <w:rtl/>
        </w:rPr>
        <w:t xml:space="preserve"> </w:t>
      </w:r>
      <w:r w:rsidR="009C039C">
        <w:rPr>
          <w:rFonts w:cs="David" w:hint="cs"/>
          <w:sz w:val="28"/>
          <w:szCs w:val="28"/>
          <w:rtl/>
        </w:rPr>
        <w:t>ועדות חקירה בינלאומיות</w:t>
      </w:r>
      <w:r w:rsidRPr="0004711E">
        <w:rPr>
          <w:rFonts w:cs="David" w:hint="cs"/>
          <w:sz w:val="28"/>
          <w:szCs w:val="28"/>
          <w:rtl/>
        </w:rPr>
        <w:t xml:space="preserve">. </w:t>
      </w:r>
      <w:r w:rsidR="00A16FFD">
        <w:rPr>
          <w:rFonts w:cs="David" w:hint="cs"/>
          <w:sz w:val="28"/>
          <w:szCs w:val="28"/>
          <w:rtl/>
        </w:rPr>
        <w:t>רשימת הו</w:t>
      </w:r>
      <w:r w:rsidR="0074404A">
        <w:rPr>
          <w:rFonts w:cs="David" w:hint="cs"/>
          <w:sz w:val="28"/>
          <w:szCs w:val="28"/>
          <w:rtl/>
        </w:rPr>
        <w:t>ועדות</w:t>
      </w:r>
      <w:r w:rsidRPr="0004711E">
        <w:rPr>
          <w:rFonts w:cs="David" w:hint="cs"/>
          <w:sz w:val="28"/>
          <w:szCs w:val="28"/>
          <w:rtl/>
        </w:rPr>
        <w:t xml:space="preserve"> </w:t>
      </w:r>
      <w:r w:rsidR="00A16FFD">
        <w:rPr>
          <w:rFonts w:cs="David" w:hint="cs"/>
          <w:sz w:val="28"/>
          <w:szCs w:val="28"/>
          <w:rtl/>
        </w:rPr>
        <w:t>האמורה מופיעה בנספח לעבודה</w:t>
      </w:r>
      <w:r w:rsidRPr="0004711E">
        <w:rPr>
          <w:rFonts w:cs="David" w:hint="cs"/>
          <w:sz w:val="28"/>
          <w:szCs w:val="28"/>
          <w:rtl/>
        </w:rPr>
        <w:t>.</w:t>
      </w:r>
      <w:r w:rsidR="00A16FFD">
        <w:rPr>
          <w:rFonts w:cs="David" w:hint="cs"/>
          <w:sz w:val="28"/>
          <w:szCs w:val="28"/>
          <w:rtl/>
        </w:rPr>
        <w:t xml:space="preserve"> יושם אל לב, כי שמות הוועדות, בהם ייעשה שימוש בעבודה זו, הם אלה המפורטים בנספח האמור.</w:t>
      </w:r>
    </w:p>
    <w:p w:rsidR="00BD1A85" w:rsidRDefault="00BD1A85" w:rsidP="00A16FFD">
      <w:pPr>
        <w:spacing w:after="0" w:line="360" w:lineRule="auto"/>
        <w:jc w:val="both"/>
        <w:rPr>
          <w:rFonts w:cs="David"/>
          <w:sz w:val="28"/>
          <w:szCs w:val="28"/>
          <w:rtl/>
        </w:rPr>
      </w:pPr>
    </w:p>
    <w:p w:rsidR="00BD1A85" w:rsidRPr="0004711E" w:rsidRDefault="00BD1A85" w:rsidP="00A16FFD">
      <w:pPr>
        <w:spacing w:after="0" w:line="360" w:lineRule="auto"/>
        <w:jc w:val="both"/>
        <w:rPr>
          <w:rFonts w:cs="David"/>
          <w:sz w:val="28"/>
          <w:szCs w:val="28"/>
          <w:rtl/>
        </w:rPr>
      </w:pPr>
      <w:r>
        <w:rPr>
          <w:rFonts w:cs="David" w:hint="cs"/>
          <w:sz w:val="28"/>
          <w:szCs w:val="28"/>
          <w:rtl/>
        </w:rPr>
        <w:t>הפרק הבא ידון בהתחזקות כוחו של המשפט הבינלאומי בעידן המודרני, שהתרחבות פעילותן של ועדות חקירה בינלאומיות היא אחד מהביטויים לה.</w:t>
      </w:r>
    </w:p>
    <w:p w:rsidR="001B5E7E" w:rsidRPr="0004711E" w:rsidRDefault="001B5E7E" w:rsidP="008B316C">
      <w:pPr>
        <w:bidi w:val="0"/>
        <w:spacing w:after="0" w:line="360" w:lineRule="auto"/>
        <w:rPr>
          <w:rFonts w:cs="David"/>
          <w:sz w:val="28"/>
          <w:szCs w:val="28"/>
        </w:rPr>
      </w:pPr>
      <w:r w:rsidRPr="0004711E">
        <w:rPr>
          <w:rFonts w:cs="David"/>
          <w:sz w:val="28"/>
          <w:szCs w:val="28"/>
          <w:rtl/>
        </w:rPr>
        <w:br w:type="page"/>
      </w:r>
    </w:p>
    <w:p w:rsidR="005C7C5F" w:rsidRPr="00A755AE" w:rsidRDefault="005C7C5F" w:rsidP="003D0069">
      <w:pPr>
        <w:pStyle w:val="1"/>
        <w:bidi/>
        <w:spacing w:before="0" w:beforeAutospacing="0" w:after="0" w:afterAutospacing="0" w:line="360" w:lineRule="auto"/>
        <w:jc w:val="both"/>
        <w:rPr>
          <w:rFonts w:cs="David"/>
          <w:sz w:val="32"/>
          <w:szCs w:val="32"/>
          <w:rtl/>
        </w:rPr>
      </w:pPr>
      <w:bookmarkStart w:id="13" w:name="_Toc456027298"/>
      <w:r w:rsidRPr="00A755AE">
        <w:rPr>
          <w:rFonts w:cs="David" w:hint="cs"/>
          <w:sz w:val="32"/>
          <w:szCs w:val="32"/>
          <w:rtl/>
        </w:rPr>
        <w:lastRenderedPageBreak/>
        <w:t xml:space="preserve">פרק ב' </w:t>
      </w:r>
      <w:r w:rsidRPr="00A755AE">
        <w:rPr>
          <w:rFonts w:cs="David"/>
          <w:sz w:val="32"/>
          <w:szCs w:val="32"/>
          <w:rtl/>
        </w:rPr>
        <w:t>–</w:t>
      </w:r>
      <w:r w:rsidRPr="00A755AE">
        <w:rPr>
          <w:rFonts w:cs="David" w:hint="cs"/>
          <w:sz w:val="32"/>
          <w:szCs w:val="32"/>
          <w:rtl/>
        </w:rPr>
        <w:t xml:space="preserve"> מקומו המרכזי של המשפט הבינלאומי</w:t>
      </w:r>
      <w:r w:rsidR="00DB7F53" w:rsidRPr="00A755AE">
        <w:rPr>
          <w:rFonts w:cs="David" w:hint="cs"/>
          <w:sz w:val="32"/>
          <w:szCs w:val="32"/>
          <w:rtl/>
        </w:rPr>
        <w:t xml:space="preserve"> בעולם המדיני המודרני</w:t>
      </w:r>
      <w:bookmarkEnd w:id="13"/>
    </w:p>
    <w:p w:rsidR="005C7C5F" w:rsidRDefault="005C7C5F" w:rsidP="00310D3D">
      <w:pPr>
        <w:spacing w:after="0" w:line="360" w:lineRule="auto"/>
        <w:jc w:val="both"/>
        <w:rPr>
          <w:rFonts w:cs="David"/>
          <w:b/>
          <w:bCs/>
          <w:sz w:val="32"/>
          <w:szCs w:val="32"/>
          <w:rtl/>
        </w:rPr>
      </w:pPr>
    </w:p>
    <w:p w:rsidR="005C7C5F" w:rsidRPr="0004711E" w:rsidRDefault="00BD1A85" w:rsidP="00BD1A85">
      <w:pPr>
        <w:spacing w:after="0" w:line="360" w:lineRule="auto"/>
        <w:jc w:val="both"/>
        <w:rPr>
          <w:rFonts w:cs="David"/>
          <w:sz w:val="28"/>
          <w:szCs w:val="28"/>
          <w:rtl/>
        </w:rPr>
      </w:pPr>
      <w:r>
        <w:rPr>
          <w:rFonts w:cs="David" w:hint="cs"/>
          <w:sz w:val="28"/>
          <w:szCs w:val="28"/>
          <w:rtl/>
        </w:rPr>
        <w:t xml:space="preserve">בפרק הקודם, נסקרה התופעה המתרחבת של שימוש בוועדות חקירה על ידי ארגונים בינלאומיים כדוגמת האו"ם. </w:t>
      </w:r>
      <w:r w:rsidR="005C7C5F">
        <w:rPr>
          <w:rFonts w:cs="David" w:hint="cs"/>
          <w:sz w:val="28"/>
          <w:szCs w:val="28"/>
          <w:rtl/>
        </w:rPr>
        <w:t>ממבט ראשון</w:t>
      </w:r>
      <w:r w:rsidR="005C7C5F" w:rsidRPr="0004711E">
        <w:rPr>
          <w:rFonts w:cs="David" w:hint="cs"/>
          <w:sz w:val="28"/>
          <w:szCs w:val="28"/>
          <w:rtl/>
        </w:rPr>
        <w:t xml:space="preserve">, </w:t>
      </w:r>
      <w:r w:rsidR="005C7C5F">
        <w:rPr>
          <w:rFonts w:cs="David" w:hint="cs"/>
          <w:sz w:val="28"/>
          <w:szCs w:val="28"/>
          <w:rtl/>
        </w:rPr>
        <w:t xml:space="preserve">נראה כי </w:t>
      </w:r>
      <w:r w:rsidR="005C7C5F" w:rsidRPr="0004711E">
        <w:rPr>
          <w:rFonts w:cs="David" w:hint="cs"/>
          <w:sz w:val="28"/>
          <w:szCs w:val="28"/>
          <w:rtl/>
        </w:rPr>
        <w:t>"התערבות</w:t>
      </w:r>
      <w:r w:rsidR="005C7C5F">
        <w:rPr>
          <w:rFonts w:cs="David" w:hint="cs"/>
          <w:sz w:val="28"/>
          <w:szCs w:val="28"/>
          <w:rtl/>
        </w:rPr>
        <w:t>ן</w:t>
      </w:r>
      <w:r w:rsidR="005C7C5F" w:rsidRPr="0004711E">
        <w:rPr>
          <w:rFonts w:cs="David" w:hint="cs"/>
          <w:sz w:val="28"/>
          <w:szCs w:val="28"/>
          <w:rtl/>
        </w:rPr>
        <w:t xml:space="preserve">" של </w:t>
      </w:r>
      <w:r w:rsidR="005C7C5F">
        <w:rPr>
          <w:rFonts w:cs="David" w:hint="cs"/>
          <w:sz w:val="28"/>
          <w:szCs w:val="28"/>
          <w:rtl/>
        </w:rPr>
        <w:t>ועדות חקירה בינלאומיות</w:t>
      </w:r>
      <w:r w:rsidR="005C7C5F" w:rsidRPr="0004711E">
        <w:rPr>
          <w:rFonts w:cs="David" w:hint="cs"/>
          <w:sz w:val="28"/>
          <w:szCs w:val="28"/>
          <w:rtl/>
        </w:rPr>
        <w:t xml:space="preserve"> פוגעת בעיקרון הריבונות (</w:t>
      </w:r>
      <w:r w:rsidR="005C7C5F" w:rsidRPr="0004711E">
        <w:rPr>
          <w:rFonts w:cs="David"/>
          <w:sz w:val="28"/>
          <w:szCs w:val="28"/>
        </w:rPr>
        <w:t>Sovereignty</w:t>
      </w:r>
      <w:r w:rsidR="005C7C5F" w:rsidRPr="0004711E">
        <w:rPr>
          <w:rFonts w:cs="David" w:hint="cs"/>
          <w:sz w:val="28"/>
          <w:szCs w:val="28"/>
          <w:rtl/>
        </w:rPr>
        <w:t xml:space="preserve">), אשר </w:t>
      </w:r>
      <w:r w:rsidR="005C7C5F" w:rsidRPr="0004711E">
        <w:rPr>
          <w:rFonts w:cs="David"/>
          <w:sz w:val="28"/>
          <w:szCs w:val="28"/>
          <w:rtl/>
        </w:rPr>
        <w:t xml:space="preserve">מבטיח למדינה חופש פעולה נרחב </w:t>
      </w:r>
      <w:r w:rsidR="005C7C5F" w:rsidRPr="0004711E">
        <w:rPr>
          <w:rFonts w:cs="David" w:hint="cs"/>
          <w:sz w:val="28"/>
          <w:szCs w:val="28"/>
          <w:rtl/>
        </w:rPr>
        <w:t>(ו</w:t>
      </w:r>
      <w:r w:rsidR="005C7C5F" w:rsidRPr="0004711E">
        <w:rPr>
          <w:rFonts w:cs="David"/>
          <w:sz w:val="28"/>
          <w:szCs w:val="28"/>
          <w:rtl/>
        </w:rPr>
        <w:t xml:space="preserve">בעבר </w:t>
      </w:r>
      <w:r w:rsidR="005C7C5F" w:rsidRPr="0004711E">
        <w:rPr>
          <w:rFonts w:cs="David" w:hint="cs"/>
          <w:sz w:val="28"/>
          <w:szCs w:val="28"/>
          <w:rtl/>
        </w:rPr>
        <w:t xml:space="preserve">- </w:t>
      </w:r>
      <w:r w:rsidR="005C7C5F" w:rsidRPr="0004711E">
        <w:rPr>
          <w:rFonts w:cs="David"/>
          <w:sz w:val="28"/>
          <w:szCs w:val="28"/>
          <w:rtl/>
        </w:rPr>
        <w:t>כמעט בלתי מוגבל</w:t>
      </w:r>
      <w:r w:rsidR="005C7C5F" w:rsidRPr="0004711E">
        <w:rPr>
          <w:rFonts w:cs="David" w:hint="cs"/>
          <w:sz w:val="28"/>
          <w:szCs w:val="28"/>
          <w:rtl/>
        </w:rPr>
        <w:t>)</w:t>
      </w:r>
      <w:r w:rsidR="005C7C5F" w:rsidRPr="0004711E">
        <w:rPr>
          <w:rFonts w:cs="David"/>
          <w:sz w:val="28"/>
          <w:szCs w:val="28"/>
          <w:rtl/>
        </w:rPr>
        <w:t xml:space="preserve"> בכל הנוגע לניהול ענייניה שלה, </w:t>
      </w:r>
      <w:r w:rsidR="005C7C5F" w:rsidRPr="0004711E">
        <w:rPr>
          <w:rFonts w:cs="David" w:hint="cs"/>
          <w:sz w:val="28"/>
          <w:szCs w:val="28"/>
          <w:rtl/>
        </w:rPr>
        <w:t>מחד גיסא, ו</w:t>
      </w:r>
      <w:r w:rsidR="005C7C5F" w:rsidRPr="0004711E">
        <w:rPr>
          <w:rFonts w:cs="David"/>
          <w:sz w:val="28"/>
          <w:szCs w:val="28"/>
          <w:rtl/>
        </w:rPr>
        <w:t>אוסר על מדינות אחרות או על ארגונים בין-לאומיים להתערב בענייניה הפנימיי</w:t>
      </w:r>
      <w:r w:rsidR="005C7C5F" w:rsidRPr="0004711E">
        <w:rPr>
          <w:rFonts w:cs="David" w:hint="cs"/>
          <w:sz w:val="28"/>
          <w:szCs w:val="28"/>
          <w:rtl/>
        </w:rPr>
        <w:t>ם, מאידך גיסא</w:t>
      </w:r>
      <w:bookmarkStart w:id="14" w:name="_Ref455327722"/>
      <w:r w:rsidR="005C7C5F" w:rsidRPr="0004711E">
        <w:rPr>
          <w:rStyle w:val="a7"/>
          <w:rFonts w:cs="David"/>
          <w:sz w:val="28"/>
          <w:szCs w:val="28"/>
          <w:rtl/>
        </w:rPr>
        <w:footnoteReference w:id="71"/>
      </w:r>
      <w:bookmarkEnd w:id="14"/>
      <w:r w:rsidR="005C7C5F" w:rsidRPr="0004711E">
        <w:rPr>
          <w:rFonts w:cs="David" w:hint="cs"/>
          <w:sz w:val="28"/>
          <w:szCs w:val="28"/>
          <w:rtl/>
        </w:rPr>
        <w:t>.</w:t>
      </w:r>
      <w:r w:rsidR="005C7C5F" w:rsidRPr="0004711E">
        <w:rPr>
          <w:rFonts w:cs="David"/>
          <w:sz w:val="28"/>
          <w:szCs w:val="28"/>
        </w:rPr>
        <w:t> </w:t>
      </w:r>
      <w:r w:rsidR="005C7C5F" w:rsidRPr="0004711E">
        <w:rPr>
          <w:rFonts w:cs="David" w:hint="cs"/>
          <w:sz w:val="28"/>
          <w:szCs w:val="28"/>
          <w:rtl/>
        </w:rPr>
        <w:t xml:space="preserve">באופן מסורתי, שימש המשפט הבינלאומי להסדרת תחומים בהם הריבונויות של המדינות היו עלולות להתנגש ביניהן, וליצור כלים משפטיים מחייבים שיאפשרו את מימוש הריבונות והאינטרסים המשותפים של המדינות. ככל שהתרבו הכללים שנקבעו </w:t>
      </w:r>
      <w:r w:rsidR="005C7C5F">
        <w:rPr>
          <w:rFonts w:cs="David" w:hint="cs"/>
          <w:sz w:val="28"/>
          <w:szCs w:val="28"/>
          <w:rtl/>
        </w:rPr>
        <w:t>על ידי</w:t>
      </w:r>
      <w:r w:rsidR="005C7C5F" w:rsidRPr="0004711E">
        <w:rPr>
          <w:rFonts w:cs="David" w:hint="cs"/>
          <w:sz w:val="28"/>
          <w:szCs w:val="28"/>
          <w:rtl/>
        </w:rPr>
        <w:t xml:space="preserve"> המשפט הבינלאומי, חל פיחות בעיקרון הריבונות, מפני שמדינות דרשו ממדינות אחרות לפעול לפי יותר כללים "חיצוניים", שלא בהכרח התקבלו בהסכמת כלל המדינות. יש שראו בעצם הפעולה לפי כללי המשפט הבינלאומי חלק מעיקרון הריבונות עצמו, שבו מדינות </w:t>
      </w:r>
      <w:r w:rsidR="005C7C5F" w:rsidRPr="0004711E">
        <w:rPr>
          <w:rFonts w:cs="David"/>
          <w:sz w:val="28"/>
          <w:szCs w:val="28"/>
          <w:rtl/>
        </w:rPr>
        <w:t>–</w:t>
      </w:r>
      <w:r w:rsidR="005C7C5F" w:rsidRPr="0004711E">
        <w:rPr>
          <w:rFonts w:cs="David" w:hint="cs"/>
          <w:sz w:val="28"/>
          <w:szCs w:val="28"/>
          <w:rtl/>
        </w:rPr>
        <w:t xml:space="preserve"> במסגרת מימוש ריבונותן - החליטו וולונטארית לכבול עצמן בכללים בינלאומיים מחייבים על מנת להיות חלק מהקהילה הבינלאומית. אחרים סברו שעיקרון הריבונות היה כפוף מלכתחילה למשפט הבינלאומי, שקדם לרעיון ריבונות המדינות, והוא בעל תכולה שמשתנה בהיקפה, בהתאם לקביעות המשפט הבינלאומי מעת לעת ("ריבונות יורדת")</w:t>
      </w:r>
      <w:r w:rsidR="005C7C5F" w:rsidRPr="0004711E">
        <w:rPr>
          <w:rStyle w:val="a7"/>
          <w:rFonts w:cs="David"/>
          <w:sz w:val="28"/>
          <w:szCs w:val="28"/>
          <w:rtl/>
        </w:rPr>
        <w:footnoteReference w:id="72"/>
      </w:r>
      <w:r w:rsidR="005C7C5F" w:rsidRPr="0004711E">
        <w:rPr>
          <w:rFonts w:cs="David" w:hint="cs"/>
          <w:sz w:val="28"/>
          <w:szCs w:val="28"/>
          <w:rtl/>
        </w:rPr>
        <w:t xml:space="preserve">. המאה העשרים גלגלה לפתחן של מדינות העולם אתגרים רבים בעלי מאפיינים גלובאליים, כגון בעיות אקלים וטרור. התמודדות הקהילה הבינלאומית עם האתגרים הללו הובילה להתרחבות משמעותית של תחומי העיסוק </w:t>
      </w:r>
      <w:r w:rsidR="005C7C5F" w:rsidRPr="0004711E">
        <w:rPr>
          <w:rFonts w:cs="David" w:hint="cs"/>
          <w:sz w:val="28"/>
          <w:szCs w:val="28"/>
          <w:rtl/>
        </w:rPr>
        <w:lastRenderedPageBreak/>
        <w:t>של המשפט הבינלאומי. שיאה של מגמה זו ניכר לאחר פיגועי הטרור בארצות הברית ב-11 בספטמבר 2001 והמאבק העולמי בטרור שהחל לאחריהם.</w:t>
      </w:r>
    </w:p>
    <w:p w:rsidR="005C7C5F" w:rsidRPr="0004711E" w:rsidRDefault="005C7C5F" w:rsidP="005C7C5F">
      <w:pPr>
        <w:spacing w:after="0" w:line="360" w:lineRule="auto"/>
        <w:jc w:val="both"/>
        <w:rPr>
          <w:rFonts w:cs="David"/>
          <w:sz w:val="28"/>
          <w:szCs w:val="28"/>
          <w:rtl/>
        </w:rPr>
      </w:pPr>
    </w:p>
    <w:p w:rsidR="005C7C5F" w:rsidRPr="0004711E" w:rsidRDefault="005C7C5F" w:rsidP="005C7C5F">
      <w:pPr>
        <w:spacing w:after="0" w:line="360" w:lineRule="auto"/>
        <w:jc w:val="both"/>
        <w:rPr>
          <w:rFonts w:cs="David"/>
          <w:sz w:val="28"/>
          <w:szCs w:val="28"/>
          <w:rtl/>
        </w:rPr>
      </w:pPr>
      <w:r w:rsidRPr="0004711E">
        <w:rPr>
          <w:rFonts w:cs="David" w:hint="cs"/>
          <w:sz w:val="28"/>
          <w:szCs w:val="28"/>
          <w:rtl/>
        </w:rPr>
        <w:t>דומה שמשפט זכויות האדם הבינלאומי נוגס בעיקרון הריבונות יותר מכל תחום אחר. משפט זכויות האדם התפתח באופן דרמטי החל מהמחצית השנייה של המאה העשרים, בעקבות זוועות מלחמת העולם השנייה. מגילת האומות המאוחדות משנת 1945, אשר כוננה את ארגון האומות המאוחדות, קבעה כי יש לפתור את הסכסוכים בין החברות בארגון באמצעי שלום, כך שהשלום והביטחון העולמיים והצדק לא יהיו בסכנה</w:t>
      </w:r>
      <w:r w:rsidRPr="0004711E">
        <w:rPr>
          <w:rStyle w:val="a7"/>
          <w:rFonts w:cs="David"/>
          <w:sz w:val="28"/>
          <w:szCs w:val="28"/>
          <w:rtl/>
        </w:rPr>
        <w:footnoteReference w:id="73"/>
      </w:r>
      <w:r w:rsidRPr="0004711E">
        <w:rPr>
          <w:rFonts w:cs="David" w:hint="cs"/>
          <w:sz w:val="28"/>
          <w:szCs w:val="28"/>
          <w:rtl/>
        </w:rPr>
        <w:t>. עוד קבעה המגילה איסור על שימוש בכוח או על איום בשימוש בכוח בין המדינות החברות</w:t>
      </w:r>
      <w:r w:rsidRPr="0004711E">
        <w:rPr>
          <w:rStyle w:val="a7"/>
          <w:rFonts w:cs="David"/>
          <w:sz w:val="28"/>
          <w:szCs w:val="28"/>
          <w:rtl/>
        </w:rPr>
        <w:footnoteReference w:id="74"/>
      </w:r>
      <w:r w:rsidRPr="0004711E">
        <w:rPr>
          <w:rFonts w:cs="David" w:hint="cs"/>
          <w:sz w:val="28"/>
          <w:szCs w:val="28"/>
          <w:rtl/>
        </w:rPr>
        <w:t xml:space="preserve">. במהלך שנות קיומו של האו"ם אף החלה לקנות אחיזה התפיסה שכיבוד זכויות אדם בעולם קשור בטבורו לשלום העולמי וכי ישנם מצבים בהם יש להגן על תושבי מדינה מפני הפרת זכויות האדם שלהם </w:t>
      </w:r>
      <w:r>
        <w:rPr>
          <w:rFonts w:cs="David" w:hint="cs"/>
          <w:sz w:val="28"/>
          <w:szCs w:val="28"/>
          <w:rtl/>
        </w:rPr>
        <w:t>על ידי</w:t>
      </w:r>
      <w:r w:rsidRPr="0004711E">
        <w:rPr>
          <w:rFonts w:cs="David" w:hint="cs"/>
          <w:sz w:val="28"/>
          <w:szCs w:val="28"/>
          <w:rtl/>
        </w:rPr>
        <w:t xml:space="preserve"> המדינה בה הם חיים</w:t>
      </w:r>
      <w:r w:rsidRPr="0004711E">
        <w:rPr>
          <w:rStyle w:val="a7"/>
          <w:rFonts w:cs="David"/>
          <w:sz w:val="28"/>
          <w:szCs w:val="28"/>
          <w:rtl/>
        </w:rPr>
        <w:footnoteReference w:id="75"/>
      </w:r>
      <w:r w:rsidRPr="0004711E">
        <w:rPr>
          <w:rFonts w:cs="David" w:hint="cs"/>
          <w:sz w:val="28"/>
          <w:szCs w:val="28"/>
          <w:rtl/>
        </w:rPr>
        <w:t>. יחד עם זאת, מגילת האו"ם לא הסדירה את המתח בין עיקרון הריבונות לכיבוד זכויות האדם והיא הצהירה על קיומם וכיבודם של שני העקרונות גם יחד</w:t>
      </w:r>
      <w:r w:rsidRPr="0004711E">
        <w:rPr>
          <w:rStyle w:val="a7"/>
          <w:rFonts w:cs="David"/>
          <w:sz w:val="28"/>
          <w:szCs w:val="28"/>
          <w:rtl/>
        </w:rPr>
        <w:footnoteReference w:id="76"/>
      </w:r>
      <w:r w:rsidRPr="0004711E">
        <w:rPr>
          <w:rFonts w:cs="David" w:hint="cs"/>
          <w:sz w:val="28"/>
          <w:szCs w:val="28"/>
          <w:rtl/>
        </w:rPr>
        <w:t>. נהוג לומר, שהעובדה שלפי סעיף 2(7) למגילת האו"ם, האו"ם לא יתערב בענייניה הפנימיים של המדינה</w:t>
      </w:r>
      <w:r>
        <w:rPr>
          <w:rFonts w:cs="David" w:hint="cs"/>
          <w:sz w:val="28"/>
          <w:szCs w:val="28"/>
          <w:rtl/>
        </w:rPr>
        <w:t>,</w:t>
      </w:r>
      <w:r w:rsidRPr="0004711E">
        <w:rPr>
          <w:rFonts w:cs="David" w:hint="cs"/>
          <w:sz w:val="28"/>
          <w:szCs w:val="28"/>
          <w:rtl/>
        </w:rPr>
        <w:t xml:space="preserve"> אינה מונעת ממנו להתערב בעניינים הנוגעים לזכויות אדם, מפני שאלה מוכרות כעניין בינלאומי</w:t>
      </w:r>
      <w:r w:rsidRPr="0004711E">
        <w:rPr>
          <w:rStyle w:val="a7"/>
          <w:rFonts w:cs="David"/>
          <w:sz w:val="28"/>
          <w:szCs w:val="28"/>
          <w:rtl/>
        </w:rPr>
        <w:footnoteReference w:id="77"/>
      </w:r>
      <w:r w:rsidRPr="0004711E">
        <w:rPr>
          <w:rFonts w:cs="David" w:hint="cs"/>
          <w:sz w:val="28"/>
          <w:szCs w:val="28"/>
          <w:rtl/>
        </w:rPr>
        <w:t>. עם זאת, מנגנוני האכיפה של האו"ם בתחום זכויות האדם היו חלשים בעשורים הראשונים לקיומו של הארגון וזכויות האדם נתפסו בעיקר כביטוי לריבונותן של המדינות שאמונות על אכיפת</w:t>
      </w:r>
      <w:r>
        <w:rPr>
          <w:rFonts w:cs="David" w:hint="cs"/>
          <w:sz w:val="28"/>
          <w:szCs w:val="28"/>
          <w:rtl/>
        </w:rPr>
        <w:t>ן</w:t>
      </w:r>
      <w:r w:rsidRPr="0004711E">
        <w:rPr>
          <w:rStyle w:val="a7"/>
          <w:rFonts w:cs="David"/>
          <w:sz w:val="28"/>
          <w:szCs w:val="28"/>
          <w:rtl/>
        </w:rPr>
        <w:footnoteReference w:id="78"/>
      </w:r>
      <w:r w:rsidRPr="0004711E">
        <w:rPr>
          <w:rFonts w:cs="David" w:hint="cs"/>
          <w:sz w:val="28"/>
          <w:szCs w:val="28"/>
          <w:rtl/>
        </w:rPr>
        <w:t xml:space="preserve">. </w:t>
      </w:r>
    </w:p>
    <w:p w:rsidR="005C7C5F" w:rsidRPr="0004711E" w:rsidRDefault="005C7C5F" w:rsidP="005C7C5F">
      <w:pPr>
        <w:spacing w:after="0" w:line="360" w:lineRule="auto"/>
        <w:jc w:val="both"/>
        <w:rPr>
          <w:rFonts w:cs="David"/>
          <w:sz w:val="28"/>
          <w:szCs w:val="28"/>
          <w:rtl/>
        </w:rPr>
      </w:pPr>
    </w:p>
    <w:p w:rsidR="00BD1A85" w:rsidRDefault="005C7C5F" w:rsidP="005C7C5F">
      <w:pPr>
        <w:spacing w:after="0" w:line="360" w:lineRule="auto"/>
        <w:jc w:val="both"/>
        <w:rPr>
          <w:rFonts w:cs="David"/>
          <w:sz w:val="28"/>
          <w:szCs w:val="28"/>
          <w:rtl/>
        </w:rPr>
      </w:pPr>
      <w:r w:rsidRPr="0004711E">
        <w:rPr>
          <w:rFonts w:cs="David" w:hint="cs"/>
          <w:sz w:val="28"/>
          <w:szCs w:val="28"/>
          <w:rtl/>
        </w:rPr>
        <w:t xml:space="preserve">בעשורים האחרונים, ובמיוחד לאחר סיום עידן המלחמה הקרה, התפתחו והשתכללו מאוד מנגנוני האכיפה הבינלאומיים בתחום זכויות האדם, שהובילו לגידול ניכר גם בפעילותם של ארגוני זכויות אדם לאומיים ובינלאומיים, שהגדילו מאוד את המודעות לתחום, מה שבתורו הוביל לגידול נוסף בכוחם של המנגנונים הבינלאומיים. בית הדין האירופי לזכויות אדם, שפועל לפי האמנה האירופית לזכויות אדם, הוא דוגמה לטריבונאל בינלאומי שכוחו והשפעתו גדלו באופן דרמטי </w:t>
      </w:r>
      <w:r w:rsidRPr="0004711E">
        <w:rPr>
          <w:rFonts w:cs="David" w:hint="cs"/>
          <w:sz w:val="28"/>
          <w:szCs w:val="28"/>
          <w:rtl/>
        </w:rPr>
        <w:lastRenderedPageBreak/>
        <w:t>בעשורים האחרונים. גם הקמתו של בית הדין הפלילי הבינלאומי בהאג ותחילת פעולתו בשנת 2002 היא דוגמה להתחזקות המגמה המדוברת, שניצנים לה נראו בטריבונאלים ייעודיים שהוקמו עוד קודם לכן</w:t>
      </w:r>
      <w:r w:rsidRPr="0004711E">
        <w:rPr>
          <w:rStyle w:val="a7"/>
          <w:rFonts w:cs="David"/>
          <w:sz w:val="28"/>
          <w:szCs w:val="28"/>
          <w:rtl/>
        </w:rPr>
        <w:footnoteReference w:id="79"/>
      </w:r>
      <w:r w:rsidRPr="0004711E">
        <w:rPr>
          <w:rFonts w:cs="David" w:hint="cs"/>
          <w:sz w:val="28"/>
          <w:szCs w:val="28"/>
          <w:rtl/>
        </w:rPr>
        <w:t xml:space="preserve">. </w:t>
      </w:r>
    </w:p>
    <w:p w:rsidR="00BD1A85" w:rsidRDefault="00BD1A85" w:rsidP="005C7C5F">
      <w:pPr>
        <w:spacing w:after="0" w:line="360" w:lineRule="auto"/>
        <w:jc w:val="both"/>
        <w:rPr>
          <w:rFonts w:cs="David"/>
          <w:sz w:val="28"/>
          <w:szCs w:val="28"/>
          <w:rtl/>
        </w:rPr>
      </w:pPr>
    </w:p>
    <w:p w:rsidR="005C7C5F" w:rsidRPr="0004711E" w:rsidRDefault="005C7C5F" w:rsidP="005C7C5F">
      <w:pPr>
        <w:spacing w:after="0" w:line="360" w:lineRule="auto"/>
        <w:jc w:val="both"/>
        <w:rPr>
          <w:rFonts w:cs="David"/>
          <w:sz w:val="28"/>
          <w:szCs w:val="28"/>
          <w:rtl/>
        </w:rPr>
      </w:pPr>
      <w:r w:rsidRPr="0004711E">
        <w:rPr>
          <w:rFonts w:cs="David" w:hint="cs"/>
          <w:sz w:val="28"/>
          <w:szCs w:val="28"/>
          <w:rtl/>
        </w:rPr>
        <w:t>התחזקו</w:t>
      </w:r>
      <w:r>
        <w:rPr>
          <w:rFonts w:cs="David" w:hint="cs"/>
          <w:sz w:val="28"/>
          <w:szCs w:val="28"/>
          <w:rtl/>
        </w:rPr>
        <w:t>ת</w:t>
      </w:r>
      <w:r w:rsidRPr="0004711E">
        <w:rPr>
          <w:rFonts w:cs="David" w:hint="cs"/>
          <w:sz w:val="28"/>
          <w:szCs w:val="28"/>
          <w:rtl/>
        </w:rPr>
        <w:t xml:space="preserve"> משפט זכויות האדם הבינלאומי הובילה גם מדינות לחוקק חוקים שיאפשרו העמדה לדין בטריבונאלים הפנימיים שלהן בגין פשעי מלחמה שבוצעו בכל רחבי תבל, לפי עקרון הסמכות האוניברסאלית (</w:t>
      </w:r>
      <w:r w:rsidRPr="0004711E">
        <w:rPr>
          <w:rFonts w:cs="David"/>
          <w:sz w:val="28"/>
          <w:szCs w:val="28"/>
        </w:rPr>
        <w:t>universal jurisdiction</w:t>
      </w:r>
      <w:r w:rsidRPr="0004711E">
        <w:rPr>
          <w:rFonts w:cs="David" w:hint="cs"/>
          <w:sz w:val="28"/>
          <w:szCs w:val="28"/>
          <w:rtl/>
        </w:rPr>
        <w:t xml:space="preserve">). על מנת לעודד מדינות לפעול בהתאם למשפט </w:t>
      </w:r>
      <w:r>
        <w:rPr>
          <w:rFonts w:cs="David" w:hint="cs"/>
          <w:sz w:val="28"/>
          <w:szCs w:val="28"/>
          <w:rtl/>
        </w:rPr>
        <w:t xml:space="preserve">הבינלאומי </w:t>
      </w:r>
      <w:r w:rsidRPr="0004711E">
        <w:rPr>
          <w:rFonts w:cs="David" w:hint="cs"/>
          <w:sz w:val="28"/>
          <w:szCs w:val="28"/>
          <w:rtl/>
        </w:rPr>
        <w:t>בטרם יתערבו המנגנונים הבינלאומיים, נקבעו הוראות בהסדרים השונים המפעילים את המנגנונים, שנותנים עדיפות לטיפולן הראשוני של המדינות בתחום. כך, לדוגמה, קובע עיקרון המשלימות (</w:t>
      </w:r>
      <w:r w:rsidRPr="0004711E">
        <w:rPr>
          <w:rFonts w:cs="David"/>
          <w:sz w:val="28"/>
          <w:szCs w:val="28"/>
        </w:rPr>
        <w:t>complementarity</w:t>
      </w:r>
      <w:r w:rsidRPr="0004711E">
        <w:rPr>
          <w:rFonts w:cs="David" w:hint="cs"/>
          <w:sz w:val="28"/>
          <w:szCs w:val="28"/>
          <w:rtl/>
        </w:rPr>
        <w:t xml:space="preserve">), הקבוע בסעיף </w:t>
      </w:r>
      <w:r w:rsidRPr="0004711E">
        <w:rPr>
          <w:rFonts w:cs="David"/>
          <w:sz w:val="28"/>
          <w:szCs w:val="28"/>
        </w:rPr>
        <w:t>17(1)(a)</w:t>
      </w:r>
      <w:r w:rsidRPr="0004711E">
        <w:rPr>
          <w:rFonts w:cs="David" w:hint="cs"/>
          <w:sz w:val="28"/>
          <w:szCs w:val="28"/>
          <w:rtl/>
        </w:rPr>
        <w:t xml:space="preserve"> לאמנת רומא, כי בית הדין הפלילי הבינלאומי לא ידון במקרה שנחקר או נדון בבית משפט במדינה בעלת הסמכות על המקרה, אלא אם כן המדינה אינה רוצה או </w:t>
      </w:r>
      <w:r>
        <w:rPr>
          <w:rFonts w:cs="David" w:hint="cs"/>
          <w:sz w:val="28"/>
          <w:szCs w:val="28"/>
          <w:rtl/>
        </w:rPr>
        <w:t xml:space="preserve">אינה </w:t>
      </w:r>
      <w:r w:rsidRPr="0004711E">
        <w:rPr>
          <w:rFonts w:cs="David" w:hint="cs"/>
          <w:sz w:val="28"/>
          <w:szCs w:val="28"/>
          <w:rtl/>
        </w:rPr>
        <w:t>יכולה באמת לחקור או להעמיד לדין</w:t>
      </w:r>
      <w:r w:rsidRPr="0004711E">
        <w:rPr>
          <w:rStyle w:val="a7"/>
          <w:rFonts w:cs="David"/>
          <w:sz w:val="28"/>
          <w:szCs w:val="28"/>
          <w:rtl/>
        </w:rPr>
        <w:footnoteReference w:id="80"/>
      </w:r>
      <w:r w:rsidRPr="0004711E">
        <w:rPr>
          <w:rFonts w:cs="David" w:hint="cs"/>
          <w:sz w:val="28"/>
          <w:szCs w:val="28"/>
          <w:rtl/>
        </w:rPr>
        <w:t xml:space="preserve">. כללים דומים קבועים גם בחוקיהן של </w:t>
      </w:r>
      <w:r>
        <w:rPr>
          <w:rFonts w:cs="David" w:hint="cs"/>
          <w:sz w:val="28"/>
          <w:szCs w:val="28"/>
          <w:rtl/>
        </w:rPr>
        <w:t>מרבית</w:t>
      </w:r>
      <w:r w:rsidRPr="0004711E">
        <w:rPr>
          <w:rFonts w:cs="David" w:hint="cs"/>
          <w:sz w:val="28"/>
          <w:szCs w:val="28"/>
          <w:rtl/>
        </w:rPr>
        <w:t xml:space="preserve"> המדינות</w:t>
      </w:r>
      <w:r>
        <w:rPr>
          <w:rFonts w:cs="David" w:hint="cs"/>
          <w:sz w:val="28"/>
          <w:szCs w:val="28"/>
          <w:rtl/>
        </w:rPr>
        <w:t>,</w:t>
      </w:r>
      <w:r w:rsidRPr="0004711E">
        <w:rPr>
          <w:rFonts w:cs="David" w:hint="cs"/>
          <w:sz w:val="28"/>
          <w:szCs w:val="28"/>
          <w:rtl/>
        </w:rPr>
        <w:t xml:space="preserve"> בהן קיימת אפשרות העמדה לדין מכוח סמכות אוניברסאלית, וזאת מכוח עקרון השיוריות (</w:t>
      </w:r>
      <w:r w:rsidRPr="0004711E">
        <w:rPr>
          <w:rFonts w:cs="David"/>
          <w:sz w:val="28"/>
          <w:szCs w:val="28"/>
        </w:rPr>
        <w:t>subsidiarity</w:t>
      </w:r>
      <w:r w:rsidRPr="0004711E">
        <w:rPr>
          <w:rFonts w:cs="David" w:hint="cs"/>
          <w:sz w:val="28"/>
          <w:szCs w:val="28"/>
          <w:rtl/>
        </w:rPr>
        <w:t xml:space="preserve">), המקביל לעקרון המשלימות. </w:t>
      </w:r>
      <w:r>
        <w:rPr>
          <w:rFonts w:cs="David" w:hint="cs"/>
          <w:sz w:val="28"/>
          <w:szCs w:val="28"/>
          <w:rtl/>
        </w:rPr>
        <w:t xml:space="preserve">עקרונות אלה מעודדים מדינות לאכוף הפרות של זכויות אדם ושל המשפט הבינלאומי ההומניטארי בשטחן או ע"י נתיניהן, על מנת להבטיח כי הפרות אלה לא ידונו מחוץ לשטחן של המדינות. הם גם עולים בקנה אחד עם </w:t>
      </w:r>
      <w:r w:rsidRPr="0004711E">
        <w:rPr>
          <w:rFonts w:cs="David" w:hint="cs"/>
          <w:sz w:val="28"/>
          <w:szCs w:val="28"/>
          <w:rtl/>
        </w:rPr>
        <w:t>חוב</w:t>
      </w:r>
      <w:r>
        <w:rPr>
          <w:rFonts w:cs="David" w:hint="cs"/>
          <w:sz w:val="28"/>
          <w:szCs w:val="28"/>
          <w:rtl/>
        </w:rPr>
        <w:t>ת</w:t>
      </w:r>
      <w:r w:rsidRPr="0004711E">
        <w:rPr>
          <w:rFonts w:cs="David" w:hint="cs"/>
          <w:sz w:val="28"/>
          <w:szCs w:val="28"/>
          <w:rtl/>
        </w:rPr>
        <w:t>ה של כל מדינה שחתומה על אמנות ג'נבה להעמיד לדין (וממילא גם לחקור לשם כך) את מי שביצע אחת מההפרות החמורות על האמנות</w:t>
      </w:r>
      <w:r w:rsidRPr="0004711E">
        <w:rPr>
          <w:rStyle w:val="a7"/>
          <w:rFonts w:cs="David"/>
          <w:sz w:val="28"/>
          <w:szCs w:val="28"/>
          <w:rtl/>
        </w:rPr>
        <w:footnoteReference w:id="81"/>
      </w:r>
      <w:r w:rsidRPr="0004711E">
        <w:rPr>
          <w:rFonts w:cs="David" w:hint="cs"/>
          <w:sz w:val="28"/>
          <w:szCs w:val="28"/>
          <w:rtl/>
        </w:rPr>
        <w:t>.</w:t>
      </w:r>
    </w:p>
    <w:p w:rsidR="005C7C5F" w:rsidRPr="0004711E" w:rsidRDefault="005C7C5F" w:rsidP="005C7C5F">
      <w:pPr>
        <w:spacing w:after="0" w:line="360" w:lineRule="auto"/>
        <w:jc w:val="both"/>
        <w:rPr>
          <w:rFonts w:cs="David"/>
          <w:sz w:val="28"/>
          <w:szCs w:val="28"/>
          <w:rtl/>
        </w:rPr>
      </w:pPr>
    </w:p>
    <w:p w:rsidR="005C7C5F" w:rsidRPr="0004711E" w:rsidRDefault="005C7C5F" w:rsidP="00DB7F53">
      <w:pPr>
        <w:spacing w:after="0" w:line="360" w:lineRule="auto"/>
        <w:jc w:val="both"/>
        <w:rPr>
          <w:rFonts w:cs="David"/>
          <w:sz w:val="28"/>
          <w:szCs w:val="28"/>
          <w:rtl/>
        </w:rPr>
      </w:pPr>
      <w:r w:rsidRPr="0004711E">
        <w:rPr>
          <w:rFonts w:cs="David" w:hint="cs"/>
          <w:sz w:val="28"/>
          <w:szCs w:val="28"/>
          <w:rtl/>
        </w:rPr>
        <w:t>התחזקות משפט זכויות האדם ניתנת להמחשה גם באמצעות פעילות</w:t>
      </w:r>
      <w:r>
        <w:rPr>
          <w:rFonts w:cs="David" w:hint="cs"/>
          <w:sz w:val="28"/>
          <w:szCs w:val="28"/>
          <w:rtl/>
        </w:rPr>
        <w:t>ן</w:t>
      </w:r>
      <w:r w:rsidRPr="0004711E">
        <w:rPr>
          <w:rFonts w:cs="David" w:hint="cs"/>
          <w:sz w:val="28"/>
          <w:szCs w:val="28"/>
          <w:rtl/>
        </w:rPr>
        <w:t xml:space="preserve"> הרבה של ועדות אמנות זכויות האדם ומנגנוני הדיווח והמעקב</w:t>
      </w:r>
      <w:r>
        <w:rPr>
          <w:rFonts w:cs="David" w:hint="cs"/>
          <w:sz w:val="28"/>
          <w:szCs w:val="28"/>
          <w:rtl/>
        </w:rPr>
        <w:t>,</w:t>
      </w:r>
      <w:r w:rsidRPr="0004711E">
        <w:rPr>
          <w:rFonts w:cs="David" w:hint="cs"/>
          <w:sz w:val="28"/>
          <w:szCs w:val="28"/>
          <w:rtl/>
        </w:rPr>
        <w:t xml:space="preserve"> שה</w:t>
      </w:r>
      <w:r>
        <w:rPr>
          <w:rFonts w:cs="David" w:hint="cs"/>
          <w:sz w:val="28"/>
          <w:szCs w:val="28"/>
          <w:rtl/>
        </w:rPr>
        <w:t>ן</w:t>
      </w:r>
      <w:r w:rsidRPr="0004711E">
        <w:rPr>
          <w:rFonts w:cs="David" w:hint="cs"/>
          <w:sz w:val="28"/>
          <w:szCs w:val="28"/>
          <w:rtl/>
        </w:rPr>
        <w:t xml:space="preserve"> מקיימות ביחס למדינות החברות.</w:t>
      </w:r>
    </w:p>
    <w:p w:rsidR="005C7C5F" w:rsidRPr="0004711E" w:rsidRDefault="005C7C5F" w:rsidP="005C7C5F">
      <w:pPr>
        <w:spacing w:after="0" w:line="360" w:lineRule="auto"/>
        <w:jc w:val="both"/>
        <w:rPr>
          <w:rFonts w:cs="David"/>
          <w:sz w:val="28"/>
          <w:szCs w:val="28"/>
          <w:rtl/>
        </w:rPr>
      </w:pPr>
    </w:p>
    <w:p w:rsidR="007814BF" w:rsidRPr="0004711E" w:rsidRDefault="007814BF" w:rsidP="007814BF">
      <w:pPr>
        <w:spacing w:after="0" w:line="360" w:lineRule="auto"/>
        <w:jc w:val="both"/>
        <w:rPr>
          <w:rFonts w:cs="David"/>
          <w:sz w:val="28"/>
          <w:szCs w:val="28"/>
          <w:rtl/>
        </w:rPr>
      </w:pPr>
      <w:r>
        <w:rPr>
          <w:rFonts w:cs="David" w:hint="cs"/>
          <w:sz w:val="28"/>
          <w:szCs w:val="28"/>
          <w:rtl/>
        </w:rPr>
        <w:t xml:space="preserve">התגברות השימוש בוועדות חקירה בינלאומיות ככלי לשמירה על זכויות אדם בעולם זכתה גם לביקורת בעולם. </w:t>
      </w:r>
      <w:r w:rsidRPr="0004711E">
        <w:rPr>
          <w:rFonts w:cs="David" w:hint="cs"/>
          <w:sz w:val="28"/>
          <w:szCs w:val="28"/>
          <w:rtl/>
        </w:rPr>
        <w:t>מעבר לפגיעה בעיקרון הריבונות המסורתית</w:t>
      </w:r>
      <w:r>
        <w:rPr>
          <w:rFonts w:cs="David" w:hint="cs"/>
          <w:sz w:val="28"/>
          <w:szCs w:val="28"/>
          <w:rtl/>
        </w:rPr>
        <w:t>, נטען</w:t>
      </w:r>
      <w:r w:rsidRPr="0004711E">
        <w:rPr>
          <w:rFonts w:cs="David" w:hint="cs"/>
          <w:sz w:val="28"/>
          <w:szCs w:val="28"/>
          <w:rtl/>
        </w:rPr>
        <w:t xml:space="preserve"> </w:t>
      </w:r>
      <w:r w:rsidRPr="0004711E">
        <w:rPr>
          <w:rFonts w:cs="David" w:hint="cs"/>
          <w:sz w:val="28"/>
          <w:szCs w:val="28"/>
          <w:rtl/>
        </w:rPr>
        <w:lastRenderedPageBreak/>
        <w:t xml:space="preserve">חלק מהגופים </w:t>
      </w:r>
      <w:r>
        <w:rPr>
          <w:rFonts w:cs="David" w:hint="cs"/>
          <w:sz w:val="28"/>
          <w:szCs w:val="28"/>
          <w:rtl/>
        </w:rPr>
        <w:t>הממנים את הוועדות האמורות מנצלים לרעה את כוחם הפוליטי</w:t>
      </w:r>
      <w:r w:rsidRPr="0004711E">
        <w:rPr>
          <w:rFonts w:cs="David" w:hint="cs"/>
          <w:sz w:val="28"/>
          <w:szCs w:val="28"/>
          <w:rtl/>
        </w:rPr>
        <w:t xml:space="preserve">. </w:t>
      </w:r>
      <w:r w:rsidRPr="00C17D11">
        <w:rPr>
          <w:rFonts w:cs="David" w:hint="cs"/>
          <w:sz w:val="28"/>
          <w:szCs w:val="28"/>
          <w:rtl/>
        </w:rPr>
        <w:t>נדגים בעיה זו בהמשך העבודה, כאשר נתייחס למועצת זכויות האדם של האו"ם.</w:t>
      </w:r>
      <w:r w:rsidRPr="0004711E">
        <w:rPr>
          <w:rFonts w:cs="David" w:hint="cs"/>
          <w:sz w:val="28"/>
          <w:szCs w:val="28"/>
          <w:rtl/>
        </w:rPr>
        <w:t xml:space="preserve"> </w:t>
      </w:r>
    </w:p>
    <w:p w:rsidR="007814BF" w:rsidRPr="0004711E" w:rsidRDefault="007814BF" w:rsidP="007814BF">
      <w:pPr>
        <w:spacing w:after="0" w:line="360" w:lineRule="auto"/>
        <w:jc w:val="both"/>
        <w:rPr>
          <w:rFonts w:cs="David"/>
          <w:sz w:val="28"/>
          <w:szCs w:val="28"/>
          <w:rtl/>
        </w:rPr>
      </w:pPr>
    </w:p>
    <w:p w:rsidR="004215E0" w:rsidRPr="0004711E" w:rsidRDefault="004215E0" w:rsidP="004215E0">
      <w:pPr>
        <w:spacing w:after="0" w:line="360" w:lineRule="auto"/>
        <w:jc w:val="both"/>
        <w:rPr>
          <w:rFonts w:cs="David"/>
          <w:sz w:val="28"/>
          <w:szCs w:val="28"/>
          <w:rtl/>
        </w:rPr>
      </w:pPr>
      <w:r>
        <w:rPr>
          <w:rFonts w:cs="David" w:hint="cs"/>
          <w:sz w:val="28"/>
          <w:szCs w:val="28"/>
          <w:rtl/>
        </w:rPr>
        <w:t xml:space="preserve">עוד בהקשר זה צוין, כי </w:t>
      </w:r>
      <w:r w:rsidRPr="0004711E">
        <w:rPr>
          <w:rFonts w:cs="David" w:hint="cs"/>
          <w:sz w:val="28"/>
          <w:szCs w:val="28"/>
          <w:rtl/>
        </w:rPr>
        <w:t xml:space="preserve">התעצמות כוחו של המשפט הבינלאומי גם הפכה אותו לכלי יעיל בעימותים מזוינים, כחלופה לכלים צבאיים מסורתיים. כך, בלוחמה המודרנית נעשה שימוש הולך וגובר בכלים משפטיים, לא רק </w:t>
      </w:r>
      <w:r>
        <w:rPr>
          <w:rFonts w:cs="David" w:hint="cs"/>
          <w:sz w:val="28"/>
          <w:szCs w:val="28"/>
          <w:rtl/>
        </w:rPr>
        <w:t>על ידי</w:t>
      </w:r>
      <w:r w:rsidRPr="0004711E">
        <w:rPr>
          <w:rFonts w:cs="David" w:hint="cs"/>
          <w:sz w:val="28"/>
          <w:szCs w:val="28"/>
          <w:rtl/>
        </w:rPr>
        <w:t xml:space="preserve"> מדינות אלא גם, ואולי בעיקר, </w:t>
      </w:r>
      <w:r>
        <w:rPr>
          <w:rFonts w:cs="David" w:hint="cs"/>
          <w:sz w:val="28"/>
          <w:szCs w:val="28"/>
          <w:rtl/>
        </w:rPr>
        <w:t>על ידי</w:t>
      </w:r>
      <w:r w:rsidRPr="0004711E">
        <w:rPr>
          <w:rFonts w:cs="David" w:hint="cs"/>
          <w:sz w:val="28"/>
          <w:szCs w:val="28"/>
          <w:rtl/>
        </w:rPr>
        <w:t xml:space="preserve"> גורמים אזרחיים לא ממשלתיים, כדי להחליש את היריב, לפגוע בלגיטימציה שלו וליטול ממנו הישגים בשדה הקרב באמצעות פגיעה בו במישורים אחרים: משפטיים, תקשורתיים, דיפלומטיים וכדומה. תופעה זו זכתה לכינוי "לוחמת משפט" (</w:t>
      </w:r>
      <w:r w:rsidRPr="0004711E">
        <w:rPr>
          <w:rFonts w:cs="David"/>
          <w:sz w:val="28"/>
          <w:szCs w:val="28"/>
        </w:rPr>
        <w:t>Lawfare</w:t>
      </w:r>
      <w:r w:rsidRPr="0004711E">
        <w:rPr>
          <w:rFonts w:cs="David" w:hint="cs"/>
          <w:sz w:val="28"/>
          <w:szCs w:val="28"/>
          <w:rtl/>
        </w:rPr>
        <w:t>), אשר הוגדרה (לאחר עדכון) כ"</w:t>
      </w:r>
      <w:r w:rsidRPr="0004711E">
        <w:rPr>
          <w:rFonts w:cs="David"/>
          <w:sz w:val="28"/>
          <w:szCs w:val="28"/>
        </w:rPr>
        <w:t>the strategy of using – or misusing – law as a substitute for traditional military means to achieve an operational objective</w:t>
      </w:r>
      <w:r w:rsidRPr="0004711E">
        <w:rPr>
          <w:rFonts w:cs="David" w:hint="cs"/>
          <w:sz w:val="28"/>
          <w:szCs w:val="28"/>
          <w:rtl/>
        </w:rPr>
        <w:t>"</w:t>
      </w:r>
      <w:r w:rsidRPr="0004711E">
        <w:rPr>
          <w:rStyle w:val="a7"/>
          <w:rFonts w:cs="David"/>
          <w:sz w:val="28"/>
          <w:szCs w:val="28"/>
          <w:rtl/>
        </w:rPr>
        <w:footnoteReference w:id="82"/>
      </w:r>
      <w:r w:rsidRPr="0004711E">
        <w:rPr>
          <w:rFonts w:cs="David" w:hint="cs"/>
          <w:sz w:val="28"/>
          <w:szCs w:val="28"/>
          <w:rtl/>
        </w:rPr>
        <w:t>. ניתן לראות, שהגדרתו המעודכנת של המונח כוללת גם שימוש חיובי במשפט כתחליף לכלים צבאיים מסורתיים, אך בדרך כלל נתפס השימוש במונח כמתייחס בעיקר לשימוש השלילי שנעשה במשפט בהקשר זה.</w:t>
      </w:r>
      <w:r>
        <w:rPr>
          <w:rFonts w:cs="David" w:hint="cs"/>
          <w:sz w:val="28"/>
          <w:szCs w:val="28"/>
          <w:rtl/>
        </w:rPr>
        <w:t xml:space="preserve"> יש המייחסים את השימוש הנרחב בוועדות חקירה בינלאומיות כרכיב נוסף במסגרת אותה "לוחמת משפט".</w:t>
      </w:r>
    </w:p>
    <w:p w:rsidR="004215E0" w:rsidRPr="0004711E" w:rsidRDefault="004215E0" w:rsidP="004215E0">
      <w:pPr>
        <w:spacing w:after="0" w:line="360" w:lineRule="auto"/>
        <w:jc w:val="both"/>
        <w:rPr>
          <w:rFonts w:cs="David"/>
          <w:sz w:val="28"/>
          <w:szCs w:val="28"/>
          <w:rtl/>
        </w:rPr>
      </w:pPr>
    </w:p>
    <w:p w:rsidR="007814BF" w:rsidRPr="0004711E" w:rsidRDefault="007814BF" w:rsidP="007814BF">
      <w:pPr>
        <w:spacing w:after="0" w:line="360" w:lineRule="auto"/>
        <w:jc w:val="both"/>
        <w:rPr>
          <w:rFonts w:cs="David"/>
          <w:sz w:val="28"/>
          <w:szCs w:val="28"/>
          <w:rtl/>
        </w:rPr>
      </w:pPr>
      <w:r>
        <w:rPr>
          <w:rFonts w:cs="David" w:hint="cs"/>
          <w:sz w:val="28"/>
          <w:szCs w:val="28"/>
          <w:rtl/>
        </w:rPr>
        <w:t>עוד טענה שנשמעת כנגד עבודתן</w:t>
      </w:r>
      <w:r w:rsidRPr="0004711E">
        <w:rPr>
          <w:rFonts w:cs="David" w:hint="cs"/>
          <w:sz w:val="28"/>
          <w:szCs w:val="28"/>
          <w:rtl/>
        </w:rPr>
        <w:t xml:space="preserve"> של </w:t>
      </w:r>
      <w:r>
        <w:rPr>
          <w:rFonts w:cs="David" w:hint="cs"/>
          <w:sz w:val="28"/>
          <w:szCs w:val="28"/>
          <w:rtl/>
        </w:rPr>
        <w:t>ועדות החקירה השונות</w:t>
      </w:r>
      <w:r w:rsidRPr="0004711E">
        <w:rPr>
          <w:rFonts w:cs="David" w:hint="cs"/>
          <w:sz w:val="28"/>
          <w:szCs w:val="28"/>
          <w:rtl/>
        </w:rPr>
        <w:t xml:space="preserve"> היא שעד היום התפתחו דיני הלחימה דרך שיח בין המדינות והמומחים למשפט בינלאומי שלהן ולא דרך "שופטים" חיצוניים. הקושי שמתעורר בפעולת </w:t>
      </w:r>
      <w:r>
        <w:rPr>
          <w:rFonts w:cs="David" w:hint="cs"/>
          <w:sz w:val="28"/>
          <w:szCs w:val="28"/>
          <w:rtl/>
        </w:rPr>
        <w:t>המנגנונים</w:t>
      </w:r>
      <w:r w:rsidRPr="0004711E">
        <w:rPr>
          <w:rFonts w:cs="David" w:hint="cs"/>
          <w:sz w:val="28"/>
          <w:szCs w:val="28"/>
          <w:rtl/>
        </w:rPr>
        <w:t xml:space="preserve"> של המשפט הפלילי הבינלאומי חמור אף יותר, מפני שבתחום דיני הלחימה יש הרבה סוגיות שלא ברור מה הדין בעניינן והן נתונות לפרשנות וליישום משתנה ממדינה למדינה, והעמדה לדין פלילי של אדם בגין יישום שייתפס כשגוי בידי שופט חיצוני היא פעולה אגרסיבית ולא סבירה. היא פוגעת בשיקול הדעת של מדינות המפרשות את דיני הלחימה בתוך מתחם סביר. מערכת המשפט הפלילי הבינלאומי אינה אמורה להחליף את המדינות בפירוש הדין. וכפי שכבר צוין, לא אחת, נעשה בה גם שימוש מניפולטיבי ולא ראוי.</w:t>
      </w:r>
    </w:p>
    <w:p w:rsidR="007814BF" w:rsidRPr="0004711E" w:rsidRDefault="007814BF" w:rsidP="007814BF">
      <w:pPr>
        <w:spacing w:after="0" w:line="360" w:lineRule="auto"/>
        <w:jc w:val="both"/>
        <w:rPr>
          <w:rFonts w:cs="David"/>
          <w:sz w:val="28"/>
          <w:szCs w:val="28"/>
          <w:rtl/>
        </w:rPr>
      </w:pPr>
    </w:p>
    <w:p w:rsidR="005C7C5F" w:rsidRPr="0004711E" w:rsidRDefault="005C7C5F" w:rsidP="005C7C5F">
      <w:pPr>
        <w:spacing w:after="0" w:line="360" w:lineRule="auto"/>
        <w:jc w:val="both"/>
        <w:rPr>
          <w:rFonts w:cs="David"/>
          <w:sz w:val="28"/>
          <w:szCs w:val="28"/>
          <w:rtl/>
        </w:rPr>
      </w:pPr>
      <w:r w:rsidRPr="0004711E">
        <w:rPr>
          <w:rFonts w:cs="David" w:hint="cs"/>
          <w:sz w:val="28"/>
          <w:szCs w:val="28"/>
          <w:rtl/>
        </w:rPr>
        <w:t>יש הטוענים</w:t>
      </w:r>
      <w:r w:rsidR="00DB7F53">
        <w:rPr>
          <w:rFonts w:cs="David" w:hint="cs"/>
          <w:sz w:val="28"/>
          <w:szCs w:val="28"/>
          <w:rtl/>
        </w:rPr>
        <w:t>,</w:t>
      </w:r>
      <w:r w:rsidRPr="0004711E">
        <w:rPr>
          <w:rFonts w:cs="David" w:hint="cs"/>
          <w:sz w:val="28"/>
          <w:szCs w:val="28"/>
          <w:rtl/>
        </w:rPr>
        <w:t xml:space="preserve"> כי התחזקותם של המוסדות הבינלאומיים והעובדה שהם מפעילים סמכויות שגוברות על סמכותם של הממשלים במדינות הדמוקרטיות פוגעת בדמוקרטיה עצמה, מפני שלאוכלוסייה במדינות הדמוקרטיות אין שליטה </w:t>
      </w:r>
      <w:r w:rsidRPr="0004711E">
        <w:rPr>
          <w:rFonts w:cs="David" w:hint="cs"/>
          <w:sz w:val="28"/>
          <w:szCs w:val="28"/>
          <w:rtl/>
        </w:rPr>
        <w:lastRenderedPageBreak/>
        <w:t>בתהליכים האלה באמצעות ההליך הדמוקרטי, והשליטה מועברת לידי קהילה פוליטית בינלאומית ערטילאית</w:t>
      </w:r>
      <w:r w:rsidRPr="0004711E">
        <w:rPr>
          <w:rStyle w:val="a7"/>
          <w:rFonts w:cs="David"/>
          <w:sz w:val="28"/>
          <w:szCs w:val="28"/>
          <w:rtl/>
        </w:rPr>
        <w:footnoteReference w:id="83"/>
      </w:r>
      <w:r w:rsidRPr="0004711E">
        <w:rPr>
          <w:rFonts w:cs="David" w:hint="cs"/>
          <w:sz w:val="28"/>
          <w:szCs w:val="28"/>
          <w:rtl/>
        </w:rPr>
        <w:t xml:space="preserve">. הטיעון הזה נכון אולי במידה מופחתת ביחס לעצם החלת הנורמות הבינלאומיות על המדינה, שבדרך כלל מצריכה הסכמה שלה, אך הוא תקף בהחלט ביחס לאכיפת הנורמות </w:t>
      </w:r>
      <w:r>
        <w:rPr>
          <w:rFonts w:cs="David" w:hint="cs"/>
          <w:sz w:val="28"/>
          <w:szCs w:val="28"/>
          <w:rtl/>
        </w:rPr>
        <w:t>על ידי</w:t>
      </w:r>
      <w:r w:rsidRPr="0004711E">
        <w:rPr>
          <w:rFonts w:cs="David" w:hint="cs"/>
          <w:sz w:val="28"/>
          <w:szCs w:val="28"/>
          <w:rtl/>
        </w:rPr>
        <w:t xml:space="preserve"> בתי דין בינלאומיים, ועדות מומחים ושאר המנגנונים הרלוונטיים.</w:t>
      </w:r>
    </w:p>
    <w:p w:rsidR="005C7C5F" w:rsidRPr="0004711E" w:rsidRDefault="005C7C5F" w:rsidP="005C7C5F">
      <w:pPr>
        <w:spacing w:after="0" w:line="360" w:lineRule="auto"/>
        <w:jc w:val="both"/>
        <w:rPr>
          <w:rFonts w:cs="David"/>
          <w:sz w:val="28"/>
          <w:szCs w:val="28"/>
          <w:rtl/>
        </w:rPr>
      </w:pPr>
    </w:p>
    <w:p w:rsidR="005C7C5F" w:rsidRPr="0004711E" w:rsidRDefault="005C7C5F" w:rsidP="005C7C5F">
      <w:pPr>
        <w:spacing w:after="0" w:line="360" w:lineRule="auto"/>
        <w:jc w:val="both"/>
        <w:rPr>
          <w:rFonts w:cs="David"/>
          <w:sz w:val="28"/>
          <w:szCs w:val="28"/>
          <w:rtl/>
        </w:rPr>
      </w:pPr>
      <w:r w:rsidRPr="0004711E">
        <w:rPr>
          <w:rFonts w:cs="David" w:hint="cs"/>
          <w:sz w:val="28"/>
          <w:szCs w:val="28"/>
          <w:rtl/>
        </w:rPr>
        <w:t xml:space="preserve">נשאלת השאלה: אם המשפט הבינלאומי נוגס בכוחן של המדינות, מדוע הן בכל זאת נוהגות על פיו? הספרות האקדמית </w:t>
      </w:r>
      <w:r>
        <w:rPr>
          <w:rFonts w:cs="David" w:hint="cs"/>
          <w:sz w:val="28"/>
          <w:szCs w:val="28"/>
          <w:rtl/>
        </w:rPr>
        <w:t xml:space="preserve">עוסקת רבות </w:t>
      </w:r>
      <w:r w:rsidRPr="0004711E">
        <w:rPr>
          <w:rFonts w:cs="David" w:hint="cs"/>
          <w:sz w:val="28"/>
          <w:szCs w:val="28"/>
          <w:rtl/>
        </w:rPr>
        <w:t>בעניין זה. נתייחס לכמה דוגמאות בולטות בלבד.</w:t>
      </w:r>
    </w:p>
    <w:p w:rsidR="005C7C5F" w:rsidRPr="0004711E" w:rsidRDefault="005C7C5F" w:rsidP="005C7C5F">
      <w:pPr>
        <w:spacing w:after="0" w:line="360" w:lineRule="auto"/>
        <w:jc w:val="both"/>
        <w:rPr>
          <w:rFonts w:cs="David"/>
          <w:sz w:val="28"/>
          <w:szCs w:val="28"/>
          <w:rtl/>
        </w:rPr>
      </w:pPr>
    </w:p>
    <w:p w:rsidR="005C7C5F" w:rsidRPr="0004711E" w:rsidRDefault="005C7C5F" w:rsidP="005C7C5F">
      <w:pPr>
        <w:spacing w:after="0" w:line="360" w:lineRule="auto"/>
        <w:jc w:val="both"/>
        <w:rPr>
          <w:rFonts w:cs="David"/>
          <w:sz w:val="28"/>
          <w:szCs w:val="28"/>
          <w:rtl/>
        </w:rPr>
      </w:pPr>
      <w:r w:rsidRPr="0004711E">
        <w:rPr>
          <w:rFonts w:cs="David" w:hint="cs"/>
          <w:sz w:val="28"/>
          <w:szCs w:val="28"/>
          <w:rtl/>
        </w:rPr>
        <w:t>ראשית יש לומר, כי יש רגליים לטענה, שבאו</w:t>
      </w:r>
      <w:r>
        <w:rPr>
          <w:rFonts w:cs="David" w:hint="cs"/>
          <w:sz w:val="28"/>
          <w:szCs w:val="28"/>
          <w:rtl/>
        </w:rPr>
        <w:t>פן כללי זוכה המשפט הבינלאומי לרמ</w:t>
      </w:r>
      <w:r w:rsidRPr="0004711E">
        <w:rPr>
          <w:rFonts w:cs="David" w:hint="cs"/>
          <w:sz w:val="28"/>
          <w:szCs w:val="28"/>
          <w:rtl/>
        </w:rPr>
        <w:t>ה גבוהה של ציות. כך, פרופסור לואיס הנקין טוען כי "</w:t>
      </w:r>
      <w:r w:rsidRPr="0004711E">
        <w:rPr>
          <w:rFonts w:cs="David"/>
          <w:sz w:val="28"/>
          <w:szCs w:val="28"/>
        </w:rPr>
        <w:t>almost all nations observe almost all principles of international law and almost all of their obligations almost all of the time</w:t>
      </w:r>
      <w:r w:rsidRPr="0004711E">
        <w:rPr>
          <w:rFonts w:cs="David" w:hint="cs"/>
          <w:sz w:val="28"/>
          <w:szCs w:val="28"/>
          <w:rtl/>
        </w:rPr>
        <w:t>"</w:t>
      </w:r>
      <w:r w:rsidRPr="0004711E">
        <w:rPr>
          <w:rStyle w:val="a7"/>
          <w:rFonts w:cs="David"/>
          <w:sz w:val="28"/>
          <w:szCs w:val="28"/>
          <w:rtl/>
        </w:rPr>
        <w:footnoteReference w:id="84"/>
      </w:r>
      <w:r w:rsidRPr="0004711E">
        <w:rPr>
          <w:rFonts w:cs="David" w:hint="cs"/>
          <w:sz w:val="28"/>
          <w:szCs w:val="28"/>
          <w:rtl/>
        </w:rPr>
        <w:t>. נראה שבין הרציונאלים המסורתיים לציות למשפט הבינלאומי ניתן למנות את רצונן של אומות העולם לייצר מערכת של שפה אחידה ביניהן; לקיים מערכת שתעודד הדדיות ביניהן, בין באמצעות אמנות ובין באמצעים אחרים; להבטיח יציבות עולמית.</w:t>
      </w:r>
    </w:p>
    <w:p w:rsidR="005C7C5F" w:rsidRPr="0004711E" w:rsidRDefault="005C7C5F" w:rsidP="005C7C5F">
      <w:pPr>
        <w:spacing w:after="0" w:line="360" w:lineRule="auto"/>
        <w:jc w:val="both"/>
        <w:rPr>
          <w:rFonts w:cs="David"/>
          <w:sz w:val="28"/>
          <w:szCs w:val="28"/>
          <w:rtl/>
        </w:rPr>
      </w:pPr>
    </w:p>
    <w:p w:rsidR="005C7C5F" w:rsidRPr="0004711E" w:rsidRDefault="005C7C5F" w:rsidP="005C7C5F">
      <w:pPr>
        <w:spacing w:after="0" w:line="360" w:lineRule="auto"/>
        <w:jc w:val="both"/>
        <w:rPr>
          <w:rFonts w:cs="David"/>
          <w:sz w:val="28"/>
          <w:szCs w:val="28"/>
          <w:rtl/>
        </w:rPr>
      </w:pPr>
      <w:r w:rsidRPr="0004711E">
        <w:rPr>
          <w:rFonts w:cs="David" w:hint="cs"/>
          <w:sz w:val="28"/>
          <w:szCs w:val="28"/>
          <w:rtl/>
        </w:rPr>
        <w:t>הכתיבה המודרנית מתמקדת בעיקרה ברכיבים "רכים" של ציות למשפט הבינלאומי ולא לרכיבים של כפייה ואכיפה. פרופסור תומאס פראנק מאוניברסיטת ניו יורק טוען שהוגנותם (</w:t>
      </w:r>
      <w:r w:rsidRPr="0004711E">
        <w:rPr>
          <w:rFonts w:cs="David"/>
          <w:sz w:val="28"/>
          <w:szCs w:val="28"/>
        </w:rPr>
        <w:t>fairness</w:t>
      </w:r>
      <w:r w:rsidRPr="0004711E">
        <w:rPr>
          <w:rFonts w:cs="David" w:hint="cs"/>
          <w:sz w:val="28"/>
          <w:szCs w:val="28"/>
          <w:rtl/>
        </w:rPr>
        <w:t>) של כלל</w:t>
      </w:r>
      <w:r>
        <w:rPr>
          <w:rFonts w:cs="David" w:hint="cs"/>
          <w:sz w:val="28"/>
          <w:szCs w:val="28"/>
          <w:rtl/>
        </w:rPr>
        <w:t>י המשפט הבינלאומי היא שנמצאת</w:t>
      </w:r>
      <w:r w:rsidRPr="0004711E">
        <w:rPr>
          <w:rFonts w:cs="David" w:hint="cs"/>
          <w:sz w:val="28"/>
          <w:szCs w:val="28"/>
          <w:rtl/>
        </w:rPr>
        <w:t xml:space="preserve"> בבסיס הציות למשפט הבינלאומי. נימוקים נוספים שמונה פראנק לציות למשפט הבינלאומי הם רמת הלגיטימציה הגבוהה שיש למשפט הבינלאומי ו"צדק חלוקתי" (</w:t>
      </w:r>
      <w:r w:rsidRPr="0004711E">
        <w:rPr>
          <w:rFonts w:cs="David"/>
          <w:sz w:val="28"/>
          <w:szCs w:val="28"/>
        </w:rPr>
        <w:t>distributive justice</w:t>
      </w:r>
      <w:r w:rsidRPr="0004711E">
        <w:rPr>
          <w:rFonts w:cs="David" w:hint="cs"/>
          <w:sz w:val="28"/>
          <w:szCs w:val="28"/>
          <w:rtl/>
        </w:rPr>
        <w:t>)</w:t>
      </w:r>
      <w:r w:rsidRPr="0004711E">
        <w:rPr>
          <w:rStyle w:val="a7"/>
          <w:rFonts w:cs="David"/>
          <w:sz w:val="28"/>
          <w:szCs w:val="28"/>
          <w:rtl/>
        </w:rPr>
        <w:footnoteReference w:id="85"/>
      </w:r>
      <w:r w:rsidRPr="0004711E">
        <w:rPr>
          <w:rFonts w:cs="David" w:hint="cs"/>
          <w:sz w:val="28"/>
          <w:szCs w:val="28"/>
          <w:rtl/>
        </w:rPr>
        <w:t>. לדעתו, מדינות מצייתות למשפט הבינלאומי מתוך לחץ של סולידאריות, כמו זה שמתקיים בין חברים לאותו מועדון. במועדון שכזה, הנורמות הבינלאומיות בעצם מעצבות מחדש את האינטרסים הלאומיים</w:t>
      </w:r>
      <w:r w:rsidRPr="0004711E">
        <w:rPr>
          <w:rStyle w:val="a7"/>
          <w:rFonts w:cs="David"/>
          <w:sz w:val="28"/>
          <w:szCs w:val="28"/>
          <w:rtl/>
        </w:rPr>
        <w:footnoteReference w:id="86"/>
      </w:r>
      <w:r w:rsidRPr="0004711E">
        <w:rPr>
          <w:rFonts w:cs="David" w:hint="cs"/>
          <w:sz w:val="28"/>
          <w:szCs w:val="28"/>
          <w:rtl/>
        </w:rPr>
        <w:t xml:space="preserve">. כשהכללים הבינלאומיים נוצרים בתהליך הוגן, מדינות יתפסו אותם כלגיטימיים. </w:t>
      </w:r>
      <w:r w:rsidRPr="0004711E">
        <w:rPr>
          <w:rFonts w:cs="David" w:hint="cs"/>
          <w:sz w:val="28"/>
          <w:szCs w:val="28"/>
          <w:rtl/>
        </w:rPr>
        <w:lastRenderedPageBreak/>
        <w:t xml:space="preserve">תהליך הוגן הוא תהליך של דו שיח, הנמקה ומשא ומתן. פראנק מאמין </w:t>
      </w:r>
      <w:r w:rsidRPr="004C570A">
        <w:rPr>
          <w:rFonts w:cs="David" w:hint="cs"/>
          <w:b/>
          <w:bCs/>
          <w:sz w:val="28"/>
          <w:szCs w:val="28"/>
          <w:rtl/>
        </w:rPr>
        <w:t>בלגיטימציה</w:t>
      </w:r>
      <w:r w:rsidRPr="0004711E">
        <w:rPr>
          <w:rFonts w:cs="David" w:hint="cs"/>
          <w:sz w:val="28"/>
          <w:szCs w:val="28"/>
          <w:rtl/>
        </w:rPr>
        <w:t xml:space="preserve">, שקשורה לתהליך הנכון, ולא </w:t>
      </w:r>
      <w:r w:rsidRPr="004C570A">
        <w:rPr>
          <w:rFonts w:cs="David" w:hint="cs"/>
          <w:b/>
          <w:bCs/>
          <w:sz w:val="28"/>
          <w:szCs w:val="28"/>
          <w:rtl/>
        </w:rPr>
        <w:t>בצדק</w:t>
      </w:r>
      <w:r w:rsidRPr="0004711E">
        <w:rPr>
          <w:rFonts w:cs="David" w:hint="cs"/>
          <w:sz w:val="28"/>
          <w:szCs w:val="28"/>
          <w:rtl/>
        </w:rPr>
        <w:t>, שקשור לתוצאות</w:t>
      </w:r>
      <w:r w:rsidRPr="0004711E">
        <w:rPr>
          <w:rStyle w:val="a7"/>
          <w:rFonts w:cs="David"/>
          <w:sz w:val="28"/>
          <w:szCs w:val="28"/>
          <w:rtl/>
        </w:rPr>
        <w:footnoteReference w:id="87"/>
      </w:r>
      <w:r w:rsidRPr="0004711E">
        <w:rPr>
          <w:rFonts w:cs="David" w:hint="cs"/>
          <w:sz w:val="28"/>
          <w:szCs w:val="28"/>
          <w:rtl/>
        </w:rPr>
        <w:t>.</w:t>
      </w:r>
    </w:p>
    <w:p w:rsidR="005C7C5F" w:rsidRPr="0004711E" w:rsidRDefault="005C7C5F" w:rsidP="005C7C5F">
      <w:pPr>
        <w:spacing w:after="0" w:line="360" w:lineRule="auto"/>
        <w:jc w:val="both"/>
        <w:rPr>
          <w:rFonts w:cs="David"/>
          <w:sz w:val="28"/>
          <w:szCs w:val="28"/>
          <w:rtl/>
        </w:rPr>
      </w:pPr>
    </w:p>
    <w:p w:rsidR="005C7C5F" w:rsidRPr="0004711E" w:rsidRDefault="005C7C5F" w:rsidP="004215E0">
      <w:pPr>
        <w:spacing w:after="0" w:line="360" w:lineRule="auto"/>
        <w:jc w:val="both"/>
        <w:rPr>
          <w:rFonts w:cs="David"/>
          <w:sz w:val="28"/>
          <w:szCs w:val="28"/>
          <w:rtl/>
        </w:rPr>
      </w:pPr>
      <w:r w:rsidRPr="0004711E">
        <w:rPr>
          <w:rFonts w:cs="David" w:hint="cs"/>
          <w:sz w:val="28"/>
          <w:szCs w:val="28"/>
          <w:rtl/>
        </w:rPr>
        <w:t xml:space="preserve">פרופסור </w:t>
      </w:r>
      <w:r w:rsidRPr="0004711E">
        <w:rPr>
          <w:rFonts w:cs="David"/>
          <w:sz w:val="28"/>
          <w:szCs w:val="28"/>
        </w:rPr>
        <w:t>Abram Chayes</w:t>
      </w:r>
      <w:r w:rsidRPr="0004711E">
        <w:rPr>
          <w:rFonts w:cs="David" w:hint="cs"/>
          <w:sz w:val="28"/>
          <w:szCs w:val="28"/>
          <w:rtl/>
        </w:rPr>
        <w:t xml:space="preserve"> מאוניברסיטת הרווארד ו-</w:t>
      </w:r>
      <w:r w:rsidRPr="0004711E">
        <w:rPr>
          <w:rFonts w:cs="David"/>
          <w:sz w:val="28"/>
          <w:szCs w:val="28"/>
        </w:rPr>
        <w:t>Antonia Handler Chayes</w:t>
      </w:r>
      <w:r w:rsidR="004215E0">
        <w:rPr>
          <w:rFonts w:cs="David" w:hint="cs"/>
          <w:sz w:val="28"/>
          <w:szCs w:val="28"/>
          <w:rtl/>
        </w:rPr>
        <w:t>,</w:t>
      </w:r>
      <w:r w:rsidRPr="0004711E">
        <w:rPr>
          <w:rFonts w:cs="David" w:hint="cs"/>
          <w:sz w:val="28"/>
          <w:szCs w:val="28"/>
          <w:rtl/>
        </w:rPr>
        <w:t xml:space="preserve"> טוענים שמדינות מצייתות לכללים שקבועים באמנות בינלאומיות לא בשל החשש מסנקציות, שלטענתם בדרך כלל נידונו לכישלון, </w:t>
      </w:r>
      <w:r>
        <w:rPr>
          <w:rFonts w:cs="David" w:hint="cs"/>
          <w:sz w:val="28"/>
          <w:szCs w:val="28"/>
          <w:rtl/>
        </w:rPr>
        <w:t xml:space="preserve">כי אם בשל </w:t>
      </w:r>
      <w:r w:rsidR="004215E0">
        <w:rPr>
          <w:rFonts w:cs="David" w:hint="cs"/>
          <w:sz w:val="28"/>
          <w:szCs w:val="28"/>
          <w:rtl/>
        </w:rPr>
        <w:t>מנגנון</w:t>
      </w:r>
      <w:r>
        <w:rPr>
          <w:rFonts w:cs="David" w:hint="cs"/>
          <w:sz w:val="28"/>
          <w:szCs w:val="28"/>
          <w:rtl/>
        </w:rPr>
        <w:t xml:space="preserve"> הדו-</w:t>
      </w:r>
      <w:r w:rsidRPr="0004711E">
        <w:rPr>
          <w:rFonts w:cs="David" w:hint="cs"/>
          <w:sz w:val="28"/>
          <w:szCs w:val="28"/>
          <w:rtl/>
        </w:rPr>
        <w:t>שיח החוזר ונשנה שנוצר מכוח האמנה, בין המדינות, ארגון האמנה והציבור הרחב</w:t>
      </w:r>
      <w:r w:rsidRPr="0004711E">
        <w:rPr>
          <w:rStyle w:val="a7"/>
          <w:rFonts w:cs="David"/>
          <w:sz w:val="28"/>
          <w:szCs w:val="28"/>
          <w:rtl/>
        </w:rPr>
        <w:footnoteReference w:id="88"/>
      </w:r>
      <w:r w:rsidRPr="0004711E">
        <w:rPr>
          <w:rFonts w:cs="David" w:hint="cs"/>
          <w:sz w:val="28"/>
          <w:szCs w:val="28"/>
          <w:rtl/>
        </w:rPr>
        <w:t xml:space="preserve">. </w:t>
      </w:r>
      <w:r w:rsidR="004215E0">
        <w:rPr>
          <w:rFonts w:cs="David" w:hint="cs"/>
          <w:sz w:val="28"/>
          <w:szCs w:val="28"/>
          <w:rtl/>
        </w:rPr>
        <w:t xml:space="preserve">מנגנון </w:t>
      </w:r>
      <w:r w:rsidRPr="0004711E">
        <w:rPr>
          <w:rFonts w:cs="David" w:hint="cs"/>
          <w:sz w:val="28"/>
          <w:szCs w:val="28"/>
          <w:rtl/>
        </w:rPr>
        <w:t>זה מייצר בסיס מוצדק ל</w:t>
      </w:r>
      <w:r w:rsidR="004215E0">
        <w:rPr>
          <w:rFonts w:cs="David" w:hint="cs"/>
          <w:sz w:val="28"/>
          <w:szCs w:val="28"/>
          <w:rtl/>
        </w:rPr>
        <w:t xml:space="preserve">מנגנון </w:t>
      </w:r>
      <w:r w:rsidRPr="0004711E">
        <w:rPr>
          <w:rFonts w:cs="David" w:hint="cs"/>
          <w:sz w:val="28"/>
          <w:szCs w:val="28"/>
          <w:rtl/>
        </w:rPr>
        <w:t>הבינלאומי. לטענתם, עיקרון הריבונות המסורתי הוחלף עם השנים מחופש מפני התערבות חיצונית, לחופש לקחת חלק ביחסים בינלאומיים כחברים במשטרים בינלאומיים. הריבונות בצורתה זו היא ההכרה בקיומה של המדינה כחברה במערכת הבינלאומית. במערכת כזו, מצייתת מדינה למשפט הבינלאומי לא מפני שהיא חוששת מסנקציות, אלא מפני שהיא חוששת מפיחות במעמדה ובמוניטין הבינלאומיים שלה. הכלים העיקריים במערכת הבינלאומית עליה מדברים שני המלומדים הללו הם כלים ניהוליים באופיים: שקיפות, דיווח ואיסוף מידע, אימות וניטור המידע, יישוב סכסוכים, בניית יכולות, והערכה וביקורת אסטרטגיות.</w:t>
      </w:r>
    </w:p>
    <w:p w:rsidR="005C7C5F" w:rsidRPr="0004711E" w:rsidRDefault="005C7C5F" w:rsidP="005C7C5F">
      <w:pPr>
        <w:spacing w:after="0" w:line="360" w:lineRule="auto"/>
        <w:jc w:val="both"/>
        <w:rPr>
          <w:rFonts w:cs="David"/>
          <w:sz w:val="28"/>
          <w:szCs w:val="28"/>
          <w:rtl/>
        </w:rPr>
      </w:pPr>
    </w:p>
    <w:p w:rsidR="005C7C5F" w:rsidRPr="0004711E" w:rsidRDefault="005C7C5F" w:rsidP="005C7C5F">
      <w:pPr>
        <w:spacing w:after="0" w:line="360" w:lineRule="auto"/>
        <w:jc w:val="both"/>
        <w:rPr>
          <w:rFonts w:cs="David"/>
          <w:sz w:val="28"/>
          <w:szCs w:val="28"/>
          <w:rtl/>
        </w:rPr>
      </w:pPr>
      <w:r w:rsidRPr="0004711E">
        <w:rPr>
          <w:rFonts w:cs="David" w:hint="cs"/>
          <w:sz w:val="28"/>
          <w:szCs w:val="28"/>
          <w:rtl/>
        </w:rPr>
        <w:t xml:space="preserve">פרופסור </w:t>
      </w:r>
      <w:r w:rsidRPr="0004711E">
        <w:rPr>
          <w:rFonts w:cs="David"/>
          <w:sz w:val="28"/>
          <w:szCs w:val="28"/>
        </w:rPr>
        <w:t>Harold Koh</w:t>
      </w:r>
      <w:r w:rsidRPr="0004711E">
        <w:rPr>
          <w:rFonts w:cs="David" w:hint="cs"/>
          <w:sz w:val="28"/>
          <w:szCs w:val="28"/>
          <w:rtl/>
        </w:rPr>
        <w:t xml:space="preserve"> מאוניברסיטת ייל, שהיה היועץ המשפטי של מחלקת המדינה האמריקאית, טוען שהציות למשפט הבינלאומי הוא תוצאה של תהליך משפטי חוצה מדינות (</w:t>
      </w:r>
      <w:r w:rsidRPr="0004711E">
        <w:rPr>
          <w:rFonts w:cs="David"/>
          <w:sz w:val="28"/>
          <w:szCs w:val="28"/>
        </w:rPr>
        <w:t>Transnational Legal Process</w:t>
      </w:r>
      <w:r w:rsidRPr="0004711E">
        <w:rPr>
          <w:rFonts w:cs="David" w:hint="cs"/>
          <w:sz w:val="28"/>
          <w:szCs w:val="28"/>
          <w:rtl/>
        </w:rPr>
        <w:t>). בתהליך הזה, הנורמות הבינלאומיות מופנמות ברמה הלאומית בשלושה שלבים: ראשית, שלב המגע (</w:t>
      </w:r>
      <w:r w:rsidRPr="0004711E">
        <w:rPr>
          <w:rFonts w:cs="David"/>
          <w:sz w:val="28"/>
          <w:szCs w:val="28"/>
        </w:rPr>
        <w:t>interaction</w:t>
      </w:r>
      <w:r w:rsidRPr="0004711E">
        <w:rPr>
          <w:rFonts w:cs="David" w:hint="cs"/>
          <w:sz w:val="28"/>
          <w:szCs w:val="28"/>
          <w:rtl/>
        </w:rPr>
        <w:t>), שבו שחקן מדיני אחד יוצר מגע עם שחקן מדיני אחר, באופן שמחייב את השחקן האחר לקבל או לפרש נורמה בינלאומית מסוימת, לא על מנת לכפות את הנורמה אלא על מנת להפנימה במערכת הנורמטיבית הפנימית של השחקן השני; בהמשך, שלב הפרשנות (</w:t>
      </w:r>
      <w:r w:rsidRPr="0004711E">
        <w:rPr>
          <w:rFonts w:cs="David"/>
          <w:sz w:val="28"/>
          <w:szCs w:val="28"/>
        </w:rPr>
        <w:t>interpretation</w:t>
      </w:r>
      <w:r w:rsidRPr="0004711E">
        <w:rPr>
          <w:rFonts w:cs="David" w:hint="cs"/>
          <w:sz w:val="28"/>
          <w:szCs w:val="28"/>
          <w:rtl/>
        </w:rPr>
        <w:t xml:space="preserve">), שבו מהלכים עתידיים דומים יחזקו עוד יותר את פירוש הנורמה הבינלאומית בדרך להפנמתה; לבסוף, שלב ההפנמה </w:t>
      </w:r>
      <w:r w:rsidRPr="0004711E">
        <w:rPr>
          <w:rFonts w:cs="David" w:hint="cs"/>
          <w:sz w:val="28"/>
          <w:szCs w:val="28"/>
          <w:rtl/>
        </w:rPr>
        <w:lastRenderedPageBreak/>
        <w:t>(</w:t>
      </w:r>
      <w:r w:rsidRPr="0004711E">
        <w:rPr>
          <w:rFonts w:cs="David"/>
          <w:sz w:val="28"/>
          <w:szCs w:val="28"/>
        </w:rPr>
        <w:t>internalization</w:t>
      </w:r>
      <w:r w:rsidRPr="0004711E">
        <w:rPr>
          <w:rFonts w:cs="David" w:hint="cs"/>
          <w:sz w:val="28"/>
          <w:szCs w:val="28"/>
          <w:rtl/>
        </w:rPr>
        <w:t>), שבו השתתפות מתמשכת בתהליך תעזור לבנות מחדש את האינטרסים ואף את הזהויות של המשתתפים בתהליך</w:t>
      </w:r>
      <w:r w:rsidRPr="0004711E">
        <w:rPr>
          <w:rStyle w:val="a7"/>
          <w:rFonts w:cs="David"/>
          <w:sz w:val="28"/>
          <w:szCs w:val="28"/>
          <w:rtl/>
        </w:rPr>
        <w:footnoteReference w:id="89"/>
      </w:r>
      <w:r w:rsidRPr="0004711E">
        <w:rPr>
          <w:rFonts w:cs="David" w:hint="cs"/>
          <w:sz w:val="28"/>
          <w:szCs w:val="28"/>
          <w:rtl/>
        </w:rPr>
        <w:t>.</w:t>
      </w:r>
    </w:p>
    <w:p w:rsidR="005C7C5F" w:rsidRPr="0004711E" w:rsidRDefault="005C7C5F" w:rsidP="005C7C5F">
      <w:pPr>
        <w:spacing w:after="0" w:line="360" w:lineRule="auto"/>
        <w:jc w:val="both"/>
        <w:rPr>
          <w:rFonts w:cs="David"/>
          <w:sz w:val="28"/>
          <w:szCs w:val="28"/>
          <w:rtl/>
        </w:rPr>
      </w:pPr>
    </w:p>
    <w:p w:rsidR="005C7C5F" w:rsidRPr="0004711E" w:rsidRDefault="005C7C5F" w:rsidP="005C7C5F">
      <w:pPr>
        <w:spacing w:after="0" w:line="360" w:lineRule="auto"/>
        <w:jc w:val="both"/>
        <w:rPr>
          <w:rFonts w:cs="David"/>
          <w:sz w:val="28"/>
          <w:szCs w:val="28"/>
          <w:rtl/>
        </w:rPr>
      </w:pPr>
      <w:r w:rsidRPr="0004711E">
        <w:rPr>
          <w:rFonts w:cs="David" w:hint="cs"/>
          <w:sz w:val="28"/>
          <w:szCs w:val="28"/>
          <w:rtl/>
        </w:rPr>
        <w:t xml:space="preserve">חריגה מהנורמות הבינלאומיות, לדבריו של </w:t>
      </w:r>
      <w:r w:rsidRPr="0004711E">
        <w:rPr>
          <w:rFonts w:cs="David"/>
          <w:sz w:val="28"/>
          <w:szCs w:val="28"/>
        </w:rPr>
        <w:t>Koh</w:t>
      </w:r>
      <w:r w:rsidRPr="0004711E">
        <w:rPr>
          <w:rFonts w:cs="David" w:hint="cs"/>
          <w:sz w:val="28"/>
          <w:szCs w:val="28"/>
          <w:rtl/>
        </w:rPr>
        <w:t xml:space="preserve">, מייצרת חיכוכים, שמנהיגים מעדיפים להימנע מהם. כך הופך המשפט הבינלאומי, באמצעות התהליך המשפטי חוצה המדינות, לחלק מובנה במערכת הלאומית והציות לו </w:t>
      </w:r>
      <w:r w:rsidRPr="0004711E">
        <w:rPr>
          <w:rFonts w:cs="David"/>
          <w:sz w:val="28"/>
          <w:szCs w:val="28"/>
          <w:rtl/>
        </w:rPr>
        <w:t>–</w:t>
      </w:r>
      <w:r w:rsidRPr="0004711E">
        <w:rPr>
          <w:rFonts w:cs="David" w:hint="cs"/>
          <w:sz w:val="28"/>
          <w:szCs w:val="28"/>
          <w:rtl/>
        </w:rPr>
        <w:t xml:space="preserve"> לחלק מהאינטרס הלאומי. השתתפות חוזרת ונשנית בתהליך הבינלאומי מגבירה את האפקט הזה באופן נמשך, ואזרחים בכל מדינות העולם הופכים לשחקנים פעילים בתהליך הזה</w:t>
      </w:r>
      <w:r w:rsidRPr="0004711E">
        <w:rPr>
          <w:rStyle w:val="a7"/>
          <w:rFonts w:cs="David"/>
          <w:sz w:val="28"/>
          <w:szCs w:val="28"/>
          <w:rtl/>
        </w:rPr>
        <w:t xml:space="preserve"> </w:t>
      </w:r>
      <w:r w:rsidRPr="0004711E">
        <w:rPr>
          <w:rFonts w:cs="David" w:hint="cs"/>
          <w:sz w:val="28"/>
          <w:szCs w:val="28"/>
          <w:rtl/>
        </w:rPr>
        <w:t>ו"מביאים את המשפט הבינלאומי לביתם"</w:t>
      </w:r>
      <w:r w:rsidRPr="0004711E">
        <w:rPr>
          <w:rStyle w:val="a7"/>
          <w:rFonts w:cs="David"/>
          <w:sz w:val="28"/>
          <w:szCs w:val="28"/>
          <w:rtl/>
        </w:rPr>
        <w:footnoteReference w:id="90"/>
      </w:r>
      <w:r w:rsidRPr="0004711E">
        <w:rPr>
          <w:rFonts w:cs="David" w:hint="cs"/>
          <w:sz w:val="28"/>
          <w:szCs w:val="28"/>
          <w:rtl/>
        </w:rPr>
        <w:t>.</w:t>
      </w:r>
    </w:p>
    <w:p w:rsidR="005C7C5F" w:rsidRPr="0004711E" w:rsidRDefault="005C7C5F" w:rsidP="005C7C5F">
      <w:pPr>
        <w:spacing w:after="0" w:line="360" w:lineRule="auto"/>
        <w:jc w:val="both"/>
        <w:rPr>
          <w:rFonts w:cs="David"/>
          <w:sz w:val="28"/>
          <w:szCs w:val="28"/>
          <w:rtl/>
        </w:rPr>
      </w:pPr>
    </w:p>
    <w:p w:rsidR="005C7C5F" w:rsidRPr="0004711E" w:rsidRDefault="005C7C5F" w:rsidP="005C7C5F">
      <w:pPr>
        <w:spacing w:after="0" w:line="360" w:lineRule="auto"/>
        <w:jc w:val="both"/>
        <w:rPr>
          <w:rFonts w:cs="David"/>
          <w:sz w:val="28"/>
          <w:szCs w:val="28"/>
          <w:rtl/>
        </w:rPr>
      </w:pPr>
      <w:r w:rsidRPr="0004711E">
        <w:rPr>
          <w:rFonts w:cs="David" w:hint="cs"/>
          <w:sz w:val="28"/>
          <w:szCs w:val="28"/>
          <w:rtl/>
        </w:rPr>
        <w:t xml:space="preserve">לסיכום, נראה כי בניגוד לעבר, שבו תפיסה ריאליסטית הכתיבה את התנהלות המדינות, שניהלו את ענייניהן בעיקר מתוך חישובי עלות-תועלת ושמירה על אינטרסים לאומיים, התפתחה בעשרות השנים האחרונות תפיסת ציות אחרת למשפט הבינלאומי. זו תפיסה שמבוססת, מחד גיסא, על מתן לגיטימציה גבוהה למעמדו של המשפט הבינלאומי ולתועלת שהציות לו מביאה עמה למדינה, למוניטין שלה ולמעמדה הבינלאומי; ומאידך גיסא, על מנגנוני אכיפה מפותחים שמאפשרים "ענישה" של מדינות ושל יחידים שפועלים שלא בהתאם לכללי המשפט הבינלאומי. </w:t>
      </w:r>
    </w:p>
    <w:p w:rsidR="005C7C5F" w:rsidRPr="0004711E" w:rsidRDefault="005C7C5F" w:rsidP="005C7C5F">
      <w:pPr>
        <w:spacing w:after="0" w:line="360" w:lineRule="auto"/>
        <w:jc w:val="both"/>
        <w:rPr>
          <w:rFonts w:cs="David"/>
          <w:sz w:val="28"/>
          <w:szCs w:val="28"/>
          <w:rtl/>
        </w:rPr>
      </w:pPr>
    </w:p>
    <w:p w:rsidR="005C7C5F" w:rsidRPr="0004711E" w:rsidRDefault="005C7C5F" w:rsidP="005C7C5F">
      <w:pPr>
        <w:spacing w:after="0" w:line="360" w:lineRule="auto"/>
        <w:jc w:val="both"/>
        <w:rPr>
          <w:rFonts w:cs="David"/>
          <w:sz w:val="28"/>
          <w:szCs w:val="28"/>
          <w:rtl/>
        </w:rPr>
      </w:pPr>
      <w:r w:rsidRPr="0004711E">
        <w:rPr>
          <w:rFonts w:cs="David" w:hint="cs"/>
          <w:sz w:val="28"/>
          <w:szCs w:val="28"/>
          <w:rtl/>
        </w:rPr>
        <w:t>עד כאן דנו בהיבטים עקרוניים הנוגעים להשלכות הכלליות של התרחבות פעילות</w:t>
      </w:r>
      <w:r>
        <w:rPr>
          <w:rFonts w:cs="David" w:hint="cs"/>
          <w:sz w:val="28"/>
          <w:szCs w:val="28"/>
          <w:rtl/>
        </w:rPr>
        <w:t>ן</w:t>
      </w:r>
      <w:r w:rsidRPr="0004711E">
        <w:rPr>
          <w:rFonts w:cs="David" w:hint="cs"/>
          <w:sz w:val="28"/>
          <w:szCs w:val="28"/>
          <w:rtl/>
        </w:rPr>
        <w:t xml:space="preserve"> של </w:t>
      </w:r>
      <w:r>
        <w:rPr>
          <w:rFonts w:cs="David" w:hint="cs"/>
          <w:sz w:val="28"/>
          <w:szCs w:val="28"/>
          <w:rtl/>
        </w:rPr>
        <w:t>ועדות חקירה בינלאומיות</w:t>
      </w:r>
      <w:r w:rsidRPr="0004711E">
        <w:rPr>
          <w:rFonts w:cs="David" w:hint="cs"/>
          <w:sz w:val="28"/>
          <w:szCs w:val="28"/>
          <w:rtl/>
        </w:rPr>
        <w:t xml:space="preserve"> בעולם. כעת נעבור לבחינת השיקולים הרחבים</w:t>
      </w:r>
      <w:r w:rsidR="004215E0">
        <w:rPr>
          <w:rFonts w:cs="David" w:hint="cs"/>
          <w:sz w:val="28"/>
          <w:szCs w:val="28"/>
          <w:rtl/>
        </w:rPr>
        <w:t>-הגנריים</w:t>
      </w:r>
      <w:r w:rsidRPr="0004711E">
        <w:rPr>
          <w:rFonts w:cs="David" w:hint="cs"/>
          <w:sz w:val="28"/>
          <w:szCs w:val="28"/>
          <w:rtl/>
        </w:rPr>
        <w:t xml:space="preserve"> שצריכה מדינת ישראל לשקול בעת קבלת החלטה האם ובאיזה אופן לשתף פעולה עם </w:t>
      </w:r>
      <w:r>
        <w:rPr>
          <w:rFonts w:cs="David" w:hint="cs"/>
          <w:sz w:val="28"/>
          <w:szCs w:val="28"/>
          <w:rtl/>
        </w:rPr>
        <w:t xml:space="preserve">ועדות חקירה </w:t>
      </w:r>
      <w:r w:rsidRPr="0004711E">
        <w:rPr>
          <w:rFonts w:cs="David" w:hint="cs"/>
          <w:sz w:val="28"/>
          <w:szCs w:val="28"/>
          <w:rtl/>
        </w:rPr>
        <w:t>המבקש</w:t>
      </w:r>
      <w:r>
        <w:rPr>
          <w:rFonts w:cs="David" w:hint="cs"/>
          <w:sz w:val="28"/>
          <w:szCs w:val="28"/>
          <w:rtl/>
        </w:rPr>
        <w:t>ות</w:t>
      </w:r>
      <w:r w:rsidRPr="0004711E">
        <w:rPr>
          <w:rFonts w:cs="David" w:hint="cs"/>
          <w:sz w:val="28"/>
          <w:szCs w:val="28"/>
          <w:rtl/>
        </w:rPr>
        <w:t xml:space="preserve"> לבחון את פעילותו של צה"ל.</w:t>
      </w:r>
    </w:p>
    <w:p w:rsidR="005C7C5F" w:rsidRDefault="005C7C5F">
      <w:pPr>
        <w:bidi w:val="0"/>
        <w:rPr>
          <w:rFonts w:cs="David"/>
          <w:sz w:val="28"/>
          <w:szCs w:val="28"/>
        </w:rPr>
      </w:pPr>
      <w:r>
        <w:rPr>
          <w:rFonts w:cs="David"/>
          <w:sz w:val="28"/>
          <w:szCs w:val="28"/>
          <w:rtl/>
        </w:rPr>
        <w:br w:type="page"/>
      </w:r>
    </w:p>
    <w:p w:rsidR="00DC20DB" w:rsidRPr="003D0069" w:rsidRDefault="00D44503" w:rsidP="003D0069">
      <w:pPr>
        <w:pStyle w:val="1"/>
        <w:bidi/>
        <w:spacing w:before="0" w:beforeAutospacing="0" w:after="0" w:afterAutospacing="0" w:line="360" w:lineRule="auto"/>
        <w:jc w:val="both"/>
        <w:rPr>
          <w:rFonts w:cs="David"/>
          <w:sz w:val="32"/>
          <w:szCs w:val="32"/>
          <w:rtl/>
        </w:rPr>
      </w:pPr>
      <w:bookmarkStart w:id="15" w:name="_Toc456027299"/>
      <w:r w:rsidRPr="003D0069">
        <w:rPr>
          <w:rFonts w:cs="David" w:hint="cs"/>
          <w:sz w:val="32"/>
          <w:szCs w:val="32"/>
          <w:rtl/>
        </w:rPr>
        <w:lastRenderedPageBreak/>
        <w:t>פרק</w:t>
      </w:r>
      <w:r w:rsidRPr="003D0069">
        <w:rPr>
          <w:rFonts w:cs="David"/>
          <w:sz w:val="32"/>
          <w:szCs w:val="32"/>
          <w:rtl/>
        </w:rPr>
        <w:t xml:space="preserve"> </w:t>
      </w:r>
      <w:r w:rsidR="00065A82" w:rsidRPr="003D0069">
        <w:rPr>
          <w:rFonts w:cs="David" w:hint="cs"/>
          <w:sz w:val="32"/>
          <w:szCs w:val="32"/>
          <w:rtl/>
        </w:rPr>
        <w:t>ג</w:t>
      </w:r>
      <w:r w:rsidRPr="003D0069">
        <w:rPr>
          <w:rFonts w:cs="David"/>
          <w:sz w:val="32"/>
          <w:szCs w:val="32"/>
          <w:rtl/>
        </w:rPr>
        <w:t xml:space="preserve">' - </w:t>
      </w:r>
      <w:r w:rsidRPr="003D0069">
        <w:rPr>
          <w:rFonts w:cs="David" w:hint="cs"/>
          <w:sz w:val="32"/>
          <w:szCs w:val="32"/>
          <w:rtl/>
        </w:rPr>
        <w:t>שיקולים</w:t>
      </w:r>
      <w:r w:rsidRPr="003D0069">
        <w:rPr>
          <w:rFonts w:cs="David"/>
          <w:sz w:val="32"/>
          <w:szCs w:val="32"/>
          <w:rtl/>
        </w:rPr>
        <w:t xml:space="preserve"> </w:t>
      </w:r>
      <w:r w:rsidRPr="003D0069">
        <w:rPr>
          <w:rFonts w:cs="David" w:hint="cs"/>
          <w:sz w:val="32"/>
          <w:szCs w:val="32"/>
          <w:rtl/>
        </w:rPr>
        <w:t>רחבים</w:t>
      </w:r>
      <w:r w:rsidR="00310D3D" w:rsidRPr="003D0069">
        <w:rPr>
          <w:rFonts w:cs="David" w:hint="cs"/>
          <w:sz w:val="32"/>
          <w:szCs w:val="32"/>
          <w:rtl/>
        </w:rPr>
        <w:t>-גנריים</w:t>
      </w:r>
      <w:r w:rsidRPr="003D0069">
        <w:rPr>
          <w:rFonts w:cs="David"/>
          <w:sz w:val="32"/>
          <w:szCs w:val="32"/>
          <w:rtl/>
        </w:rPr>
        <w:t xml:space="preserve"> </w:t>
      </w:r>
      <w:r w:rsidRPr="003D0069">
        <w:rPr>
          <w:rFonts w:cs="David" w:hint="cs"/>
          <w:sz w:val="32"/>
          <w:szCs w:val="32"/>
          <w:rtl/>
        </w:rPr>
        <w:t>בקבלת</w:t>
      </w:r>
      <w:r w:rsidRPr="003D0069">
        <w:rPr>
          <w:rFonts w:cs="David"/>
          <w:sz w:val="32"/>
          <w:szCs w:val="32"/>
          <w:rtl/>
        </w:rPr>
        <w:t xml:space="preserve"> </w:t>
      </w:r>
      <w:r w:rsidRPr="003D0069">
        <w:rPr>
          <w:rFonts w:cs="David" w:hint="cs"/>
          <w:sz w:val="32"/>
          <w:szCs w:val="32"/>
          <w:rtl/>
        </w:rPr>
        <w:t>החלטה</w:t>
      </w:r>
      <w:r w:rsidRPr="003D0069">
        <w:rPr>
          <w:rFonts w:cs="David"/>
          <w:sz w:val="32"/>
          <w:szCs w:val="32"/>
          <w:rtl/>
        </w:rPr>
        <w:t xml:space="preserve"> </w:t>
      </w:r>
      <w:r w:rsidRPr="003D0069">
        <w:rPr>
          <w:rFonts w:cs="David" w:hint="cs"/>
          <w:sz w:val="32"/>
          <w:szCs w:val="32"/>
          <w:rtl/>
        </w:rPr>
        <w:t>על</w:t>
      </w:r>
      <w:r w:rsidRPr="003D0069">
        <w:rPr>
          <w:rFonts w:cs="David"/>
          <w:sz w:val="32"/>
          <w:szCs w:val="32"/>
          <w:rtl/>
        </w:rPr>
        <w:t xml:space="preserve"> </w:t>
      </w:r>
      <w:r w:rsidRPr="003D0069">
        <w:rPr>
          <w:rFonts w:cs="David" w:hint="cs"/>
          <w:sz w:val="32"/>
          <w:szCs w:val="32"/>
          <w:rtl/>
        </w:rPr>
        <w:t>שיתוף</w:t>
      </w:r>
      <w:r w:rsidRPr="003D0069">
        <w:rPr>
          <w:rFonts w:cs="David"/>
          <w:sz w:val="32"/>
          <w:szCs w:val="32"/>
          <w:rtl/>
        </w:rPr>
        <w:t xml:space="preserve"> </w:t>
      </w:r>
      <w:r w:rsidRPr="003D0069">
        <w:rPr>
          <w:rFonts w:cs="David" w:hint="cs"/>
          <w:sz w:val="32"/>
          <w:szCs w:val="32"/>
          <w:rtl/>
        </w:rPr>
        <w:t>פעולה</w:t>
      </w:r>
      <w:r w:rsidRPr="003D0069">
        <w:rPr>
          <w:rFonts w:cs="David"/>
          <w:sz w:val="32"/>
          <w:szCs w:val="32"/>
          <w:rtl/>
        </w:rPr>
        <w:t xml:space="preserve"> </w:t>
      </w:r>
      <w:r w:rsidRPr="003D0069">
        <w:rPr>
          <w:rFonts w:cs="David" w:hint="cs"/>
          <w:sz w:val="32"/>
          <w:szCs w:val="32"/>
          <w:rtl/>
        </w:rPr>
        <w:t>עם</w:t>
      </w:r>
      <w:r w:rsidRPr="003D0069">
        <w:rPr>
          <w:rFonts w:cs="David"/>
          <w:sz w:val="32"/>
          <w:szCs w:val="32"/>
          <w:rtl/>
        </w:rPr>
        <w:t xml:space="preserve"> </w:t>
      </w:r>
      <w:r w:rsidR="009C039C" w:rsidRPr="003D0069">
        <w:rPr>
          <w:rFonts w:cs="David" w:hint="cs"/>
          <w:sz w:val="32"/>
          <w:szCs w:val="32"/>
          <w:rtl/>
        </w:rPr>
        <w:t>ועדות חקירה בינלאומיות</w:t>
      </w:r>
      <w:bookmarkEnd w:id="15"/>
    </w:p>
    <w:p w:rsidR="00726F1E" w:rsidRPr="0004711E" w:rsidRDefault="00726F1E" w:rsidP="008B316C">
      <w:pPr>
        <w:spacing w:after="0" w:line="360" w:lineRule="auto"/>
        <w:jc w:val="both"/>
        <w:rPr>
          <w:rFonts w:cs="David"/>
          <w:sz w:val="28"/>
          <w:szCs w:val="28"/>
          <w:rtl/>
        </w:rPr>
      </w:pPr>
    </w:p>
    <w:p w:rsidR="009B26D9" w:rsidRPr="0004711E" w:rsidRDefault="00726F1E" w:rsidP="004215E0">
      <w:pPr>
        <w:spacing w:after="0" w:line="360" w:lineRule="auto"/>
        <w:jc w:val="both"/>
        <w:rPr>
          <w:rFonts w:cs="David"/>
          <w:sz w:val="28"/>
          <w:szCs w:val="28"/>
          <w:rtl/>
        </w:rPr>
      </w:pPr>
      <w:r w:rsidRPr="0004711E">
        <w:rPr>
          <w:rFonts w:cs="David" w:hint="cs"/>
          <w:sz w:val="28"/>
          <w:szCs w:val="28"/>
          <w:rtl/>
        </w:rPr>
        <w:t xml:space="preserve">פרק זה </w:t>
      </w:r>
      <w:r w:rsidR="00567D22">
        <w:rPr>
          <w:rFonts w:cs="David" w:hint="cs"/>
          <w:sz w:val="28"/>
          <w:szCs w:val="28"/>
          <w:rtl/>
        </w:rPr>
        <w:t>י</w:t>
      </w:r>
      <w:r w:rsidRPr="0004711E">
        <w:rPr>
          <w:rFonts w:cs="David" w:hint="cs"/>
          <w:sz w:val="28"/>
          <w:szCs w:val="28"/>
          <w:rtl/>
        </w:rPr>
        <w:t>דון בשיקולים רחבים</w:t>
      </w:r>
      <w:r w:rsidR="004215E0">
        <w:rPr>
          <w:rFonts w:cs="David" w:hint="cs"/>
          <w:sz w:val="28"/>
          <w:szCs w:val="28"/>
          <w:rtl/>
        </w:rPr>
        <w:t>-</w:t>
      </w:r>
      <w:r w:rsidR="00310D3D">
        <w:rPr>
          <w:rFonts w:cs="David" w:hint="cs"/>
          <w:sz w:val="28"/>
          <w:szCs w:val="28"/>
          <w:rtl/>
        </w:rPr>
        <w:t>גנריים</w:t>
      </w:r>
      <w:r w:rsidR="00310D3D" w:rsidRPr="0004711E">
        <w:rPr>
          <w:rFonts w:cs="David" w:hint="cs"/>
          <w:sz w:val="28"/>
          <w:szCs w:val="28"/>
          <w:rtl/>
        </w:rPr>
        <w:t xml:space="preserve"> </w:t>
      </w:r>
      <w:r w:rsidRPr="0004711E">
        <w:rPr>
          <w:rFonts w:cs="David" w:hint="cs"/>
          <w:sz w:val="28"/>
          <w:szCs w:val="28"/>
          <w:rtl/>
        </w:rPr>
        <w:t xml:space="preserve">שצריכים </w:t>
      </w:r>
      <w:r w:rsidR="00310D3D">
        <w:rPr>
          <w:rFonts w:cs="David" w:hint="cs"/>
          <w:sz w:val="28"/>
          <w:szCs w:val="28"/>
          <w:rtl/>
        </w:rPr>
        <w:t xml:space="preserve">להיבחן </w:t>
      </w:r>
      <w:r w:rsidRPr="0004711E">
        <w:rPr>
          <w:rFonts w:cs="David" w:hint="cs"/>
          <w:sz w:val="28"/>
          <w:szCs w:val="28"/>
          <w:rtl/>
        </w:rPr>
        <w:t xml:space="preserve">בעת תהליך קבלת ההחלטות לגבי שיתוף פעולה עם </w:t>
      </w:r>
      <w:r w:rsidR="009C039C">
        <w:rPr>
          <w:rFonts w:cs="David" w:hint="cs"/>
          <w:sz w:val="28"/>
          <w:szCs w:val="28"/>
          <w:rtl/>
        </w:rPr>
        <w:t>ועדות חקירה בינלאומיות</w:t>
      </w:r>
      <w:r w:rsidRPr="0004711E">
        <w:rPr>
          <w:rFonts w:cs="David" w:hint="cs"/>
          <w:sz w:val="28"/>
          <w:szCs w:val="28"/>
          <w:rtl/>
        </w:rPr>
        <w:t xml:space="preserve">. </w:t>
      </w:r>
      <w:r w:rsidR="004215E0">
        <w:rPr>
          <w:rFonts w:cs="David" w:hint="cs"/>
          <w:sz w:val="28"/>
          <w:szCs w:val="28"/>
          <w:rtl/>
        </w:rPr>
        <w:t xml:space="preserve">שיקולים אלה </w:t>
      </w:r>
      <w:r w:rsidR="0028423A">
        <w:rPr>
          <w:rFonts w:cs="David" w:hint="cs"/>
          <w:sz w:val="28"/>
          <w:szCs w:val="28"/>
          <w:rtl/>
        </w:rPr>
        <w:t>הם שיקולי רוחב ש</w:t>
      </w:r>
      <w:r w:rsidR="004215E0">
        <w:rPr>
          <w:rFonts w:cs="David" w:hint="cs"/>
          <w:sz w:val="28"/>
          <w:szCs w:val="28"/>
          <w:rtl/>
        </w:rPr>
        <w:t>יכולים להיבחן במנותק משאלת שיתוף הפעולה עם ועדת חקירה קונקרטית, והם יפים לשאלת שיתוף הפעלה עם כל ועדת חקירה שהיא.</w:t>
      </w:r>
    </w:p>
    <w:p w:rsidR="009B26D9" w:rsidRPr="0004711E" w:rsidRDefault="009B26D9" w:rsidP="008B316C">
      <w:pPr>
        <w:spacing w:after="0" w:line="360" w:lineRule="auto"/>
        <w:jc w:val="both"/>
        <w:rPr>
          <w:rFonts w:cs="David"/>
          <w:sz w:val="28"/>
          <w:szCs w:val="28"/>
          <w:rtl/>
        </w:rPr>
      </w:pPr>
    </w:p>
    <w:p w:rsidR="005727F0" w:rsidRPr="003D0069" w:rsidRDefault="001900D0" w:rsidP="003D0069">
      <w:pPr>
        <w:pStyle w:val="a9"/>
        <w:numPr>
          <w:ilvl w:val="0"/>
          <w:numId w:val="21"/>
        </w:numPr>
        <w:spacing w:after="0" w:line="360" w:lineRule="auto"/>
        <w:jc w:val="both"/>
        <w:outlineLvl w:val="1"/>
        <w:rPr>
          <w:rFonts w:cs="David"/>
          <w:b/>
          <w:bCs/>
          <w:sz w:val="28"/>
          <w:szCs w:val="28"/>
          <w:rtl/>
        </w:rPr>
      </w:pPr>
      <w:bookmarkStart w:id="16" w:name="_Toc456027300"/>
      <w:r w:rsidRPr="003D0069">
        <w:rPr>
          <w:rFonts w:cs="David" w:hint="cs"/>
          <w:b/>
          <w:bCs/>
          <w:sz w:val="28"/>
          <w:szCs w:val="28"/>
          <w:rtl/>
        </w:rPr>
        <w:t xml:space="preserve">שיתוף הפעולה עם </w:t>
      </w:r>
      <w:r w:rsidR="009C039C" w:rsidRPr="003D0069">
        <w:rPr>
          <w:rFonts w:cs="David" w:hint="cs"/>
          <w:b/>
          <w:bCs/>
          <w:sz w:val="28"/>
          <w:szCs w:val="28"/>
          <w:rtl/>
        </w:rPr>
        <w:t>ועדות החקירה</w:t>
      </w:r>
      <w:r w:rsidRPr="003D0069">
        <w:rPr>
          <w:rFonts w:cs="David" w:hint="cs"/>
          <w:b/>
          <w:bCs/>
          <w:sz w:val="28"/>
          <w:szCs w:val="28"/>
          <w:rtl/>
        </w:rPr>
        <w:t xml:space="preserve"> הבינלאומי</w:t>
      </w:r>
      <w:r w:rsidR="00310D3D" w:rsidRPr="003D0069">
        <w:rPr>
          <w:rFonts w:cs="David" w:hint="cs"/>
          <w:b/>
          <w:bCs/>
          <w:sz w:val="28"/>
          <w:szCs w:val="28"/>
          <w:rtl/>
        </w:rPr>
        <w:t>ות</w:t>
      </w:r>
      <w:r w:rsidRPr="003D0069">
        <w:rPr>
          <w:rFonts w:cs="David" w:hint="cs"/>
          <w:b/>
          <w:bCs/>
          <w:sz w:val="28"/>
          <w:szCs w:val="28"/>
          <w:rtl/>
        </w:rPr>
        <w:t xml:space="preserve"> כחלק מהשתתפות בקהילה הבינלאומית</w:t>
      </w:r>
      <w:r w:rsidR="00A9609C" w:rsidRPr="003D0069">
        <w:rPr>
          <w:rFonts w:cs="David" w:hint="cs"/>
          <w:b/>
          <w:bCs/>
          <w:sz w:val="28"/>
          <w:szCs w:val="28"/>
          <w:rtl/>
        </w:rPr>
        <w:t xml:space="preserve"> וקבלת לגיטימציה</w:t>
      </w:r>
      <w:bookmarkEnd w:id="16"/>
    </w:p>
    <w:p w:rsidR="001900D0" w:rsidRPr="0004711E" w:rsidRDefault="001900D0" w:rsidP="008B316C">
      <w:pPr>
        <w:spacing w:after="0" w:line="360" w:lineRule="auto"/>
        <w:jc w:val="both"/>
        <w:rPr>
          <w:rFonts w:cs="David"/>
          <w:sz w:val="28"/>
          <w:szCs w:val="28"/>
          <w:rtl/>
        </w:rPr>
      </w:pPr>
    </w:p>
    <w:p w:rsidR="001900D0" w:rsidRPr="0004711E" w:rsidRDefault="002351A1" w:rsidP="007A6140">
      <w:pPr>
        <w:spacing w:after="0" w:line="360" w:lineRule="auto"/>
        <w:jc w:val="both"/>
        <w:rPr>
          <w:rFonts w:cs="David"/>
          <w:sz w:val="28"/>
          <w:szCs w:val="28"/>
          <w:rtl/>
        </w:rPr>
      </w:pPr>
      <w:r>
        <w:rPr>
          <w:rFonts w:cs="David" w:hint="cs"/>
          <w:sz w:val="28"/>
          <w:szCs w:val="28"/>
          <w:rtl/>
        </w:rPr>
        <w:t>בפרק</w:t>
      </w:r>
      <w:r w:rsidR="001900D0" w:rsidRPr="0004711E">
        <w:rPr>
          <w:rFonts w:cs="David" w:hint="cs"/>
          <w:sz w:val="28"/>
          <w:szCs w:val="28"/>
          <w:rtl/>
        </w:rPr>
        <w:t xml:space="preserve"> הקודם </w:t>
      </w:r>
      <w:r w:rsidR="00912E4E">
        <w:rPr>
          <w:rFonts w:cs="David" w:hint="cs"/>
          <w:sz w:val="28"/>
          <w:szCs w:val="28"/>
          <w:rtl/>
        </w:rPr>
        <w:t>נ</w:t>
      </w:r>
      <w:r w:rsidR="001900D0" w:rsidRPr="0004711E">
        <w:rPr>
          <w:rFonts w:cs="David" w:hint="cs"/>
          <w:sz w:val="28"/>
          <w:szCs w:val="28"/>
          <w:rtl/>
        </w:rPr>
        <w:t xml:space="preserve">סקרו ההתפתחויות שהובילו להתחזקותו של המשפט הבינלאומי, כמו גם </w:t>
      </w:r>
      <w:r w:rsidR="0092706B">
        <w:rPr>
          <w:rFonts w:cs="David" w:hint="cs"/>
          <w:sz w:val="28"/>
          <w:szCs w:val="28"/>
          <w:rtl/>
        </w:rPr>
        <w:t>השיקולים -</w:t>
      </w:r>
      <w:r w:rsidR="001900D0" w:rsidRPr="0004711E">
        <w:rPr>
          <w:rFonts w:cs="David" w:hint="cs"/>
          <w:sz w:val="28"/>
          <w:szCs w:val="28"/>
          <w:rtl/>
        </w:rPr>
        <w:t xml:space="preserve"> </w:t>
      </w:r>
      <w:r w:rsidR="0092706B">
        <w:rPr>
          <w:rFonts w:cs="David" w:hint="cs"/>
          <w:sz w:val="28"/>
          <w:szCs w:val="28"/>
          <w:rtl/>
        </w:rPr>
        <w:t xml:space="preserve">הקשים והרכים - </w:t>
      </w:r>
      <w:r w:rsidR="001900D0" w:rsidRPr="0004711E">
        <w:rPr>
          <w:rFonts w:cs="David" w:hint="cs"/>
          <w:sz w:val="28"/>
          <w:szCs w:val="28"/>
          <w:rtl/>
        </w:rPr>
        <w:t>לציותן של מדינות למשפט הבינלאומי</w:t>
      </w:r>
      <w:r w:rsidR="00912E4E">
        <w:rPr>
          <w:rFonts w:cs="David" w:hint="cs"/>
          <w:sz w:val="28"/>
          <w:szCs w:val="28"/>
          <w:rtl/>
        </w:rPr>
        <w:t xml:space="preserve">. </w:t>
      </w:r>
      <w:r w:rsidR="0092706B">
        <w:rPr>
          <w:rFonts w:cs="David" w:hint="cs"/>
          <w:sz w:val="28"/>
          <w:szCs w:val="28"/>
          <w:rtl/>
        </w:rPr>
        <w:t>לאור הסקירה הזו</w:t>
      </w:r>
      <w:r w:rsidR="001900D0" w:rsidRPr="0004711E">
        <w:rPr>
          <w:rFonts w:cs="David" w:hint="cs"/>
          <w:sz w:val="28"/>
          <w:szCs w:val="28"/>
          <w:rtl/>
        </w:rPr>
        <w:t xml:space="preserve">, </w:t>
      </w:r>
      <w:r w:rsidR="0092706B">
        <w:rPr>
          <w:rFonts w:cs="David" w:hint="cs"/>
          <w:sz w:val="28"/>
          <w:szCs w:val="28"/>
          <w:rtl/>
        </w:rPr>
        <w:t xml:space="preserve">ניתן </w:t>
      </w:r>
      <w:r w:rsidR="001900D0" w:rsidRPr="0004711E">
        <w:rPr>
          <w:rFonts w:cs="David" w:hint="cs"/>
          <w:sz w:val="28"/>
          <w:szCs w:val="28"/>
          <w:rtl/>
        </w:rPr>
        <w:t>להבין מדוע גם למדינת ישראל יש עניין ממשי ליטול חלק משמעותי בקהילה הבינלאומית באופן שישפיע באופן חיובי על מעמדה הבינלאומי ועל האינטרסים הלאומיים שלה.</w:t>
      </w:r>
    </w:p>
    <w:p w:rsidR="001900D0" w:rsidRPr="0004711E" w:rsidRDefault="001900D0" w:rsidP="008B316C">
      <w:pPr>
        <w:spacing w:after="0" w:line="360" w:lineRule="auto"/>
        <w:jc w:val="both"/>
        <w:rPr>
          <w:rFonts w:cs="David"/>
          <w:sz w:val="28"/>
          <w:szCs w:val="28"/>
          <w:rtl/>
        </w:rPr>
      </w:pPr>
    </w:p>
    <w:p w:rsidR="001900D0" w:rsidRPr="0004711E" w:rsidRDefault="001900D0" w:rsidP="0092706B">
      <w:pPr>
        <w:spacing w:after="0" w:line="360" w:lineRule="auto"/>
        <w:jc w:val="both"/>
        <w:rPr>
          <w:rFonts w:cs="David"/>
          <w:sz w:val="28"/>
          <w:szCs w:val="28"/>
          <w:rtl/>
        </w:rPr>
      </w:pPr>
      <w:r w:rsidRPr="0004711E">
        <w:rPr>
          <w:rFonts w:cs="David" w:hint="cs"/>
          <w:sz w:val="28"/>
          <w:szCs w:val="28"/>
          <w:rtl/>
        </w:rPr>
        <w:t xml:space="preserve">מעורבותה של מדינת ישראל בקהילה הבינלאומית באה לידי ביטוי במישורים רבים ומגוונים: מדיניים, תקשורתיים, כלכליים, תרבותיים, </w:t>
      </w:r>
      <w:r w:rsidR="000666E1" w:rsidRPr="0004711E">
        <w:rPr>
          <w:rFonts w:cs="David" w:hint="cs"/>
          <w:sz w:val="28"/>
          <w:szCs w:val="28"/>
          <w:rtl/>
        </w:rPr>
        <w:t xml:space="preserve">טכנולוגיים, חקלאיים, </w:t>
      </w:r>
      <w:r w:rsidRPr="0004711E">
        <w:rPr>
          <w:rFonts w:cs="David" w:hint="cs"/>
          <w:sz w:val="28"/>
          <w:szCs w:val="28"/>
          <w:rtl/>
        </w:rPr>
        <w:t>מדעיים</w:t>
      </w:r>
      <w:r w:rsidR="001A3299" w:rsidRPr="0004711E">
        <w:rPr>
          <w:rFonts w:cs="David" w:hint="cs"/>
          <w:sz w:val="28"/>
          <w:szCs w:val="28"/>
          <w:rtl/>
        </w:rPr>
        <w:t xml:space="preserve"> ועוד. כל תרומה חיובית של מדינת ישראל לעולם בכל אחד מהתחומים האלה משפיעה באופן ישיר על הלגיטימציה הבינלאומית שלה. כפי שראינו לעיל, התפתחויות של העשורים האחרונים הובילו לכך שלמשפט הבינלאומי יש מקום של כבוד בקביעת הלגיטימציה הבינלאומית של מדינה, וככלל מדינה נדרשת לכבד את המשפט הבינלאומי כדי לזכות בלגיטימציה בינלאומית. כמובן שישנם גם מקרים חריגים, לשני הכיוונים: מדינות שזוכות ככלל ללגיטימציה בינלאומית גם אם אינן מצייתות באופן מלא למשפט הבינלאומי מצד אחד, ומדינות שמצייתות למשפט הבינלאומי אך אינן זוכות ללגיטימציה הבינלאומית שמגיעה להן בשל כך, מצד שני. חרף קיומם של חריגים אלה, ניתן לומר כי המשפט הבינלאומי משמש בדרך כלל כאמת מידה מקובלת לקביעת לגיטימציה של מדינה. כפי שהודגם לעיל, העוצמה שצבר המשפט הבינלאומי בעשורים האחרונים היא במידה רבה עוצמה רכה שנובעת מהערך שמייחסים לו מדינות, ארגונים בינלאומיים ואזרחים ברחבי העולם. </w:t>
      </w:r>
    </w:p>
    <w:p w:rsidR="001900D0" w:rsidRPr="0004711E" w:rsidRDefault="001900D0" w:rsidP="008B316C">
      <w:pPr>
        <w:spacing w:after="0" w:line="360" w:lineRule="auto"/>
        <w:jc w:val="both"/>
        <w:rPr>
          <w:rFonts w:cs="David"/>
          <w:sz w:val="28"/>
          <w:szCs w:val="28"/>
          <w:rtl/>
        </w:rPr>
      </w:pPr>
    </w:p>
    <w:p w:rsidR="005B3637" w:rsidRPr="0004711E" w:rsidRDefault="007B0B35" w:rsidP="008B316C">
      <w:pPr>
        <w:spacing w:after="0" w:line="360" w:lineRule="auto"/>
        <w:jc w:val="both"/>
        <w:rPr>
          <w:rFonts w:cs="David"/>
          <w:sz w:val="28"/>
          <w:szCs w:val="28"/>
          <w:rtl/>
        </w:rPr>
      </w:pPr>
      <w:r w:rsidRPr="0004711E">
        <w:rPr>
          <w:rFonts w:cs="David" w:hint="cs"/>
          <w:sz w:val="28"/>
          <w:szCs w:val="28"/>
          <w:rtl/>
        </w:rPr>
        <w:lastRenderedPageBreak/>
        <w:t>אחד המרואיינים לעבודה זו</w:t>
      </w:r>
      <w:r w:rsidR="000666E1" w:rsidRPr="0004711E">
        <w:rPr>
          <w:rFonts w:cs="David" w:hint="cs"/>
          <w:sz w:val="28"/>
          <w:szCs w:val="28"/>
          <w:rtl/>
        </w:rPr>
        <w:t>,</w:t>
      </w:r>
      <w:r w:rsidR="005B3637" w:rsidRPr="0004711E">
        <w:rPr>
          <w:rFonts w:cs="David" w:hint="cs"/>
          <w:sz w:val="28"/>
          <w:szCs w:val="28"/>
          <w:rtl/>
        </w:rPr>
        <w:t xml:space="preserve"> גרס כי ניתן לחלק </w:t>
      </w:r>
      <w:r w:rsidRPr="0004711E">
        <w:rPr>
          <w:rFonts w:cs="David" w:hint="cs"/>
          <w:sz w:val="28"/>
          <w:szCs w:val="28"/>
          <w:rtl/>
        </w:rPr>
        <w:t>את ה</w:t>
      </w:r>
      <w:r w:rsidR="005B3637" w:rsidRPr="0004711E">
        <w:rPr>
          <w:rFonts w:cs="David" w:hint="cs"/>
          <w:sz w:val="28"/>
          <w:szCs w:val="28"/>
          <w:rtl/>
        </w:rPr>
        <w:t xml:space="preserve">לגיטימציה </w:t>
      </w:r>
      <w:r w:rsidRPr="0004711E">
        <w:rPr>
          <w:rFonts w:cs="David" w:hint="cs"/>
          <w:sz w:val="28"/>
          <w:szCs w:val="28"/>
          <w:rtl/>
        </w:rPr>
        <w:t>ה</w:t>
      </w:r>
      <w:r w:rsidR="005B3637" w:rsidRPr="0004711E">
        <w:rPr>
          <w:rFonts w:cs="David" w:hint="cs"/>
          <w:sz w:val="28"/>
          <w:szCs w:val="28"/>
          <w:rtl/>
        </w:rPr>
        <w:t xml:space="preserve">בינלאומית </w:t>
      </w:r>
      <w:r w:rsidRPr="0004711E">
        <w:rPr>
          <w:rFonts w:cs="David" w:hint="cs"/>
          <w:sz w:val="28"/>
          <w:szCs w:val="28"/>
          <w:rtl/>
        </w:rPr>
        <w:t xml:space="preserve">בעניינה של ישראל </w:t>
      </w:r>
      <w:r w:rsidR="005B3637" w:rsidRPr="0004711E">
        <w:rPr>
          <w:rFonts w:cs="David" w:hint="cs"/>
          <w:sz w:val="28"/>
          <w:szCs w:val="28"/>
          <w:rtl/>
        </w:rPr>
        <w:t>לשלוש רמות:</w:t>
      </w:r>
    </w:p>
    <w:p w:rsidR="00487234" w:rsidRPr="0004711E" w:rsidRDefault="00487234" w:rsidP="008B316C">
      <w:pPr>
        <w:spacing w:after="0" w:line="360" w:lineRule="auto"/>
        <w:jc w:val="both"/>
        <w:rPr>
          <w:rFonts w:cs="David"/>
          <w:sz w:val="28"/>
          <w:szCs w:val="28"/>
          <w:rtl/>
        </w:rPr>
      </w:pPr>
    </w:p>
    <w:p w:rsidR="005B3637" w:rsidRPr="0004711E" w:rsidRDefault="005B3637" w:rsidP="008B316C">
      <w:pPr>
        <w:pStyle w:val="a9"/>
        <w:numPr>
          <w:ilvl w:val="0"/>
          <w:numId w:val="4"/>
        </w:numPr>
        <w:spacing w:after="0" w:line="360" w:lineRule="auto"/>
        <w:jc w:val="both"/>
        <w:rPr>
          <w:rFonts w:cs="David"/>
          <w:sz w:val="28"/>
          <w:szCs w:val="28"/>
          <w:rtl/>
        </w:rPr>
      </w:pPr>
      <w:r w:rsidRPr="0004711E">
        <w:rPr>
          <w:rFonts w:cs="David" w:hint="cs"/>
          <w:sz w:val="28"/>
          <w:szCs w:val="28"/>
          <w:rtl/>
        </w:rPr>
        <w:t xml:space="preserve">לגיטימציה בסיסית </w:t>
      </w:r>
      <w:r w:rsidRPr="0004711E">
        <w:rPr>
          <w:rFonts w:cs="David"/>
          <w:sz w:val="28"/>
          <w:szCs w:val="28"/>
          <w:rtl/>
        </w:rPr>
        <w:t>–</w:t>
      </w:r>
      <w:r w:rsidRPr="0004711E">
        <w:rPr>
          <w:rFonts w:cs="David" w:hint="cs"/>
          <w:sz w:val="28"/>
          <w:szCs w:val="28"/>
          <w:rtl/>
        </w:rPr>
        <w:t xml:space="preserve"> האם יש למדינה זכות קיום לאור ערכיה?</w:t>
      </w:r>
    </w:p>
    <w:p w:rsidR="005B3637" w:rsidRPr="0004711E" w:rsidRDefault="005B3637" w:rsidP="008B316C">
      <w:pPr>
        <w:pStyle w:val="a9"/>
        <w:numPr>
          <w:ilvl w:val="0"/>
          <w:numId w:val="4"/>
        </w:numPr>
        <w:spacing w:after="0" w:line="360" w:lineRule="auto"/>
        <w:jc w:val="both"/>
        <w:rPr>
          <w:rFonts w:cs="David"/>
          <w:sz w:val="28"/>
          <w:szCs w:val="28"/>
          <w:rtl/>
        </w:rPr>
      </w:pPr>
      <w:r w:rsidRPr="0004711E">
        <w:rPr>
          <w:rFonts w:cs="David" w:hint="cs"/>
          <w:sz w:val="28"/>
          <w:szCs w:val="28"/>
          <w:rtl/>
        </w:rPr>
        <w:t>לגיטימציה מ</w:t>
      </w:r>
      <w:r w:rsidR="000666E1" w:rsidRPr="0004711E">
        <w:rPr>
          <w:rFonts w:cs="David" w:hint="cs"/>
          <w:sz w:val="28"/>
          <w:szCs w:val="28"/>
          <w:rtl/>
        </w:rPr>
        <w:t>צ</w:t>
      </w:r>
      <w:r w:rsidRPr="0004711E">
        <w:rPr>
          <w:rFonts w:cs="David" w:hint="cs"/>
          <w:sz w:val="28"/>
          <w:szCs w:val="28"/>
          <w:rtl/>
        </w:rPr>
        <w:t xml:space="preserve">בית </w:t>
      </w:r>
      <w:r w:rsidRPr="0004711E">
        <w:rPr>
          <w:rFonts w:cs="David"/>
          <w:sz w:val="28"/>
          <w:szCs w:val="28"/>
          <w:rtl/>
        </w:rPr>
        <w:t>–</w:t>
      </w:r>
      <w:r w:rsidRPr="0004711E">
        <w:rPr>
          <w:rFonts w:cs="David" w:hint="cs"/>
          <w:sz w:val="28"/>
          <w:szCs w:val="28"/>
          <w:rtl/>
        </w:rPr>
        <w:t xml:space="preserve"> האם המדינה זוכה לתמיכת העולם בעימות קונקרטי?</w:t>
      </w:r>
    </w:p>
    <w:p w:rsidR="00487234" w:rsidRPr="0004711E" w:rsidRDefault="005B3637" w:rsidP="008B316C">
      <w:pPr>
        <w:pStyle w:val="a9"/>
        <w:numPr>
          <w:ilvl w:val="0"/>
          <w:numId w:val="4"/>
        </w:numPr>
        <w:spacing w:after="0" w:line="360" w:lineRule="auto"/>
        <w:jc w:val="both"/>
        <w:rPr>
          <w:rFonts w:cs="David"/>
          <w:sz w:val="28"/>
          <w:szCs w:val="28"/>
        </w:rPr>
      </w:pPr>
      <w:r w:rsidRPr="0004711E">
        <w:rPr>
          <w:rFonts w:cs="David" w:hint="cs"/>
          <w:sz w:val="28"/>
          <w:szCs w:val="28"/>
          <w:rtl/>
        </w:rPr>
        <w:t xml:space="preserve">לגיטימציה זירתית </w:t>
      </w:r>
      <w:r w:rsidRPr="0004711E">
        <w:rPr>
          <w:rFonts w:cs="David"/>
          <w:sz w:val="28"/>
          <w:szCs w:val="28"/>
          <w:rtl/>
        </w:rPr>
        <w:t>–</w:t>
      </w:r>
      <w:r w:rsidRPr="0004711E">
        <w:rPr>
          <w:rFonts w:cs="David" w:hint="cs"/>
          <w:sz w:val="28"/>
          <w:szCs w:val="28"/>
          <w:rtl/>
        </w:rPr>
        <w:t xml:space="preserve"> נמצאת בין שתי הרמות האחרות ומתייחסת ללגיטימציה הכללית שמעניקות אומות העולם למדינה. </w:t>
      </w:r>
    </w:p>
    <w:p w:rsidR="00487234" w:rsidRPr="0004711E" w:rsidRDefault="00487234" w:rsidP="008B316C">
      <w:pPr>
        <w:spacing w:after="0" w:line="360" w:lineRule="auto"/>
        <w:ind w:left="360"/>
        <w:jc w:val="both"/>
        <w:rPr>
          <w:rFonts w:cs="David"/>
          <w:sz w:val="28"/>
          <w:szCs w:val="28"/>
          <w:rtl/>
        </w:rPr>
      </w:pPr>
    </w:p>
    <w:p w:rsidR="005B3637" w:rsidRPr="0004711E" w:rsidRDefault="00487234" w:rsidP="0092706B">
      <w:pPr>
        <w:spacing w:after="0" w:line="360" w:lineRule="auto"/>
        <w:jc w:val="both"/>
        <w:rPr>
          <w:rFonts w:cs="David"/>
          <w:sz w:val="28"/>
          <w:szCs w:val="28"/>
          <w:rtl/>
        </w:rPr>
      </w:pPr>
      <w:r w:rsidRPr="0004711E">
        <w:rPr>
          <w:rFonts w:cs="David" w:hint="cs"/>
          <w:sz w:val="28"/>
          <w:szCs w:val="28"/>
          <w:rtl/>
        </w:rPr>
        <w:t xml:space="preserve">לגרסתו של מרואיין זה, </w:t>
      </w:r>
      <w:r w:rsidR="0092706B" w:rsidRPr="0004711E">
        <w:rPr>
          <w:rFonts w:cs="David" w:hint="cs"/>
          <w:sz w:val="28"/>
          <w:szCs w:val="28"/>
          <w:rtl/>
        </w:rPr>
        <w:t xml:space="preserve">משפיעה </w:t>
      </w:r>
      <w:r w:rsidRPr="0004711E">
        <w:rPr>
          <w:rFonts w:cs="David" w:hint="cs"/>
          <w:sz w:val="28"/>
          <w:szCs w:val="28"/>
          <w:rtl/>
        </w:rPr>
        <w:t xml:space="preserve">הלגיטימציה ברמה הזירתית </w:t>
      </w:r>
      <w:r w:rsidR="005B3637" w:rsidRPr="0004711E">
        <w:rPr>
          <w:rFonts w:cs="David" w:hint="cs"/>
          <w:sz w:val="28"/>
          <w:szCs w:val="28"/>
          <w:rtl/>
        </w:rPr>
        <w:t xml:space="preserve">על שתי הרמות האחרות. </w:t>
      </w:r>
      <w:r w:rsidRPr="0004711E">
        <w:rPr>
          <w:rFonts w:cs="David" w:hint="cs"/>
          <w:sz w:val="28"/>
          <w:szCs w:val="28"/>
          <w:rtl/>
        </w:rPr>
        <w:t xml:space="preserve">בהקשר הישראלי, </w:t>
      </w:r>
      <w:r w:rsidR="005B3637" w:rsidRPr="0004711E">
        <w:rPr>
          <w:rFonts w:cs="David" w:hint="cs"/>
          <w:sz w:val="28"/>
          <w:szCs w:val="28"/>
          <w:rtl/>
        </w:rPr>
        <w:t xml:space="preserve">מאחר שלחלק גדול ממדינות העולם יש בעיה עם עמדת ישראל בסכסוך עם הפלסטינים, עלול </w:t>
      </w:r>
      <w:r w:rsidR="0092706B">
        <w:rPr>
          <w:rFonts w:cs="David" w:hint="cs"/>
          <w:sz w:val="28"/>
          <w:szCs w:val="28"/>
          <w:rtl/>
        </w:rPr>
        <w:t xml:space="preserve">הדבר </w:t>
      </w:r>
      <w:r w:rsidR="005B3637" w:rsidRPr="0004711E">
        <w:rPr>
          <w:rFonts w:cs="David" w:hint="cs"/>
          <w:sz w:val="28"/>
          <w:szCs w:val="28"/>
          <w:rtl/>
        </w:rPr>
        <w:t>להשפיע על עמדת</w:t>
      </w:r>
      <w:r w:rsidRPr="0004711E">
        <w:rPr>
          <w:rFonts w:cs="David" w:hint="cs"/>
          <w:sz w:val="28"/>
          <w:szCs w:val="28"/>
          <w:rtl/>
        </w:rPr>
        <w:t>ן של אותן</w:t>
      </w:r>
      <w:r w:rsidR="005B3637" w:rsidRPr="0004711E">
        <w:rPr>
          <w:rFonts w:cs="David" w:hint="cs"/>
          <w:sz w:val="28"/>
          <w:szCs w:val="28"/>
          <w:rtl/>
        </w:rPr>
        <w:t xml:space="preserve"> המדינות </w:t>
      </w:r>
      <w:r w:rsidRPr="0004711E">
        <w:rPr>
          <w:rFonts w:cs="David" w:hint="cs"/>
          <w:sz w:val="28"/>
          <w:szCs w:val="28"/>
          <w:rtl/>
        </w:rPr>
        <w:t>(</w:t>
      </w:r>
      <w:r w:rsidR="005B3637" w:rsidRPr="0004711E">
        <w:rPr>
          <w:rFonts w:cs="David" w:hint="cs"/>
          <w:sz w:val="28"/>
          <w:szCs w:val="28"/>
          <w:rtl/>
        </w:rPr>
        <w:t xml:space="preserve">או גופים </w:t>
      </w:r>
      <w:r w:rsidRPr="0004711E">
        <w:rPr>
          <w:rFonts w:cs="David" w:hint="cs"/>
          <w:sz w:val="28"/>
          <w:szCs w:val="28"/>
          <w:rtl/>
        </w:rPr>
        <w:t xml:space="preserve">לא מדינתיים) </w:t>
      </w:r>
      <w:r w:rsidR="005B3637" w:rsidRPr="0004711E">
        <w:rPr>
          <w:rFonts w:cs="David" w:hint="cs"/>
          <w:sz w:val="28"/>
          <w:szCs w:val="28"/>
          <w:rtl/>
        </w:rPr>
        <w:t xml:space="preserve">ביחס לזכות הקיום של ישראל, מחד גיסא, או ביחס ללגיטימציה שלה בעימות קונקרטי, מאידך גיסא. </w:t>
      </w:r>
    </w:p>
    <w:p w:rsidR="005B3637" w:rsidRPr="0004711E" w:rsidRDefault="005B3637" w:rsidP="008B316C">
      <w:pPr>
        <w:spacing w:after="0" w:line="360" w:lineRule="auto"/>
        <w:jc w:val="both"/>
        <w:rPr>
          <w:rFonts w:cs="David"/>
          <w:sz w:val="28"/>
          <w:szCs w:val="28"/>
          <w:rtl/>
        </w:rPr>
      </w:pPr>
    </w:p>
    <w:p w:rsidR="00F04D7A" w:rsidRPr="0004711E" w:rsidRDefault="00F04D7A" w:rsidP="0092706B">
      <w:pPr>
        <w:spacing w:after="0" w:line="360" w:lineRule="auto"/>
        <w:jc w:val="both"/>
        <w:rPr>
          <w:rFonts w:cs="David"/>
          <w:sz w:val="28"/>
          <w:szCs w:val="28"/>
          <w:rtl/>
        </w:rPr>
      </w:pPr>
      <w:r w:rsidRPr="0004711E">
        <w:rPr>
          <w:rFonts w:cs="David" w:hint="cs"/>
          <w:sz w:val="28"/>
          <w:szCs w:val="28"/>
          <w:rtl/>
        </w:rPr>
        <w:t>נראה, כי הביטוי המזלזל שנקט בעבר דוד בן גוריון לגבי ארגון האומות המאוחדות ("או"ם שמום")</w:t>
      </w:r>
      <w:r w:rsidRPr="0004711E">
        <w:rPr>
          <w:rStyle w:val="a7"/>
          <w:rFonts w:cs="David"/>
          <w:sz w:val="28"/>
          <w:szCs w:val="28"/>
          <w:rtl/>
        </w:rPr>
        <w:footnoteReference w:id="91"/>
      </w:r>
      <w:r w:rsidRPr="0004711E">
        <w:rPr>
          <w:rFonts w:cs="David" w:hint="cs"/>
          <w:sz w:val="28"/>
          <w:szCs w:val="28"/>
          <w:rtl/>
        </w:rPr>
        <w:t xml:space="preserve"> כבר מזמן אינו מבטא את עמדתה של מדינת ישראל ביחסה לקהילה הבינלאומית. </w:t>
      </w:r>
      <w:r w:rsidR="00E607B9" w:rsidRPr="0004711E">
        <w:rPr>
          <w:rFonts w:cs="David" w:hint="cs"/>
          <w:sz w:val="28"/>
          <w:szCs w:val="28"/>
          <w:rtl/>
        </w:rPr>
        <w:t xml:space="preserve">מדינת ישראל שואפת להיות חברה מכובדת ומכבדת בקהילה הבינלאומית. </w:t>
      </w:r>
      <w:r w:rsidRPr="0004711E">
        <w:rPr>
          <w:rFonts w:cs="David" w:hint="cs"/>
          <w:sz w:val="28"/>
          <w:szCs w:val="28"/>
          <w:rtl/>
        </w:rPr>
        <w:t>אבא אבן</w:t>
      </w:r>
      <w:r w:rsidR="00496AE2" w:rsidRPr="0004711E">
        <w:rPr>
          <w:rFonts w:cs="David" w:hint="cs"/>
          <w:sz w:val="28"/>
          <w:szCs w:val="28"/>
          <w:rtl/>
        </w:rPr>
        <w:t>, "הדיפלומט מספר אחת של ישראל"</w:t>
      </w:r>
      <w:r w:rsidR="00496AE2" w:rsidRPr="0004711E">
        <w:rPr>
          <w:rStyle w:val="a7"/>
          <w:rFonts w:cs="David"/>
          <w:sz w:val="28"/>
          <w:szCs w:val="28"/>
          <w:rtl/>
        </w:rPr>
        <w:footnoteReference w:id="92"/>
      </w:r>
      <w:r w:rsidR="00496AE2" w:rsidRPr="0004711E">
        <w:rPr>
          <w:rFonts w:cs="David" w:hint="cs"/>
          <w:sz w:val="28"/>
          <w:szCs w:val="28"/>
          <w:rtl/>
        </w:rPr>
        <w:t>,</w:t>
      </w:r>
      <w:r w:rsidR="008A45A5" w:rsidRPr="0004711E">
        <w:rPr>
          <w:rFonts w:cs="David" w:hint="cs"/>
          <w:sz w:val="28"/>
          <w:szCs w:val="28"/>
          <w:rtl/>
        </w:rPr>
        <w:t xml:space="preserve"> </w:t>
      </w:r>
      <w:r w:rsidR="00496AE2" w:rsidRPr="0004711E">
        <w:rPr>
          <w:rFonts w:cs="David" w:hint="cs"/>
          <w:sz w:val="28"/>
          <w:szCs w:val="28"/>
          <w:rtl/>
        </w:rPr>
        <w:t>שהיה שר החוץ הישראלי בשנים 1966</w:t>
      </w:r>
      <w:r w:rsidR="0092706B">
        <w:rPr>
          <w:rFonts w:cs="David" w:hint="cs"/>
          <w:sz w:val="28"/>
          <w:szCs w:val="28"/>
          <w:rtl/>
        </w:rPr>
        <w:t xml:space="preserve"> </w:t>
      </w:r>
      <w:r w:rsidR="00496AE2" w:rsidRPr="0004711E">
        <w:rPr>
          <w:rFonts w:cs="David" w:hint="cs"/>
          <w:sz w:val="28"/>
          <w:szCs w:val="28"/>
          <w:rtl/>
        </w:rPr>
        <w:t>-</w:t>
      </w:r>
      <w:r w:rsidR="0092706B">
        <w:rPr>
          <w:rFonts w:cs="David" w:hint="cs"/>
          <w:sz w:val="28"/>
          <w:szCs w:val="28"/>
          <w:rtl/>
        </w:rPr>
        <w:t xml:space="preserve"> </w:t>
      </w:r>
      <w:r w:rsidR="00496AE2" w:rsidRPr="0004711E">
        <w:rPr>
          <w:rFonts w:cs="David" w:hint="cs"/>
          <w:sz w:val="28"/>
          <w:szCs w:val="28"/>
          <w:rtl/>
        </w:rPr>
        <w:t>1974, הותיר אחריו מורשת דיפלומטית מפוארת ו</w:t>
      </w:r>
      <w:r w:rsidRPr="0004711E">
        <w:rPr>
          <w:rFonts w:cs="David" w:hint="cs"/>
          <w:sz w:val="28"/>
          <w:szCs w:val="28"/>
          <w:rtl/>
        </w:rPr>
        <w:t xml:space="preserve">עמד על הגנתה של מדינת ישראל באו"ם </w:t>
      </w:r>
      <w:r w:rsidR="00496AE2" w:rsidRPr="0004711E">
        <w:rPr>
          <w:rFonts w:cs="David" w:hint="cs"/>
          <w:sz w:val="28"/>
          <w:szCs w:val="28"/>
          <w:rtl/>
        </w:rPr>
        <w:t>ובכל יתר הזירות הדיפלומטיות</w:t>
      </w:r>
      <w:r w:rsidRPr="0004711E">
        <w:rPr>
          <w:rFonts w:cs="David" w:hint="cs"/>
          <w:sz w:val="28"/>
          <w:szCs w:val="28"/>
          <w:rtl/>
        </w:rPr>
        <w:t xml:space="preserve">. </w:t>
      </w:r>
      <w:r w:rsidR="00496AE2" w:rsidRPr="0004711E">
        <w:rPr>
          <w:rFonts w:cs="David" w:hint="cs"/>
          <w:sz w:val="28"/>
          <w:szCs w:val="28"/>
          <w:rtl/>
        </w:rPr>
        <w:t xml:space="preserve">נראה שכיום לא ניתן </w:t>
      </w:r>
      <w:r w:rsidR="0092706B">
        <w:rPr>
          <w:rFonts w:cs="David" w:hint="cs"/>
          <w:sz w:val="28"/>
          <w:szCs w:val="28"/>
          <w:rtl/>
        </w:rPr>
        <w:t xml:space="preserve">גם </w:t>
      </w:r>
      <w:r w:rsidR="00496AE2" w:rsidRPr="0004711E">
        <w:rPr>
          <w:rFonts w:cs="David" w:hint="cs"/>
          <w:sz w:val="28"/>
          <w:szCs w:val="28"/>
          <w:rtl/>
        </w:rPr>
        <w:t>לנתק בין הזירות השונות בהן פועלת מדינת ישראל</w:t>
      </w:r>
      <w:r w:rsidR="0092706B">
        <w:rPr>
          <w:rFonts w:cs="David" w:hint="cs"/>
          <w:sz w:val="28"/>
          <w:szCs w:val="28"/>
          <w:rtl/>
        </w:rPr>
        <w:t>,</w:t>
      </w:r>
      <w:r w:rsidR="00496AE2" w:rsidRPr="0004711E">
        <w:rPr>
          <w:rFonts w:cs="David" w:hint="cs"/>
          <w:sz w:val="28"/>
          <w:szCs w:val="28"/>
          <w:rtl/>
        </w:rPr>
        <w:t xml:space="preserve"> </w:t>
      </w:r>
      <w:r w:rsidR="0092706B">
        <w:rPr>
          <w:rFonts w:cs="David" w:hint="cs"/>
          <w:sz w:val="28"/>
          <w:szCs w:val="28"/>
          <w:rtl/>
        </w:rPr>
        <w:t>ש</w:t>
      </w:r>
      <w:r w:rsidR="00496AE2" w:rsidRPr="0004711E">
        <w:rPr>
          <w:rFonts w:cs="David" w:hint="cs"/>
          <w:sz w:val="28"/>
          <w:szCs w:val="28"/>
          <w:rtl/>
        </w:rPr>
        <w:t xml:space="preserve">יש ביניהן השפעה רוחבית. </w:t>
      </w:r>
      <w:r w:rsidR="003F386E" w:rsidRPr="0004711E">
        <w:rPr>
          <w:rFonts w:cs="David" w:hint="cs"/>
          <w:sz w:val="28"/>
          <w:szCs w:val="28"/>
          <w:rtl/>
        </w:rPr>
        <w:t xml:space="preserve">כך, לדוגמה, היינו עדים בשנה שעברה לדרמה גדולה שהתחוללה סביב בקשת הפלסטינים להשעות את מדינת ישראל מהתאחדות הכדורגל הבינלאומית, </w:t>
      </w:r>
      <w:r w:rsidRPr="0004711E">
        <w:rPr>
          <w:rFonts w:cs="David" w:hint="cs"/>
          <w:sz w:val="28"/>
          <w:szCs w:val="28"/>
          <w:rtl/>
        </w:rPr>
        <w:t xml:space="preserve">פיפ"א, </w:t>
      </w:r>
      <w:r w:rsidR="003F386E" w:rsidRPr="0004711E">
        <w:rPr>
          <w:rFonts w:cs="David" w:hint="cs"/>
          <w:sz w:val="28"/>
          <w:szCs w:val="28"/>
          <w:rtl/>
        </w:rPr>
        <w:t xml:space="preserve">בטענה כי </w:t>
      </w:r>
      <w:r w:rsidR="009453E3" w:rsidRPr="0004711E">
        <w:rPr>
          <w:rFonts w:cs="David" w:hint="cs"/>
          <w:sz w:val="28"/>
          <w:szCs w:val="28"/>
          <w:rtl/>
        </w:rPr>
        <w:t xml:space="preserve">ישראל מונעת </w:t>
      </w:r>
      <w:r w:rsidR="006D1A39">
        <w:rPr>
          <w:rFonts w:cs="David" w:hint="cs"/>
          <w:sz w:val="28"/>
          <w:szCs w:val="28"/>
          <w:rtl/>
        </w:rPr>
        <w:t xml:space="preserve">את </w:t>
      </w:r>
      <w:r w:rsidR="00E607B9" w:rsidRPr="0004711E">
        <w:rPr>
          <w:rFonts w:cs="David" w:hint="cs"/>
          <w:sz w:val="28"/>
          <w:szCs w:val="28"/>
          <w:rtl/>
        </w:rPr>
        <w:t>מעברם של כדורגלנים פלסטינים בין שטחי עזה לאיו"ש וכי היא מנהלת מועדוני כדורגל ישראלים "בשטח פלסטיני כבוש"</w:t>
      </w:r>
      <w:r w:rsidRPr="0004711E">
        <w:rPr>
          <w:rFonts w:cs="David" w:hint="cs"/>
          <w:sz w:val="28"/>
          <w:szCs w:val="28"/>
          <w:rtl/>
        </w:rPr>
        <w:t xml:space="preserve">. </w:t>
      </w:r>
      <w:r w:rsidR="00E607B9" w:rsidRPr="0004711E">
        <w:rPr>
          <w:rFonts w:cs="David" w:hint="cs"/>
          <w:sz w:val="28"/>
          <w:szCs w:val="28"/>
          <w:rtl/>
        </w:rPr>
        <w:t>בסופו של דבר, נאלצו הפלסטינים למשוך את בקשתם</w:t>
      </w:r>
      <w:r w:rsidR="00E607B9" w:rsidRPr="0004711E">
        <w:rPr>
          <w:rStyle w:val="a7"/>
          <w:rFonts w:cs="David"/>
          <w:sz w:val="28"/>
          <w:szCs w:val="28"/>
          <w:rtl/>
        </w:rPr>
        <w:footnoteReference w:id="93"/>
      </w:r>
      <w:r w:rsidR="00E607B9" w:rsidRPr="0004711E">
        <w:rPr>
          <w:rFonts w:cs="David" w:hint="cs"/>
          <w:sz w:val="28"/>
          <w:szCs w:val="28"/>
          <w:rtl/>
        </w:rPr>
        <w:t xml:space="preserve">, אך אירוע זה מצטרף לשורת </w:t>
      </w:r>
      <w:r w:rsidR="00E607B9" w:rsidRPr="0004711E">
        <w:rPr>
          <w:rFonts w:cs="David" w:hint="cs"/>
          <w:sz w:val="28"/>
          <w:szCs w:val="28"/>
          <w:rtl/>
        </w:rPr>
        <w:lastRenderedPageBreak/>
        <w:t xml:space="preserve">אירועים ארוכה, שגורמת נזק מצטבר למדינת ישראל. ברור שלאירוע כזה יש השלכות שחורגות הרבה </w:t>
      </w:r>
      <w:r w:rsidR="0092706B">
        <w:rPr>
          <w:rFonts w:cs="David" w:hint="cs"/>
          <w:sz w:val="28"/>
          <w:szCs w:val="28"/>
          <w:rtl/>
        </w:rPr>
        <w:t>מעבר ל</w:t>
      </w:r>
      <w:r w:rsidR="00E607B9" w:rsidRPr="0004711E">
        <w:rPr>
          <w:rFonts w:cs="David" w:hint="cs"/>
          <w:sz w:val="28"/>
          <w:szCs w:val="28"/>
          <w:rtl/>
        </w:rPr>
        <w:t>עולם הספורט</w:t>
      </w:r>
      <w:r w:rsidR="0092706B">
        <w:rPr>
          <w:rFonts w:cs="David" w:hint="cs"/>
          <w:sz w:val="28"/>
          <w:szCs w:val="28"/>
          <w:rtl/>
        </w:rPr>
        <w:t>,</w:t>
      </w:r>
      <w:r w:rsidR="00E607B9" w:rsidRPr="0004711E">
        <w:rPr>
          <w:rFonts w:cs="David" w:hint="cs"/>
          <w:sz w:val="28"/>
          <w:szCs w:val="28"/>
          <w:rtl/>
        </w:rPr>
        <w:t xml:space="preserve"> שבו לכאורה הוא התחולל.</w:t>
      </w:r>
    </w:p>
    <w:p w:rsidR="00F04D7A" w:rsidRPr="0004711E" w:rsidRDefault="00F04D7A" w:rsidP="008B316C">
      <w:pPr>
        <w:spacing w:after="0" w:line="360" w:lineRule="auto"/>
        <w:jc w:val="both"/>
        <w:rPr>
          <w:rFonts w:cs="David"/>
          <w:sz w:val="28"/>
          <w:szCs w:val="28"/>
          <w:rtl/>
        </w:rPr>
      </w:pPr>
    </w:p>
    <w:p w:rsidR="00ED5422" w:rsidRPr="0004711E" w:rsidRDefault="00E607B9" w:rsidP="0061660D">
      <w:pPr>
        <w:spacing w:after="0" w:line="360" w:lineRule="auto"/>
        <w:jc w:val="both"/>
        <w:rPr>
          <w:rFonts w:cs="David"/>
          <w:sz w:val="28"/>
          <w:szCs w:val="28"/>
          <w:rtl/>
        </w:rPr>
      </w:pPr>
      <w:r w:rsidRPr="0004711E">
        <w:rPr>
          <w:rFonts w:cs="David" w:hint="cs"/>
          <w:sz w:val="28"/>
          <w:szCs w:val="28"/>
          <w:rtl/>
        </w:rPr>
        <w:t xml:space="preserve">מדינת ישראל היא שחקן חשוב בזירה הבינלאומית, אך בוודאי לא שחקן גדול, והיא אינה יכולה להרשות לעצמה להתעלם מדימויה הבינלאומי. נטען לעיתים, כי </w:t>
      </w:r>
      <w:r w:rsidR="00F04D7A" w:rsidRPr="0004711E">
        <w:rPr>
          <w:rFonts w:cs="David" w:hint="cs"/>
          <w:sz w:val="28"/>
          <w:szCs w:val="28"/>
          <w:rtl/>
        </w:rPr>
        <w:t>יש</w:t>
      </w:r>
      <w:r w:rsidRPr="0004711E">
        <w:rPr>
          <w:rFonts w:cs="David" w:hint="cs"/>
          <w:sz w:val="28"/>
          <w:szCs w:val="28"/>
          <w:rtl/>
        </w:rPr>
        <w:t>נן</w:t>
      </w:r>
      <w:r w:rsidR="00F04D7A" w:rsidRPr="0004711E">
        <w:rPr>
          <w:rFonts w:cs="David" w:hint="cs"/>
          <w:sz w:val="28"/>
          <w:szCs w:val="28"/>
          <w:rtl/>
        </w:rPr>
        <w:t xml:space="preserve"> מדינות שיכולות להתעלם מביקורת בינלאומית</w:t>
      </w:r>
      <w:r w:rsidR="0092706B">
        <w:rPr>
          <w:rFonts w:cs="David" w:hint="cs"/>
          <w:sz w:val="28"/>
          <w:szCs w:val="28"/>
          <w:rtl/>
        </w:rPr>
        <w:t>,</w:t>
      </w:r>
      <w:r w:rsidR="00F04D7A" w:rsidRPr="0004711E">
        <w:rPr>
          <w:rFonts w:cs="David" w:hint="cs"/>
          <w:sz w:val="28"/>
          <w:szCs w:val="28"/>
          <w:rtl/>
        </w:rPr>
        <w:t xml:space="preserve"> שפוגעת בתדמיתן בעולם</w:t>
      </w:r>
      <w:r w:rsidRPr="0004711E">
        <w:rPr>
          <w:rFonts w:cs="David" w:hint="cs"/>
          <w:sz w:val="28"/>
          <w:szCs w:val="28"/>
          <w:rtl/>
        </w:rPr>
        <w:t xml:space="preserve"> בשל עוצמתן בתחומים מסוימים. כך</w:t>
      </w:r>
      <w:r w:rsidR="0092706B">
        <w:rPr>
          <w:rFonts w:cs="David" w:hint="cs"/>
          <w:sz w:val="28"/>
          <w:szCs w:val="28"/>
          <w:rtl/>
        </w:rPr>
        <w:t>,</w:t>
      </w:r>
      <w:r w:rsidRPr="0004711E">
        <w:rPr>
          <w:rFonts w:cs="David" w:hint="cs"/>
          <w:sz w:val="28"/>
          <w:szCs w:val="28"/>
          <w:rtl/>
        </w:rPr>
        <w:t xml:space="preserve"> לדוגמה</w:t>
      </w:r>
      <w:r w:rsidR="0092706B">
        <w:rPr>
          <w:rFonts w:cs="David" w:hint="cs"/>
          <w:sz w:val="28"/>
          <w:szCs w:val="28"/>
          <w:rtl/>
        </w:rPr>
        <w:t>,</w:t>
      </w:r>
      <w:r w:rsidRPr="0004711E">
        <w:rPr>
          <w:rFonts w:cs="David" w:hint="cs"/>
          <w:sz w:val="28"/>
          <w:szCs w:val="28"/>
          <w:rtl/>
        </w:rPr>
        <w:t xml:space="preserve"> נטען ביחס למדינות בעלות </w:t>
      </w:r>
      <w:r w:rsidR="00F04D7A" w:rsidRPr="0004711E">
        <w:rPr>
          <w:rFonts w:cs="David" w:hint="cs"/>
          <w:sz w:val="28"/>
          <w:szCs w:val="28"/>
          <w:rtl/>
        </w:rPr>
        <w:t xml:space="preserve">כוח פוליטי </w:t>
      </w:r>
      <w:r w:rsidRPr="0004711E">
        <w:rPr>
          <w:rFonts w:cs="David" w:hint="cs"/>
          <w:sz w:val="28"/>
          <w:szCs w:val="28"/>
          <w:rtl/>
        </w:rPr>
        <w:t xml:space="preserve">משמעותי </w:t>
      </w:r>
      <w:r w:rsidR="00F04D7A" w:rsidRPr="0004711E">
        <w:rPr>
          <w:rFonts w:cs="David" w:hint="cs"/>
          <w:sz w:val="28"/>
          <w:szCs w:val="28"/>
          <w:rtl/>
        </w:rPr>
        <w:t xml:space="preserve">(לדוגמה, </w:t>
      </w:r>
      <w:r w:rsidRPr="0004711E">
        <w:rPr>
          <w:rFonts w:cs="David" w:hint="cs"/>
          <w:sz w:val="28"/>
          <w:szCs w:val="28"/>
          <w:rtl/>
        </w:rPr>
        <w:t>חמש ה</w:t>
      </w:r>
      <w:r w:rsidR="00F04D7A" w:rsidRPr="0004711E">
        <w:rPr>
          <w:rFonts w:cs="David" w:hint="cs"/>
          <w:sz w:val="28"/>
          <w:szCs w:val="28"/>
          <w:rtl/>
        </w:rPr>
        <w:t xml:space="preserve">חברות </w:t>
      </w:r>
      <w:r w:rsidRPr="0004711E">
        <w:rPr>
          <w:rFonts w:cs="David" w:hint="cs"/>
          <w:sz w:val="28"/>
          <w:szCs w:val="28"/>
          <w:rtl/>
        </w:rPr>
        <w:t>הקבועות</w:t>
      </w:r>
      <w:r w:rsidR="00F04D7A" w:rsidRPr="0004711E">
        <w:rPr>
          <w:rFonts w:cs="David" w:hint="cs"/>
          <w:sz w:val="28"/>
          <w:szCs w:val="28"/>
          <w:rtl/>
        </w:rPr>
        <w:t xml:space="preserve"> במועצת הביטחון של האו"ם</w:t>
      </w:r>
      <w:r w:rsidRPr="0004711E">
        <w:rPr>
          <w:rFonts w:cs="David" w:hint="cs"/>
          <w:sz w:val="28"/>
          <w:szCs w:val="28"/>
          <w:rtl/>
        </w:rPr>
        <w:t xml:space="preserve"> </w:t>
      </w:r>
      <w:r w:rsidRPr="0004711E">
        <w:rPr>
          <w:rFonts w:cs="David"/>
          <w:sz w:val="28"/>
          <w:szCs w:val="28"/>
          <w:rtl/>
        </w:rPr>
        <w:t>–</w:t>
      </w:r>
      <w:r w:rsidRPr="0004711E">
        <w:rPr>
          <w:rFonts w:cs="David" w:hint="cs"/>
          <w:sz w:val="28"/>
          <w:szCs w:val="28"/>
          <w:rtl/>
        </w:rPr>
        <w:t xml:space="preserve"> אר</w:t>
      </w:r>
      <w:r w:rsidR="0092706B">
        <w:rPr>
          <w:rFonts w:cs="David" w:hint="cs"/>
          <w:sz w:val="28"/>
          <w:szCs w:val="28"/>
          <w:rtl/>
        </w:rPr>
        <w:t xml:space="preserve">צות </w:t>
      </w:r>
      <w:r w:rsidRPr="0004711E">
        <w:rPr>
          <w:rFonts w:cs="David" w:hint="cs"/>
          <w:sz w:val="28"/>
          <w:szCs w:val="28"/>
          <w:rtl/>
        </w:rPr>
        <w:t>הב</w:t>
      </w:r>
      <w:r w:rsidR="0092706B">
        <w:rPr>
          <w:rFonts w:cs="David" w:hint="cs"/>
          <w:sz w:val="28"/>
          <w:szCs w:val="28"/>
          <w:rtl/>
        </w:rPr>
        <w:t>רית</w:t>
      </w:r>
      <w:r w:rsidRPr="0004711E">
        <w:rPr>
          <w:rFonts w:cs="David" w:hint="cs"/>
          <w:sz w:val="28"/>
          <w:szCs w:val="28"/>
          <w:rtl/>
        </w:rPr>
        <w:t xml:space="preserve">, רוסיה, סין, בריטניה וצרפת </w:t>
      </w:r>
      <w:r w:rsidRPr="0004711E">
        <w:rPr>
          <w:rFonts w:cs="David"/>
          <w:sz w:val="28"/>
          <w:szCs w:val="28"/>
          <w:rtl/>
        </w:rPr>
        <w:t>–</w:t>
      </w:r>
      <w:r w:rsidRPr="0004711E">
        <w:rPr>
          <w:rFonts w:cs="David" w:hint="cs"/>
          <w:sz w:val="28"/>
          <w:szCs w:val="28"/>
          <w:rtl/>
        </w:rPr>
        <w:t xml:space="preserve"> המחזיקות בזכות וטו על החלטות שעולות לדיון במועצת הביטחון</w:t>
      </w:r>
      <w:r w:rsidRPr="0004711E">
        <w:rPr>
          <w:rStyle w:val="a7"/>
          <w:rFonts w:cs="David"/>
          <w:sz w:val="28"/>
          <w:szCs w:val="28"/>
          <w:rtl/>
        </w:rPr>
        <w:footnoteReference w:id="94"/>
      </w:r>
      <w:r w:rsidRPr="0004711E">
        <w:rPr>
          <w:rFonts w:cs="David" w:hint="cs"/>
          <w:sz w:val="28"/>
          <w:szCs w:val="28"/>
          <w:rtl/>
        </w:rPr>
        <w:t>).</w:t>
      </w:r>
      <w:r w:rsidR="00F04D7A" w:rsidRPr="0004711E">
        <w:rPr>
          <w:rFonts w:cs="David" w:hint="cs"/>
          <w:sz w:val="28"/>
          <w:szCs w:val="28"/>
          <w:rtl/>
        </w:rPr>
        <w:t xml:space="preserve"> </w:t>
      </w:r>
      <w:r w:rsidR="00ED5422" w:rsidRPr="0004711E">
        <w:rPr>
          <w:rFonts w:cs="David" w:hint="cs"/>
          <w:sz w:val="28"/>
          <w:szCs w:val="28"/>
          <w:rtl/>
        </w:rPr>
        <w:t xml:space="preserve">מדינות אחרות הן בעלות עוצמה </w:t>
      </w:r>
      <w:r w:rsidR="00F04D7A" w:rsidRPr="0004711E">
        <w:rPr>
          <w:rFonts w:cs="David" w:hint="cs"/>
          <w:sz w:val="28"/>
          <w:szCs w:val="28"/>
          <w:rtl/>
        </w:rPr>
        <w:t>כלכלי</w:t>
      </w:r>
      <w:r w:rsidR="00ED5422" w:rsidRPr="0004711E">
        <w:rPr>
          <w:rFonts w:cs="David" w:hint="cs"/>
          <w:sz w:val="28"/>
          <w:szCs w:val="28"/>
          <w:rtl/>
        </w:rPr>
        <w:t xml:space="preserve">ת </w:t>
      </w:r>
      <w:r w:rsidR="0061660D">
        <w:rPr>
          <w:rFonts w:cs="David" w:hint="cs"/>
          <w:sz w:val="28"/>
          <w:szCs w:val="28"/>
          <w:rtl/>
        </w:rPr>
        <w:t xml:space="preserve">גלובלית בה הן </w:t>
      </w:r>
      <w:r w:rsidR="00ED5422" w:rsidRPr="0004711E">
        <w:rPr>
          <w:rFonts w:cs="David" w:hint="cs"/>
          <w:sz w:val="28"/>
          <w:szCs w:val="28"/>
          <w:rtl/>
        </w:rPr>
        <w:t>עושות שימוש פוליטי</w:t>
      </w:r>
      <w:r w:rsidR="00F04D7A" w:rsidRPr="0004711E">
        <w:rPr>
          <w:rFonts w:cs="David" w:hint="cs"/>
          <w:sz w:val="28"/>
          <w:szCs w:val="28"/>
          <w:rtl/>
        </w:rPr>
        <w:t xml:space="preserve">. </w:t>
      </w:r>
      <w:r w:rsidR="00ED5422" w:rsidRPr="0004711E">
        <w:rPr>
          <w:rFonts w:cs="David" w:hint="cs"/>
          <w:sz w:val="28"/>
          <w:szCs w:val="28"/>
          <w:rtl/>
        </w:rPr>
        <w:t xml:space="preserve">מדינת ישראל אינה מנויה עם מדינות כאלה. </w:t>
      </w:r>
      <w:r w:rsidR="006D1A39">
        <w:rPr>
          <w:rFonts w:cs="David" w:hint="cs"/>
          <w:sz w:val="28"/>
          <w:szCs w:val="28"/>
          <w:rtl/>
        </w:rPr>
        <w:t xml:space="preserve">במהלך השנים, </w:t>
      </w:r>
      <w:r w:rsidR="00ED5422" w:rsidRPr="0004711E">
        <w:rPr>
          <w:rFonts w:cs="David" w:hint="cs"/>
          <w:sz w:val="28"/>
          <w:szCs w:val="28"/>
          <w:rtl/>
        </w:rPr>
        <w:t>היא רכש</w:t>
      </w:r>
      <w:r w:rsidR="006D1A39">
        <w:rPr>
          <w:rFonts w:cs="David" w:hint="cs"/>
          <w:sz w:val="28"/>
          <w:szCs w:val="28"/>
          <w:rtl/>
        </w:rPr>
        <w:t>ה</w:t>
      </w:r>
      <w:r w:rsidR="00ED5422" w:rsidRPr="0004711E">
        <w:rPr>
          <w:rFonts w:cs="David" w:hint="cs"/>
          <w:sz w:val="28"/>
          <w:szCs w:val="28"/>
          <w:rtl/>
        </w:rPr>
        <w:t xml:space="preserve"> לעצמה תדמית של מדינה מערבית דמוקרטית. ככזו, היא מחויבת בציות ברמה גבוהה למשפט הבינלאומי. </w:t>
      </w:r>
    </w:p>
    <w:p w:rsidR="00ED5422" w:rsidRPr="0004711E" w:rsidRDefault="00ED5422" w:rsidP="008B316C">
      <w:pPr>
        <w:spacing w:after="0" w:line="360" w:lineRule="auto"/>
        <w:jc w:val="both"/>
        <w:rPr>
          <w:rFonts w:cs="David"/>
          <w:sz w:val="28"/>
          <w:szCs w:val="28"/>
          <w:rtl/>
        </w:rPr>
      </w:pPr>
    </w:p>
    <w:p w:rsidR="00ED5422" w:rsidRPr="0004711E" w:rsidRDefault="00ED5422" w:rsidP="00513DBA">
      <w:pPr>
        <w:spacing w:after="0" w:line="360" w:lineRule="auto"/>
        <w:jc w:val="both"/>
        <w:rPr>
          <w:rFonts w:cs="David"/>
          <w:sz w:val="28"/>
          <w:szCs w:val="28"/>
          <w:rtl/>
        </w:rPr>
      </w:pPr>
      <w:r w:rsidRPr="0004711E">
        <w:rPr>
          <w:rFonts w:cs="David" w:hint="cs"/>
          <w:sz w:val="28"/>
          <w:szCs w:val="28"/>
          <w:rtl/>
        </w:rPr>
        <w:t xml:space="preserve">מדינות מערביות, לרבות </w:t>
      </w:r>
      <w:r w:rsidR="0061660D">
        <w:rPr>
          <w:rFonts w:cs="David" w:hint="cs"/>
          <w:sz w:val="28"/>
          <w:szCs w:val="28"/>
          <w:rtl/>
        </w:rPr>
        <w:t xml:space="preserve">כאלה שמחזיקות </w:t>
      </w:r>
      <w:r w:rsidRPr="0004711E">
        <w:rPr>
          <w:rFonts w:cs="David" w:hint="cs"/>
          <w:sz w:val="28"/>
          <w:szCs w:val="28"/>
          <w:rtl/>
        </w:rPr>
        <w:t xml:space="preserve">כוח פוליטי משמעותי, רואות עצמן מחויבות לפעול </w:t>
      </w:r>
      <w:r w:rsidR="00B31BC3">
        <w:rPr>
          <w:rFonts w:cs="David" w:hint="cs"/>
          <w:sz w:val="28"/>
          <w:szCs w:val="28"/>
          <w:rtl/>
        </w:rPr>
        <w:t>על פי</w:t>
      </w:r>
      <w:r w:rsidRPr="0004711E">
        <w:rPr>
          <w:rFonts w:cs="David" w:hint="cs"/>
          <w:sz w:val="28"/>
          <w:szCs w:val="28"/>
          <w:rtl/>
        </w:rPr>
        <w:t xml:space="preserve"> הסטנדרטים המקובלים במשפט הבינלאומי, ואינן מתעלמות ממנו, חרף מעמדן הבינלאומי הרם. הן גם קשובות לביקורת בינלאומית על פעילויותיהן. כמה דוגמאות מהעת האחרונה ממחישות זאת היטב. ארצות הברית, שהפציצה בטעות</w:t>
      </w:r>
      <w:r w:rsidR="009F59F4">
        <w:rPr>
          <w:rFonts w:cs="David" w:hint="cs"/>
          <w:sz w:val="28"/>
          <w:szCs w:val="28"/>
          <w:rtl/>
        </w:rPr>
        <w:t xml:space="preserve"> </w:t>
      </w:r>
      <w:r w:rsidRPr="0004711E">
        <w:rPr>
          <w:rFonts w:cs="David" w:hint="cs"/>
          <w:sz w:val="28"/>
          <w:szCs w:val="28"/>
          <w:rtl/>
        </w:rPr>
        <w:t xml:space="preserve">בית חולים בקונדוז באפגניסטן, חקרה את המקרה </w:t>
      </w:r>
      <w:r w:rsidR="00850C17" w:rsidRPr="0004711E">
        <w:rPr>
          <w:rFonts w:cs="David" w:hint="cs"/>
          <w:sz w:val="28"/>
          <w:szCs w:val="28"/>
          <w:rtl/>
        </w:rPr>
        <w:t xml:space="preserve">על מנת לבחון האם חרגו חייליה מדיני הלחימה, והודיעה כי העמידה לדין </w:t>
      </w:r>
      <w:r w:rsidR="0092706B">
        <w:rPr>
          <w:rFonts w:cs="David" w:hint="cs"/>
          <w:sz w:val="28"/>
          <w:szCs w:val="28"/>
          <w:rtl/>
        </w:rPr>
        <w:t>שישה עשר</w:t>
      </w:r>
      <w:r w:rsidR="0092706B" w:rsidRPr="0004711E">
        <w:rPr>
          <w:rFonts w:cs="David" w:hint="cs"/>
          <w:sz w:val="28"/>
          <w:szCs w:val="28"/>
          <w:rtl/>
        </w:rPr>
        <w:t xml:space="preserve"> </w:t>
      </w:r>
      <w:r w:rsidR="00850C17" w:rsidRPr="0004711E">
        <w:rPr>
          <w:rFonts w:cs="David" w:hint="cs"/>
          <w:sz w:val="28"/>
          <w:szCs w:val="28"/>
          <w:rtl/>
        </w:rPr>
        <w:t>מאנשי צבא</w:t>
      </w:r>
      <w:r w:rsidR="0092706B">
        <w:rPr>
          <w:rFonts w:cs="David" w:hint="cs"/>
          <w:sz w:val="28"/>
          <w:szCs w:val="28"/>
          <w:rtl/>
        </w:rPr>
        <w:t>ה</w:t>
      </w:r>
      <w:r w:rsidR="00850C17" w:rsidRPr="0004711E">
        <w:rPr>
          <w:rFonts w:cs="David" w:hint="cs"/>
          <w:sz w:val="28"/>
          <w:szCs w:val="28"/>
          <w:rtl/>
        </w:rPr>
        <w:t xml:space="preserve"> שהיו מעורבים בתקיפה</w:t>
      </w:r>
      <w:r w:rsidR="00850C17" w:rsidRPr="0004711E">
        <w:rPr>
          <w:rStyle w:val="a7"/>
          <w:rFonts w:cs="David"/>
          <w:sz w:val="28"/>
          <w:szCs w:val="28"/>
          <w:rtl/>
        </w:rPr>
        <w:footnoteReference w:id="95"/>
      </w:r>
      <w:r w:rsidR="00850C17" w:rsidRPr="0004711E">
        <w:rPr>
          <w:rFonts w:cs="David" w:hint="cs"/>
          <w:sz w:val="28"/>
          <w:szCs w:val="28"/>
          <w:rtl/>
        </w:rPr>
        <w:t xml:space="preserve">. משרד התובעת של בית הדין הפלילי הבינלאומי מנהל אף הוא בדיקה מקדמית ביחס לאירועים מהלחימה באפגניסטן (אפגניסטן היא מדינה חברה בבית הדין), כבר משנת 2007. בסקירה של משרד התובעת נאמר כי הוא מנהל מגעים </w:t>
      </w:r>
      <w:r w:rsidR="00BC7A84" w:rsidRPr="0004711E">
        <w:rPr>
          <w:rFonts w:cs="David" w:hint="cs"/>
          <w:sz w:val="28"/>
          <w:szCs w:val="28"/>
          <w:rtl/>
        </w:rPr>
        <w:t xml:space="preserve">בעניין החקירה </w:t>
      </w:r>
      <w:r w:rsidR="00850C17" w:rsidRPr="0004711E">
        <w:rPr>
          <w:rFonts w:cs="David" w:hint="cs"/>
          <w:sz w:val="28"/>
          <w:szCs w:val="28"/>
          <w:rtl/>
        </w:rPr>
        <w:t>עם המדינות הנוגעות בדבר (שהן כידוע מדינות מערביות שנלחמו באפגניסטן)</w:t>
      </w:r>
      <w:r w:rsidR="00BC7A84" w:rsidRPr="0004711E">
        <w:rPr>
          <w:rStyle w:val="a7"/>
          <w:rFonts w:cs="David"/>
          <w:sz w:val="28"/>
          <w:szCs w:val="28"/>
          <w:rtl/>
        </w:rPr>
        <w:footnoteReference w:id="96"/>
      </w:r>
      <w:r w:rsidR="00850C17" w:rsidRPr="0004711E">
        <w:rPr>
          <w:rFonts w:cs="David" w:hint="cs"/>
          <w:sz w:val="28"/>
          <w:szCs w:val="28"/>
          <w:rtl/>
        </w:rPr>
        <w:t xml:space="preserve">. </w:t>
      </w:r>
      <w:r w:rsidR="00BC7A84" w:rsidRPr="0004711E">
        <w:rPr>
          <w:rFonts w:cs="David" w:hint="cs"/>
          <w:sz w:val="28"/>
          <w:szCs w:val="28"/>
          <w:rtl/>
        </w:rPr>
        <w:t>כמו כן, החל משנת 2014 בוחן משרד התובעת תלונות לפשעי מלחמה</w:t>
      </w:r>
      <w:r w:rsidR="001C4501">
        <w:rPr>
          <w:rFonts w:cs="David" w:hint="cs"/>
          <w:sz w:val="28"/>
          <w:szCs w:val="28"/>
          <w:rtl/>
        </w:rPr>
        <w:t>,</w:t>
      </w:r>
      <w:r w:rsidR="00BC7A84" w:rsidRPr="0004711E">
        <w:rPr>
          <w:rFonts w:cs="David" w:hint="cs"/>
          <w:sz w:val="28"/>
          <w:szCs w:val="28"/>
          <w:rtl/>
        </w:rPr>
        <w:t xml:space="preserve"> שבוצעו </w:t>
      </w:r>
      <w:r w:rsidR="00692192">
        <w:rPr>
          <w:rFonts w:cs="David" w:hint="cs"/>
          <w:sz w:val="28"/>
          <w:szCs w:val="28"/>
          <w:rtl/>
        </w:rPr>
        <w:t>על ידי</w:t>
      </w:r>
      <w:r w:rsidR="00BC7A84" w:rsidRPr="0004711E">
        <w:rPr>
          <w:rFonts w:cs="David" w:hint="cs"/>
          <w:sz w:val="28"/>
          <w:szCs w:val="28"/>
          <w:rtl/>
        </w:rPr>
        <w:t xml:space="preserve"> חיילים בריטיים בעיראק בשנים 2003</w:t>
      </w:r>
      <w:r w:rsidR="001C4501">
        <w:rPr>
          <w:rFonts w:cs="David" w:hint="cs"/>
          <w:sz w:val="28"/>
          <w:szCs w:val="28"/>
          <w:rtl/>
        </w:rPr>
        <w:t xml:space="preserve"> </w:t>
      </w:r>
      <w:r w:rsidR="00BC7A84" w:rsidRPr="0004711E">
        <w:rPr>
          <w:rFonts w:cs="David" w:hint="cs"/>
          <w:sz w:val="28"/>
          <w:szCs w:val="28"/>
          <w:rtl/>
        </w:rPr>
        <w:t>-</w:t>
      </w:r>
      <w:r w:rsidR="001C4501">
        <w:rPr>
          <w:rFonts w:cs="David" w:hint="cs"/>
          <w:sz w:val="28"/>
          <w:szCs w:val="28"/>
          <w:rtl/>
        </w:rPr>
        <w:t xml:space="preserve"> </w:t>
      </w:r>
      <w:r w:rsidR="00BC7A84" w:rsidRPr="0004711E">
        <w:rPr>
          <w:rFonts w:cs="David" w:hint="cs"/>
          <w:sz w:val="28"/>
          <w:szCs w:val="28"/>
          <w:rtl/>
        </w:rPr>
        <w:lastRenderedPageBreak/>
        <w:t>2008</w:t>
      </w:r>
      <w:r w:rsidR="00BC7A84" w:rsidRPr="0004711E">
        <w:rPr>
          <w:rStyle w:val="a7"/>
          <w:rFonts w:cs="David"/>
          <w:sz w:val="28"/>
          <w:szCs w:val="28"/>
          <w:rtl/>
        </w:rPr>
        <w:footnoteReference w:id="97"/>
      </w:r>
      <w:r w:rsidR="00BC7A84" w:rsidRPr="0004711E">
        <w:rPr>
          <w:rFonts w:cs="David" w:hint="cs"/>
          <w:sz w:val="28"/>
          <w:szCs w:val="28"/>
          <w:rtl/>
        </w:rPr>
        <w:t xml:space="preserve">. התלונות הוגשו </w:t>
      </w:r>
      <w:r w:rsidR="00692192">
        <w:rPr>
          <w:rFonts w:cs="David" w:hint="cs"/>
          <w:sz w:val="28"/>
          <w:szCs w:val="28"/>
          <w:rtl/>
        </w:rPr>
        <w:t>על ידי</w:t>
      </w:r>
      <w:r w:rsidR="00BC7A84" w:rsidRPr="0004711E">
        <w:rPr>
          <w:rFonts w:cs="David" w:hint="cs"/>
          <w:sz w:val="28"/>
          <w:szCs w:val="28"/>
          <w:rtl/>
        </w:rPr>
        <w:t xml:space="preserve"> המרכז האירופי לזכויות חוקתיות וזכויות אדם </w:t>
      </w:r>
      <w:r w:rsidR="00BC7A84" w:rsidRPr="0004711E">
        <w:rPr>
          <w:rFonts w:cs="David"/>
          <w:sz w:val="28"/>
          <w:szCs w:val="28"/>
        </w:rPr>
        <w:t>The European Center for Constitutional and Human Rights -</w:t>
      </w:r>
      <w:r w:rsidR="00C17671" w:rsidRPr="0004711E">
        <w:rPr>
          <w:rFonts w:cs="David"/>
          <w:sz w:val="28"/>
          <w:szCs w:val="28"/>
        </w:rPr>
        <w:t xml:space="preserve"> </w:t>
      </w:r>
      <w:r w:rsidR="00BC7A84" w:rsidRPr="0004711E">
        <w:rPr>
          <w:rFonts w:cs="David"/>
          <w:sz w:val="28"/>
          <w:szCs w:val="28"/>
        </w:rPr>
        <w:t>ECCHR)</w:t>
      </w:r>
      <w:r w:rsidR="00BC7A84" w:rsidRPr="0004711E">
        <w:rPr>
          <w:rFonts w:cs="David" w:hint="cs"/>
          <w:sz w:val="28"/>
          <w:szCs w:val="28"/>
          <w:rtl/>
        </w:rPr>
        <w:t>)</w:t>
      </w:r>
      <w:r w:rsidR="00BC7A84" w:rsidRPr="0004711E">
        <w:rPr>
          <w:rStyle w:val="a7"/>
          <w:rFonts w:cs="David"/>
          <w:sz w:val="28"/>
          <w:szCs w:val="28"/>
          <w:rtl/>
        </w:rPr>
        <w:footnoteReference w:id="98"/>
      </w:r>
      <w:r w:rsidR="00BC7A84" w:rsidRPr="0004711E">
        <w:rPr>
          <w:rFonts w:cs="David" w:hint="cs"/>
          <w:sz w:val="28"/>
          <w:szCs w:val="28"/>
          <w:rtl/>
        </w:rPr>
        <w:t xml:space="preserve">. </w:t>
      </w:r>
      <w:r w:rsidRPr="0004711E">
        <w:rPr>
          <w:rFonts w:cs="David" w:hint="cs"/>
          <w:sz w:val="28"/>
          <w:szCs w:val="28"/>
          <w:rtl/>
        </w:rPr>
        <w:t>בריטניה היא מדינה חברה באמנת רומא</w:t>
      </w:r>
      <w:r w:rsidR="00C17671" w:rsidRPr="0004711E">
        <w:rPr>
          <w:rFonts w:cs="David" w:hint="cs"/>
          <w:sz w:val="28"/>
          <w:szCs w:val="28"/>
          <w:rtl/>
        </w:rPr>
        <w:t xml:space="preserve"> ומשתפת פעולה עם משרד התובעת בחקירה</w:t>
      </w:r>
      <w:r w:rsidR="00C17671" w:rsidRPr="0004711E">
        <w:rPr>
          <w:rStyle w:val="a7"/>
          <w:rFonts w:cs="David"/>
          <w:sz w:val="28"/>
          <w:szCs w:val="28"/>
          <w:rtl/>
        </w:rPr>
        <w:footnoteReference w:id="99"/>
      </w:r>
      <w:r w:rsidR="00C17671" w:rsidRPr="0004711E">
        <w:rPr>
          <w:rFonts w:cs="David" w:hint="cs"/>
          <w:sz w:val="28"/>
          <w:szCs w:val="28"/>
          <w:rtl/>
        </w:rPr>
        <w:t>.</w:t>
      </w:r>
      <w:r w:rsidRPr="0004711E">
        <w:rPr>
          <w:rFonts w:cs="David" w:hint="cs"/>
          <w:sz w:val="28"/>
          <w:szCs w:val="28"/>
          <w:rtl/>
        </w:rPr>
        <w:t xml:space="preserve"> צרפת </w:t>
      </w:r>
      <w:r w:rsidR="006178D8" w:rsidRPr="0004711E">
        <w:rPr>
          <w:rFonts w:cs="David" w:hint="cs"/>
          <w:sz w:val="28"/>
          <w:szCs w:val="28"/>
          <w:rtl/>
        </w:rPr>
        <w:t>הודיעה</w:t>
      </w:r>
      <w:r w:rsidR="001C4501">
        <w:rPr>
          <w:rFonts w:cs="David" w:hint="cs"/>
          <w:sz w:val="28"/>
          <w:szCs w:val="28"/>
          <w:rtl/>
        </w:rPr>
        <w:t>,</w:t>
      </w:r>
      <w:r w:rsidR="006178D8" w:rsidRPr="0004711E">
        <w:rPr>
          <w:rFonts w:cs="David" w:hint="cs"/>
          <w:sz w:val="28"/>
          <w:szCs w:val="28"/>
          <w:rtl/>
        </w:rPr>
        <w:t xml:space="preserve"> כי תפתח בחקירה לאחר שנודע כי חייליה, ששירתו בכוח שמירת או"ם ברפובליקה המרכז אפריקאית</w:t>
      </w:r>
      <w:r w:rsidR="0061660D">
        <w:rPr>
          <w:rFonts w:cs="David" w:hint="cs"/>
          <w:sz w:val="28"/>
          <w:szCs w:val="28"/>
          <w:rtl/>
        </w:rPr>
        <w:t>,</w:t>
      </w:r>
      <w:r w:rsidR="006178D8" w:rsidRPr="0004711E">
        <w:rPr>
          <w:rFonts w:cs="David" w:hint="cs"/>
          <w:sz w:val="28"/>
          <w:szCs w:val="28"/>
          <w:rtl/>
        </w:rPr>
        <w:t xml:space="preserve"> חשודים בביצוע </w:t>
      </w:r>
      <w:r w:rsidRPr="0004711E">
        <w:rPr>
          <w:rFonts w:cs="David" w:hint="cs"/>
          <w:sz w:val="28"/>
          <w:szCs w:val="28"/>
          <w:rtl/>
        </w:rPr>
        <w:t xml:space="preserve">עברות מין </w:t>
      </w:r>
      <w:r w:rsidR="006178D8" w:rsidRPr="0004711E">
        <w:rPr>
          <w:rFonts w:cs="David" w:hint="cs"/>
          <w:sz w:val="28"/>
          <w:szCs w:val="28"/>
          <w:rtl/>
        </w:rPr>
        <w:t>בילדים</w:t>
      </w:r>
      <w:r w:rsidR="006178D8" w:rsidRPr="0004711E">
        <w:rPr>
          <w:rStyle w:val="a7"/>
          <w:rFonts w:cs="David"/>
          <w:sz w:val="28"/>
          <w:szCs w:val="28"/>
          <w:rtl/>
        </w:rPr>
        <w:footnoteReference w:id="100"/>
      </w:r>
      <w:r w:rsidR="006178D8" w:rsidRPr="0004711E">
        <w:rPr>
          <w:rFonts w:cs="David" w:hint="cs"/>
          <w:sz w:val="28"/>
          <w:szCs w:val="28"/>
          <w:rtl/>
        </w:rPr>
        <w:t>. וגם מדינת ישראל הודיעה כי היא מקיימת מגעים עם משרד התובעת של בית הדין ביחס לבדיקה המקדמית שנפתחה בעקבות פניית הפלסטינים לבית הדין</w:t>
      </w:r>
      <w:bookmarkStart w:id="17" w:name="_Ref454789094"/>
      <w:r w:rsidR="00513DBA">
        <w:rPr>
          <w:rStyle w:val="a7"/>
          <w:rFonts w:cs="David"/>
          <w:sz w:val="28"/>
          <w:szCs w:val="28"/>
          <w:rtl/>
        </w:rPr>
        <w:footnoteReference w:id="101"/>
      </w:r>
      <w:bookmarkEnd w:id="17"/>
      <w:r w:rsidR="006178D8" w:rsidRPr="0004711E">
        <w:rPr>
          <w:rFonts w:cs="David" w:hint="cs"/>
          <w:sz w:val="28"/>
          <w:szCs w:val="28"/>
          <w:rtl/>
        </w:rPr>
        <w:t>. ניתן, אם כן, לראות בבירור, שמדינות מערביות רואות עצמן מחויבות לפעול מתוך כבוד למשפט הבינלאומי ומקיימות תהליכי אכיפה פנימיים ושיח לגבי תהליכי אכיפה חיצוניים בגין חשדות להפרות של דיני הלחימה וזכויות אדם. ניתן להדגים עניין זה בדוגמאות רבות אחרות.</w:t>
      </w:r>
    </w:p>
    <w:p w:rsidR="00ED5422" w:rsidRPr="0004711E" w:rsidRDefault="00ED5422" w:rsidP="008B316C">
      <w:pPr>
        <w:spacing w:after="0" w:line="360" w:lineRule="auto"/>
        <w:jc w:val="both"/>
        <w:rPr>
          <w:rFonts w:cs="David"/>
          <w:sz w:val="28"/>
          <w:szCs w:val="28"/>
          <w:rtl/>
        </w:rPr>
      </w:pPr>
    </w:p>
    <w:p w:rsidR="00E44974" w:rsidRPr="0004711E" w:rsidRDefault="006178D8" w:rsidP="008B316C">
      <w:pPr>
        <w:spacing w:after="0" w:line="360" w:lineRule="auto"/>
        <w:jc w:val="both"/>
        <w:rPr>
          <w:rFonts w:cs="David"/>
          <w:sz w:val="28"/>
          <w:szCs w:val="28"/>
          <w:rtl/>
        </w:rPr>
      </w:pPr>
      <w:r w:rsidRPr="0004711E">
        <w:rPr>
          <w:rFonts w:cs="David" w:hint="cs"/>
          <w:sz w:val="28"/>
          <w:szCs w:val="28"/>
          <w:rtl/>
        </w:rPr>
        <w:t xml:space="preserve">לכיבוד המשפט הבינלאומי מבחינתה של ישראל יש חשיבות בתחומים נוספים. </w:t>
      </w:r>
      <w:r w:rsidR="00F04D7A" w:rsidRPr="0004711E">
        <w:rPr>
          <w:rFonts w:cs="David" w:hint="cs"/>
          <w:sz w:val="28"/>
          <w:szCs w:val="28"/>
          <w:rtl/>
        </w:rPr>
        <w:t>לדוגמה, מדינות האיחוד האירופי הן יעד היצוא הגדול ביותר של ישראל</w:t>
      </w:r>
      <w:r w:rsidR="00E44974" w:rsidRPr="0004711E">
        <w:rPr>
          <w:rStyle w:val="a7"/>
          <w:rFonts w:cs="David"/>
          <w:sz w:val="28"/>
          <w:szCs w:val="28"/>
          <w:rtl/>
        </w:rPr>
        <w:footnoteReference w:id="102"/>
      </w:r>
      <w:r w:rsidR="00F04D7A" w:rsidRPr="0004711E">
        <w:rPr>
          <w:rFonts w:cs="David" w:hint="cs"/>
          <w:sz w:val="28"/>
          <w:szCs w:val="28"/>
          <w:rtl/>
        </w:rPr>
        <w:t xml:space="preserve">. </w:t>
      </w:r>
      <w:r w:rsidR="00E44974" w:rsidRPr="0004711E">
        <w:rPr>
          <w:rFonts w:cs="David" w:hint="cs"/>
          <w:sz w:val="28"/>
          <w:szCs w:val="28"/>
          <w:rtl/>
        </w:rPr>
        <w:t xml:space="preserve">המסגרת המשפטית המסדירה את היחסים בין </w:t>
      </w:r>
      <w:r w:rsidR="00F04D7A" w:rsidRPr="0004711E">
        <w:rPr>
          <w:rFonts w:cs="David" w:hint="cs"/>
          <w:sz w:val="28"/>
          <w:szCs w:val="28"/>
          <w:rtl/>
        </w:rPr>
        <w:t xml:space="preserve">ישראל </w:t>
      </w:r>
      <w:r w:rsidR="00E44974" w:rsidRPr="0004711E">
        <w:rPr>
          <w:rFonts w:cs="David" w:hint="cs"/>
          <w:sz w:val="28"/>
          <w:szCs w:val="28"/>
          <w:rtl/>
        </w:rPr>
        <w:t>לאיחוד האירופי קבועה ב</w:t>
      </w:r>
      <w:r w:rsidR="00F04D7A" w:rsidRPr="0004711E">
        <w:rPr>
          <w:rFonts w:cs="David" w:hint="cs"/>
          <w:sz w:val="28"/>
          <w:szCs w:val="28"/>
          <w:rtl/>
        </w:rPr>
        <w:t xml:space="preserve">הסכם </w:t>
      </w:r>
      <w:r w:rsidR="00E44974" w:rsidRPr="0004711E">
        <w:rPr>
          <w:rFonts w:cs="David" w:hint="cs"/>
          <w:sz w:val="28"/>
          <w:szCs w:val="28"/>
          <w:rtl/>
        </w:rPr>
        <w:t>ההתאגדות (</w:t>
      </w:r>
      <w:r w:rsidR="00F04D7A" w:rsidRPr="0004711E">
        <w:rPr>
          <w:rFonts w:cs="David" w:hint="cs"/>
          <w:sz w:val="28"/>
          <w:szCs w:val="28"/>
          <w:rtl/>
        </w:rPr>
        <w:t>אסוציאציה</w:t>
      </w:r>
      <w:r w:rsidR="00E44974" w:rsidRPr="0004711E">
        <w:rPr>
          <w:rFonts w:cs="David" w:hint="cs"/>
          <w:sz w:val="28"/>
          <w:szCs w:val="28"/>
          <w:rtl/>
        </w:rPr>
        <w:t xml:space="preserve">) איחוד אירופי </w:t>
      </w:r>
      <w:r w:rsidR="00E44974" w:rsidRPr="0004711E">
        <w:rPr>
          <w:rFonts w:cs="David"/>
          <w:sz w:val="28"/>
          <w:szCs w:val="28"/>
          <w:rtl/>
        </w:rPr>
        <w:t>–</w:t>
      </w:r>
      <w:r w:rsidR="00E44974" w:rsidRPr="0004711E">
        <w:rPr>
          <w:rFonts w:cs="David" w:hint="cs"/>
          <w:sz w:val="28"/>
          <w:szCs w:val="28"/>
          <w:rtl/>
        </w:rPr>
        <w:t xml:space="preserve"> ישראל, שנחתם בשנת 1995 ונכנס לתוקף בשנת 2000</w:t>
      </w:r>
      <w:r w:rsidR="00E44974" w:rsidRPr="0004711E">
        <w:rPr>
          <w:rStyle w:val="a7"/>
          <w:rFonts w:cs="David"/>
          <w:sz w:val="28"/>
          <w:szCs w:val="28"/>
          <w:rtl/>
        </w:rPr>
        <w:footnoteReference w:id="103"/>
      </w:r>
      <w:r w:rsidR="00E44974" w:rsidRPr="0004711E">
        <w:rPr>
          <w:rFonts w:cs="David" w:hint="cs"/>
          <w:sz w:val="28"/>
          <w:szCs w:val="28"/>
          <w:rtl/>
        </w:rPr>
        <w:t>.</w:t>
      </w:r>
      <w:r w:rsidR="00F04D7A" w:rsidRPr="0004711E">
        <w:rPr>
          <w:rFonts w:cs="David" w:hint="cs"/>
          <w:sz w:val="28"/>
          <w:szCs w:val="28"/>
          <w:rtl/>
        </w:rPr>
        <w:t xml:space="preserve"> סעיף </w:t>
      </w:r>
      <w:r w:rsidR="00E44974" w:rsidRPr="0004711E">
        <w:rPr>
          <w:rFonts w:cs="David" w:hint="cs"/>
          <w:sz w:val="28"/>
          <w:szCs w:val="28"/>
          <w:rtl/>
        </w:rPr>
        <w:t>2 להסכם זה קובע כי:</w:t>
      </w:r>
    </w:p>
    <w:p w:rsidR="00E44974" w:rsidRPr="0004711E" w:rsidRDefault="00E44974" w:rsidP="008B316C">
      <w:pPr>
        <w:spacing w:after="0" w:line="360" w:lineRule="auto"/>
        <w:jc w:val="both"/>
        <w:rPr>
          <w:rFonts w:cs="David"/>
          <w:sz w:val="28"/>
          <w:szCs w:val="28"/>
          <w:rtl/>
        </w:rPr>
      </w:pPr>
    </w:p>
    <w:p w:rsidR="00513DBA" w:rsidRDefault="00E44974">
      <w:pPr>
        <w:bidi w:val="0"/>
        <w:spacing w:after="0" w:line="240" w:lineRule="auto"/>
        <w:jc w:val="both"/>
        <w:rPr>
          <w:rFonts w:cs="David"/>
          <w:sz w:val="28"/>
          <w:szCs w:val="28"/>
        </w:rPr>
      </w:pPr>
      <w:r w:rsidRPr="0004711E">
        <w:rPr>
          <w:rFonts w:cs="David"/>
          <w:sz w:val="28"/>
          <w:szCs w:val="28"/>
        </w:rPr>
        <w:t xml:space="preserve">"Relations between the Parties, as well as all the provisions of the Agreement itself, shall be based on respect for human rights and </w:t>
      </w:r>
      <w:r w:rsidRPr="0004711E">
        <w:rPr>
          <w:rFonts w:cs="David"/>
          <w:sz w:val="28"/>
          <w:szCs w:val="28"/>
        </w:rPr>
        <w:lastRenderedPageBreak/>
        <w:t>democratic principles, which guides their internal and international policy and constitutes an essential element of this Agreement."</w:t>
      </w:r>
    </w:p>
    <w:p w:rsidR="00E44974" w:rsidRPr="0004711E" w:rsidRDefault="00E44974" w:rsidP="008B316C">
      <w:pPr>
        <w:spacing w:after="0" w:line="360" w:lineRule="auto"/>
        <w:jc w:val="both"/>
        <w:rPr>
          <w:rFonts w:cs="David"/>
          <w:sz w:val="28"/>
          <w:szCs w:val="28"/>
          <w:rtl/>
        </w:rPr>
      </w:pPr>
    </w:p>
    <w:p w:rsidR="00E44974" w:rsidRPr="0004711E" w:rsidRDefault="00E44974" w:rsidP="001C4501">
      <w:pPr>
        <w:spacing w:after="0" w:line="360" w:lineRule="auto"/>
        <w:jc w:val="both"/>
        <w:rPr>
          <w:rFonts w:cs="David"/>
          <w:sz w:val="28"/>
          <w:szCs w:val="28"/>
          <w:rtl/>
        </w:rPr>
      </w:pPr>
      <w:r w:rsidRPr="0004711E">
        <w:rPr>
          <w:rFonts w:cs="David" w:hint="cs"/>
          <w:sz w:val="28"/>
          <w:szCs w:val="28"/>
          <w:rtl/>
        </w:rPr>
        <w:t xml:space="preserve">ניתן לראות את החשיבות הרבה </w:t>
      </w:r>
      <w:r w:rsidR="00F04D7A" w:rsidRPr="0004711E">
        <w:rPr>
          <w:rFonts w:cs="David" w:hint="cs"/>
          <w:sz w:val="28"/>
          <w:szCs w:val="28"/>
          <w:rtl/>
        </w:rPr>
        <w:t xml:space="preserve">שמייחס </w:t>
      </w:r>
      <w:r w:rsidRPr="0004711E">
        <w:rPr>
          <w:rFonts w:cs="David" w:hint="cs"/>
          <w:sz w:val="28"/>
          <w:szCs w:val="28"/>
          <w:rtl/>
        </w:rPr>
        <w:t xml:space="preserve">האיחוד האירופי </w:t>
      </w:r>
      <w:r w:rsidR="00F04D7A" w:rsidRPr="0004711E">
        <w:rPr>
          <w:rFonts w:cs="David" w:hint="cs"/>
          <w:sz w:val="28"/>
          <w:szCs w:val="28"/>
          <w:rtl/>
        </w:rPr>
        <w:t>ל</w:t>
      </w:r>
      <w:r w:rsidRPr="0004711E">
        <w:rPr>
          <w:rFonts w:cs="David" w:hint="cs"/>
          <w:sz w:val="28"/>
          <w:szCs w:val="28"/>
          <w:rtl/>
        </w:rPr>
        <w:t xml:space="preserve">כיבוד </w:t>
      </w:r>
      <w:r w:rsidR="00F04D7A" w:rsidRPr="0004711E">
        <w:rPr>
          <w:rFonts w:cs="David" w:hint="cs"/>
          <w:sz w:val="28"/>
          <w:szCs w:val="28"/>
          <w:rtl/>
        </w:rPr>
        <w:t xml:space="preserve">זכויות אדם </w:t>
      </w:r>
      <w:r w:rsidR="00692192">
        <w:rPr>
          <w:rFonts w:cs="David" w:hint="cs"/>
          <w:sz w:val="28"/>
          <w:szCs w:val="28"/>
          <w:rtl/>
        </w:rPr>
        <w:t>על ידי</w:t>
      </w:r>
      <w:r w:rsidRPr="0004711E">
        <w:rPr>
          <w:rFonts w:cs="David" w:hint="cs"/>
          <w:sz w:val="28"/>
          <w:szCs w:val="28"/>
          <w:rtl/>
        </w:rPr>
        <w:t xml:space="preserve"> מדינת ישראל, שהוגדר כ"רכיב חיוני" של ההסכם, ו</w:t>
      </w:r>
      <w:r w:rsidR="00F04D7A" w:rsidRPr="0004711E">
        <w:rPr>
          <w:rFonts w:cs="David" w:hint="cs"/>
          <w:sz w:val="28"/>
          <w:szCs w:val="28"/>
          <w:rtl/>
        </w:rPr>
        <w:t xml:space="preserve">שמאפשר </w:t>
      </w:r>
      <w:r w:rsidRPr="0004711E">
        <w:rPr>
          <w:rFonts w:cs="David" w:hint="cs"/>
          <w:sz w:val="28"/>
          <w:szCs w:val="28"/>
          <w:rtl/>
        </w:rPr>
        <w:t xml:space="preserve">אולי </w:t>
      </w:r>
      <w:r w:rsidR="00F04D7A" w:rsidRPr="0004711E">
        <w:rPr>
          <w:rFonts w:cs="David" w:hint="cs"/>
          <w:sz w:val="28"/>
          <w:szCs w:val="28"/>
          <w:rtl/>
        </w:rPr>
        <w:t xml:space="preserve">את ביטול ההסכם, </w:t>
      </w:r>
      <w:r w:rsidRPr="0004711E">
        <w:rPr>
          <w:rFonts w:cs="David" w:hint="cs"/>
          <w:sz w:val="28"/>
          <w:szCs w:val="28"/>
          <w:rtl/>
        </w:rPr>
        <w:t>חלילה, במקרה קיצוני</w:t>
      </w:r>
      <w:r w:rsidR="00F04D7A" w:rsidRPr="0004711E">
        <w:rPr>
          <w:rFonts w:cs="David" w:hint="cs"/>
          <w:sz w:val="28"/>
          <w:szCs w:val="28"/>
          <w:rtl/>
        </w:rPr>
        <w:t xml:space="preserve">. </w:t>
      </w:r>
      <w:r w:rsidRPr="0004711E">
        <w:rPr>
          <w:rFonts w:cs="David" w:hint="cs"/>
          <w:sz w:val="28"/>
          <w:szCs w:val="28"/>
          <w:rtl/>
        </w:rPr>
        <w:t xml:space="preserve">לפיכך, ברור כי </w:t>
      </w:r>
      <w:r w:rsidR="001C4501">
        <w:rPr>
          <w:rFonts w:cs="David" w:hint="cs"/>
          <w:sz w:val="28"/>
          <w:szCs w:val="28"/>
          <w:rtl/>
        </w:rPr>
        <w:t xml:space="preserve">על </w:t>
      </w:r>
      <w:r w:rsidRPr="0004711E">
        <w:rPr>
          <w:rFonts w:cs="David" w:hint="cs"/>
          <w:sz w:val="28"/>
          <w:szCs w:val="28"/>
          <w:rtl/>
        </w:rPr>
        <w:t xml:space="preserve">מדינת ישראל לשאוף לשמירה על רקורד </w:t>
      </w:r>
      <w:r w:rsidR="00B95167" w:rsidRPr="0004711E">
        <w:rPr>
          <w:rFonts w:cs="David" w:hint="cs"/>
          <w:sz w:val="28"/>
          <w:szCs w:val="28"/>
          <w:rtl/>
        </w:rPr>
        <w:t>חיובי בתחום כיבוד זכויות האדם</w:t>
      </w:r>
      <w:r w:rsidR="00B95167" w:rsidRPr="0004711E">
        <w:rPr>
          <w:rStyle w:val="a7"/>
          <w:rFonts w:cs="David"/>
          <w:sz w:val="28"/>
          <w:szCs w:val="28"/>
          <w:rtl/>
        </w:rPr>
        <w:footnoteReference w:id="104"/>
      </w:r>
      <w:r w:rsidR="00B95167" w:rsidRPr="0004711E">
        <w:rPr>
          <w:rFonts w:cs="David" w:hint="cs"/>
          <w:sz w:val="28"/>
          <w:szCs w:val="28"/>
          <w:rtl/>
        </w:rPr>
        <w:t>.</w:t>
      </w:r>
    </w:p>
    <w:p w:rsidR="00B95167" w:rsidRDefault="00B95167" w:rsidP="008B316C">
      <w:pPr>
        <w:spacing w:after="0" w:line="360" w:lineRule="auto"/>
        <w:jc w:val="both"/>
        <w:rPr>
          <w:rFonts w:cs="David"/>
          <w:sz w:val="28"/>
          <w:szCs w:val="28"/>
          <w:rtl/>
        </w:rPr>
      </w:pPr>
    </w:p>
    <w:p w:rsidR="007D6CF7" w:rsidRDefault="007D6CF7" w:rsidP="00513DBA">
      <w:pPr>
        <w:spacing w:after="0" w:line="360" w:lineRule="auto"/>
        <w:jc w:val="both"/>
        <w:rPr>
          <w:rFonts w:cs="David"/>
          <w:sz w:val="28"/>
          <w:szCs w:val="28"/>
          <w:rtl/>
        </w:rPr>
      </w:pPr>
      <w:r>
        <w:rPr>
          <w:rFonts w:cs="David" w:hint="cs"/>
          <w:sz w:val="28"/>
          <w:szCs w:val="28"/>
          <w:rtl/>
        </w:rPr>
        <w:t>פעולות של ישראל</w:t>
      </w:r>
      <w:r w:rsidR="001C4501">
        <w:rPr>
          <w:rFonts w:cs="David" w:hint="cs"/>
          <w:sz w:val="28"/>
          <w:szCs w:val="28"/>
          <w:rtl/>
        </w:rPr>
        <w:t>,</w:t>
      </w:r>
      <w:r>
        <w:rPr>
          <w:rFonts w:cs="David" w:hint="cs"/>
          <w:sz w:val="28"/>
          <w:szCs w:val="28"/>
          <w:rtl/>
        </w:rPr>
        <w:t xml:space="preserve"> שנתפסות בעולם כ</w:t>
      </w:r>
      <w:r w:rsidR="00513DBA">
        <w:rPr>
          <w:rFonts w:cs="David" w:hint="cs"/>
          <w:sz w:val="28"/>
          <w:szCs w:val="28"/>
          <w:rtl/>
        </w:rPr>
        <w:t xml:space="preserve">הפרה </w:t>
      </w:r>
      <w:r>
        <w:rPr>
          <w:rFonts w:cs="David" w:hint="cs"/>
          <w:sz w:val="28"/>
          <w:szCs w:val="28"/>
          <w:rtl/>
        </w:rPr>
        <w:t>של המשפט הבינלאומי</w:t>
      </w:r>
      <w:r w:rsidR="001C4501">
        <w:rPr>
          <w:rFonts w:cs="David" w:hint="cs"/>
          <w:sz w:val="28"/>
          <w:szCs w:val="28"/>
          <w:rtl/>
        </w:rPr>
        <w:t>,</w:t>
      </w:r>
      <w:r>
        <w:rPr>
          <w:rFonts w:cs="David" w:hint="cs"/>
          <w:sz w:val="28"/>
          <w:szCs w:val="28"/>
          <w:rtl/>
        </w:rPr>
        <w:t xml:space="preserve"> מתורגמות לא אחת גם לצעדים בעלי השלכה צבאית ישירה, כמו עצירת עסקאות נשק</w:t>
      </w:r>
      <w:r>
        <w:rPr>
          <w:rStyle w:val="a7"/>
          <w:rFonts w:cs="David"/>
          <w:sz w:val="28"/>
          <w:szCs w:val="28"/>
          <w:rtl/>
        </w:rPr>
        <w:footnoteReference w:id="105"/>
      </w:r>
      <w:r>
        <w:rPr>
          <w:rFonts w:cs="David" w:hint="cs"/>
          <w:sz w:val="28"/>
          <w:szCs w:val="28"/>
          <w:rtl/>
        </w:rPr>
        <w:t>.</w:t>
      </w:r>
    </w:p>
    <w:p w:rsidR="007D6CF7" w:rsidRPr="0004711E" w:rsidRDefault="007D6CF7" w:rsidP="008B316C">
      <w:pPr>
        <w:spacing w:after="0" w:line="360" w:lineRule="auto"/>
        <w:jc w:val="both"/>
        <w:rPr>
          <w:rFonts w:cs="David"/>
          <w:sz w:val="28"/>
          <w:szCs w:val="28"/>
          <w:rtl/>
        </w:rPr>
      </w:pPr>
    </w:p>
    <w:p w:rsidR="006B415E" w:rsidRPr="0004711E" w:rsidRDefault="006B415E" w:rsidP="008B316C">
      <w:pPr>
        <w:spacing w:after="0" w:line="360" w:lineRule="auto"/>
        <w:jc w:val="both"/>
        <w:rPr>
          <w:rFonts w:cs="David"/>
          <w:sz w:val="28"/>
          <w:szCs w:val="28"/>
          <w:rtl/>
        </w:rPr>
      </w:pPr>
      <w:r w:rsidRPr="0004711E">
        <w:rPr>
          <w:rFonts w:cs="David" w:hint="cs"/>
          <w:sz w:val="28"/>
          <w:szCs w:val="28"/>
          <w:rtl/>
        </w:rPr>
        <w:t>בתור</w:t>
      </w:r>
      <w:r w:rsidR="008A45A5" w:rsidRPr="0004711E">
        <w:rPr>
          <w:rFonts w:cs="David" w:hint="cs"/>
          <w:sz w:val="28"/>
          <w:szCs w:val="28"/>
          <w:rtl/>
        </w:rPr>
        <w:t xml:space="preserve"> </w:t>
      </w:r>
      <w:r w:rsidRPr="0004711E">
        <w:rPr>
          <w:rFonts w:cs="David" w:hint="cs"/>
          <w:sz w:val="28"/>
          <w:szCs w:val="28"/>
          <w:rtl/>
        </w:rPr>
        <w:t>שחקנית בקהילה הבינלאומית</w:t>
      </w:r>
      <w:r w:rsidRPr="0004711E">
        <w:rPr>
          <w:rFonts w:cs="David"/>
          <w:sz w:val="28"/>
          <w:szCs w:val="28"/>
          <w:rtl/>
        </w:rPr>
        <w:t xml:space="preserve">, אשר מפיקה תועלות רבות מהחברות בארגונים </w:t>
      </w:r>
      <w:r w:rsidR="001C4501">
        <w:rPr>
          <w:rFonts w:cs="David" w:hint="cs"/>
          <w:sz w:val="28"/>
          <w:szCs w:val="28"/>
          <w:rtl/>
        </w:rPr>
        <w:t>ה</w:t>
      </w:r>
      <w:r w:rsidRPr="0004711E">
        <w:rPr>
          <w:rFonts w:cs="David"/>
          <w:sz w:val="28"/>
          <w:szCs w:val="28"/>
          <w:rtl/>
        </w:rPr>
        <w:t xml:space="preserve">בינלאומיים, נדרשת </w:t>
      </w:r>
      <w:r w:rsidRPr="0004711E">
        <w:rPr>
          <w:rFonts w:cs="David" w:hint="cs"/>
          <w:sz w:val="28"/>
          <w:szCs w:val="28"/>
          <w:rtl/>
        </w:rPr>
        <w:t xml:space="preserve">מדינת ישראל </w:t>
      </w:r>
      <w:r w:rsidRPr="0004711E">
        <w:rPr>
          <w:rFonts w:cs="David"/>
          <w:sz w:val="28"/>
          <w:szCs w:val="28"/>
          <w:rtl/>
        </w:rPr>
        <w:t>לשתף פעולה עם</w:t>
      </w:r>
      <w:r w:rsidRPr="0004711E">
        <w:rPr>
          <w:rFonts w:cs="David" w:hint="cs"/>
          <w:sz w:val="28"/>
          <w:szCs w:val="28"/>
          <w:rtl/>
        </w:rPr>
        <w:t xml:space="preserve"> ארגונים ו</w:t>
      </w:r>
      <w:r w:rsidR="001C4501">
        <w:rPr>
          <w:rFonts w:cs="David" w:hint="cs"/>
          <w:sz w:val="28"/>
          <w:szCs w:val="28"/>
          <w:rtl/>
        </w:rPr>
        <w:t xml:space="preserve">עם </w:t>
      </w:r>
      <w:r w:rsidRPr="0004711E">
        <w:rPr>
          <w:rFonts w:cs="David" w:hint="cs"/>
          <w:sz w:val="28"/>
          <w:szCs w:val="28"/>
          <w:rtl/>
        </w:rPr>
        <w:t>גורמים בינלאומיים</w:t>
      </w:r>
      <w:r w:rsidRPr="0004711E">
        <w:rPr>
          <w:rFonts w:cs="David"/>
          <w:sz w:val="28"/>
          <w:szCs w:val="28"/>
          <w:rtl/>
        </w:rPr>
        <w:t xml:space="preserve">. מדינות </w:t>
      </w:r>
      <w:r w:rsidRPr="0004711E">
        <w:rPr>
          <w:rFonts w:cs="David" w:hint="cs"/>
          <w:sz w:val="28"/>
          <w:szCs w:val="28"/>
          <w:rtl/>
        </w:rPr>
        <w:t>שנמנעות משיתוף פעולה מעין זה נדחקות לעמדה של מדינות</w:t>
      </w:r>
      <w:r w:rsidRPr="0004711E">
        <w:rPr>
          <w:rFonts w:cs="David"/>
          <w:sz w:val="28"/>
          <w:szCs w:val="28"/>
          <w:rtl/>
        </w:rPr>
        <w:t xml:space="preserve"> </w:t>
      </w:r>
      <w:r w:rsidRPr="0004711E">
        <w:rPr>
          <w:rFonts w:cs="David" w:hint="cs"/>
          <w:sz w:val="28"/>
          <w:szCs w:val="28"/>
          <w:rtl/>
        </w:rPr>
        <w:t>"</w:t>
      </w:r>
      <w:r w:rsidRPr="0004711E">
        <w:rPr>
          <w:rFonts w:cs="David"/>
          <w:sz w:val="28"/>
          <w:szCs w:val="28"/>
          <w:rtl/>
        </w:rPr>
        <w:t>סוררות״</w:t>
      </w:r>
      <w:r w:rsidRPr="0004711E">
        <w:rPr>
          <w:rFonts w:cs="David" w:hint="cs"/>
          <w:sz w:val="28"/>
          <w:szCs w:val="28"/>
          <w:rtl/>
        </w:rPr>
        <w:t xml:space="preserve"> או "מוקצות" (</w:t>
      </w:r>
      <w:r w:rsidRPr="0004711E">
        <w:rPr>
          <w:rFonts w:cs="David"/>
          <w:sz w:val="28"/>
          <w:szCs w:val="28"/>
        </w:rPr>
        <w:t>Pariah States</w:t>
      </w:r>
      <w:r w:rsidRPr="0004711E">
        <w:rPr>
          <w:rFonts w:cs="David" w:hint="cs"/>
          <w:sz w:val="28"/>
          <w:szCs w:val="28"/>
          <w:rtl/>
        </w:rPr>
        <w:t>)</w:t>
      </w:r>
      <w:r w:rsidRPr="0004711E">
        <w:rPr>
          <w:rFonts w:cs="David"/>
          <w:sz w:val="28"/>
          <w:szCs w:val="28"/>
          <w:rtl/>
        </w:rPr>
        <w:t xml:space="preserve">, והדבר </w:t>
      </w:r>
      <w:r w:rsidRPr="0004711E">
        <w:rPr>
          <w:rFonts w:cs="David" w:hint="cs"/>
          <w:sz w:val="28"/>
          <w:szCs w:val="28"/>
          <w:rtl/>
        </w:rPr>
        <w:t>פוגע אנושות ב</w:t>
      </w:r>
      <w:r w:rsidRPr="0004711E">
        <w:rPr>
          <w:rFonts w:cs="David"/>
          <w:sz w:val="28"/>
          <w:szCs w:val="28"/>
          <w:rtl/>
        </w:rPr>
        <w:t>מעמדן הדיפלומטי בעולם.</w:t>
      </w:r>
      <w:r w:rsidRPr="0004711E">
        <w:rPr>
          <w:rFonts w:cs="David" w:hint="cs"/>
          <w:sz w:val="28"/>
          <w:szCs w:val="28"/>
          <w:rtl/>
        </w:rPr>
        <w:t xml:space="preserve"> מובן שלמדינת ישראל אין עניין להיות בעמדה כזו.</w:t>
      </w:r>
    </w:p>
    <w:p w:rsidR="006B415E" w:rsidRPr="0004711E" w:rsidRDefault="006B415E" w:rsidP="008B316C">
      <w:pPr>
        <w:spacing w:after="0" w:line="360" w:lineRule="auto"/>
        <w:jc w:val="both"/>
        <w:rPr>
          <w:rFonts w:cs="David"/>
          <w:sz w:val="28"/>
          <w:szCs w:val="28"/>
          <w:rtl/>
        </w:rPr>
      </w:pPr>
    </w:p>
    <w:p w:rsidR="00526110" w:rsidRPr="0004711E" w:rsidRDefault="00F04D7A" w:rsidP="008B316C">
      <w:pPr>
        <w:spacing w:after="0" w:line="360" w:lineRule="auto"/>
        <w:jc w:val="both"/>
        <w:rPr>
          <w:rFonts w:cs="David"/>
          <w:sz w:val="28"/>
          <w:szCs w:val="28"/>
          <w:rtl/>
        </w:rPr>
      </w:pPr>
      <w:r w:rsidRPr="0004711E">
        <w:rPr>
          <w:rFonts w:cs="David" w:hint="cs"/>
          <w:sz w:val="28"/>
          <w:szCs w:val="28"/>
          <w:rtl/>
        </w:rPr>
        <w:t>החברות בקהילה הבינלאומית ו</w:t>
      </w:r>
      <w:r w:rsidR="001C4501">
        <w:rPr>
          <w:rFonts w:cs="David" w:hint="cs"/>
          <w:sz w:val="28"/>
          <w:szCs w:val="28"/>
          <w:rtl/>
        </w:rPr>
        <w:t>ה</w:t>
      </w:r>
      <w:r w:rsidRPr="0004711E">
        <w:rPr>
          <w:rFonts w:cs="David" w:hint="cs"/>
          <w:sz w:val="28"/>
          <w:szCs w:val="28"/>
          <w:rtl/>
        </w:rPr>
        <w:t xml:space="preserve">השתתפות בגופים בינלאומיים גם מאפשרת לישראל לקדם צעדים חיוביים. </w:t>
      </w:r>
      <w:r w:rsidR="006B415E" w:rsidRPr="0004711E">
        <w:rPr>
          <w:rFonts w:cs="David" w:hint="cs"/>
          <w:sz w:val="28"/>
          <w:szCs w:val="28"/>
          <w:rtl/>
        </w:rPr>
        <w:t xml:space="preserve">כך, </w:t>
      </w:r>
      <w:r w:rsidRPr="0004711E">
        <w:rPr>
          <w:rFonts w:cs="David" w:hint="cs"/>
          <w:sz w:val="28"/>
          <w:szCs w:val="28"/>
          <w:rtl/>
        </w:rPr>
        <w:t xml:space="preserve">לדוגמה, </w:t>
      </w:r>
      <w:r w:rsidR="006B415E" w:rsidRPr="0004711E">
        <w:rPr>
          <w:rFonts w:cs="David" w:hint="cs"/>
          <w:sz w:val="28"/>
          <w:szCs w:val="28"/>
          <w:rtl/>
        </w:rPr>
        <w:t xml:space="preserve">הצליחה ישראל </w:t>
      </w:r>
      <w:r w:rsidR="00526110" w:rsidRPr="0004711E">
        <w:rPr>
          <w:rFonts w:cs="David" w:hint="cs"/>
          <w:sz w:val="28"/>
          <w:szCs w:val="28"/>
          <w:rtl/>
        </w:rPr>
        <w:t xml:space="preserve">בשנת 2005 </w:t>
      </w:r>
      <w:r w:rsidR="006B415E" w:rsidRPr="0004711E">
        <w:rPr>
          <w:rFonts w:cs="David" w:hint="cs"/>
          <w:sz w:val="28"/>
          <w:szCs w:val="28"/>
          <w:rtl/>
        </w:rPr>
        <w:t xml:space="preserve">להעביר </w:t>
      </w:r>
      <w:r w:rsidRPr="0004711E">
        <w:rPr>
          <w:rFonts w:cs="David" w:hint="cs"/>
          <w:sz w:val="28"/>
          <w:szCs w:val="28"/>
          <w:rtl/>
        </w:rPr>
        <w:t xml:space="preserve">בעצרת הכללית </w:t>
      </w:r>
      <w:r w:rsidR="006B415E" w:rsidRPr="0004711E">
        <w:rPr>
          <w:rFonts w:cs="David" w:hint="cs"/>
          <w:sz w:val="28"/>
          <w:szCs w:val="28"/>
          <w:rtl/>
        </w:rPr>
        <w:t>של האו"ם החלטה</w:t>
      </w:r>
      <w:r w:rsidRPr="0004711E">
        <w:rPr>
          <w:rFonts w:cs="David" w:hint="cs"/>
          <w:sz w:val="28"/>
          <w:szCs w:val="28"/>
          <w:rtl/>
        </w:rPr>
        <w:t xml:space="preserve"> לגבי </w:t>
      </w:r>
      <w:r w:rsidR="006B415E" w:rsidRPr="0004711E">
        <w:rPr>
          <w:rFonts w:cs="David" w:hint="cs"/>
          <w:sz w:val="28"/>
          <w:szCs w:val="28"/>
          <w:rtl/>
        </w:rPr>
        <w:t xml:space="preserve">קביעת </w:t>
      </w:r>
      <w:r w:rsidRPr="0004711E">
        <w:rPr>
          <w:rFonts w:cs="David" w:hint="cs"/>
          <w:sz w:val="28"/>
          <w:szCs w:val="28"/>
          <w:rtl/>
        </w:rPr>
        <w:t xml:space="preserve">יום </w:t>
      </w:r>
      <w:r w:rsidR="006B415E" w:rsidRPr="0004711E">
        <w:rPr>
          <w:rFonts w:cs="David" w:hint="cs"/>
          <w:sz w:val="28"/>
          <w:szCs w:val="28"/>
          <w:rtl/>
        </w:rPr>
        <w:t>זיכרון בינלאומי ל</w:t>
      </w:r>
      <w:r w:rsidRPr="0004711E">
        <w:rPr>
          <w:rFonts w:cs="David" w:hint="cs"/>
          <w:sz w:val="28"/>
          <w:szCs w:val="28"/>
          <w:rtl/>
        </w:rPr>
        <w:t>שואה</w:t>
      </w:r>
      <w:r w:rsidR="006B415E" w:rsidRPr="0004711E">
        <w:rPr>
          <w:rStyle w:val="a7"/>
          <w:rFonts w:cs="David"/>
          <w:sz w:val="28"/>
          <w:szCs w:val="28"/>
          <w:rtl/>
        </w:rPr>
        <w:footnoteReference w:id="106"/>
      </w:r>
      <w:r w:rsidR="00526110" w:rsidRPr="0004711E">
        <w:rPr>
          <w:rFonts w:cs="David" w:hint="cs"/>
          <w:sz w:val="28"/>
          <w:szCs w:val="28"/>
          <w:rtl/>
        </w:rPr>
        <w:t xml:space="preserve">. </w:t>
      </w:r>
      <w:r w:rsidR="00526110" w:rsidRPr="0004711E">
        <w:rPr>
          <w:rFonts w:cs="David" w:hint="cs"/>
          <w:sz w:val="28"/>
          <w:szCs w:val="28"/>
          <w:rtl/>
        </w:rPr>
        <w:lastRenderedPageBreak/>
        <w:t xml:space="preserve">בשנת 2013 העבירה ישראל בעצרת הכללית החלטה שמעודדת </w:t>
      </w:r>
      <w:r w:rsidR="00526110" w:rsidRPr="0004711E">
        <w:rPr>
          <w:rFonts w:cs="David"/>
          <w:sz w:val="28"/>
          <w:szCs w:val="28"/>
          <w:rtl/>
        </w:rPr>
        <w:t xml:space="preserve">ממשלות לנקוט גישה מתואמת וכוללנית לפיתוח </w:t>
      </w:r>
      <w:r w:rsidRPr="0004711E">
        <w:rPr>
          <w:rFonts w:cs="David" w:hint="cs"/>
          <w:sz w:val="28"/>
          <w:szCs w:val="28"/>
          <w:rtl/>
        </w:rPr>
        <w:t>חדשנות</w:t>
      </w:r>
      <w:r w:rsidR="00526110" w:rsidRPr="0004711E">
        <w:rPr>
          <w:rStyle w:val="a7"/>
          <w:rFonts w:cs="David"/>
          <w:sz w:val="28"/>
          <w:szCs w:val="28"/>
          <w:rtl/>
        </w:rPr>
        <w:footnoteReference w:id="107"/>
      </w:r>
      <w:r w:rsidRPr="0004711E">
        <w:rPr>
          <w:rFonts w:cs="David" w:hint="cs"/>
          <w:sz w:val="28"/>
          <w:szCs w:val="28"/>
          <w:rtl/>
        </w:rPr>
        <w:t xml:space="preserve">. </w:t>
      </w:r>
    </w:p>
    <w:p w:rsidR="00526110" w:rsidRPr="0004711E" w:rsidRDefault="00526110" w:rsidP="008B316C">
      <w:pPr>
        <w:spacing w:after="0" w:line="360" w:lineRule="auto"/>
        <w:jc w:val="both"/>
        <w:rPr>
          <w:rFonts w:cs="David"/>
          <w:sz w:val="28"/>
          <w:szCs w:val="28"/>
          <w:rtl/>
        </w:rPr>
      </w:pPr>
    </w:p>
    <w:p w:rsidR="00F04D7A" w:rsidRPr="0004711E" w:rsidRDefault="00526110" w:rsidP="008B316C">
      <w:pPr>
        <w:spacing w:after="0" w:line="360" w:lineRule="auto"/>
        <w:jc w:val="both"/>
        <w:rPr>
          <w:rFonts w:cs="David"/>
          <w:sz w:val="28"/>
          <w:szCs w:val="28"/>
          <w:rtl/>
        </w:rPr>
      </w:pPr>
      <w:r w:rsidRPr="0004711E">
        <w:rPr>
          <w:rFonts w:cs="David" w:hint="cs"/>
          <w:sz w:val="28"/>
          <w:szCs w:val="28"/>
          <w:rtl/>
        </w:rPr>
        <w:t xml:space="preserve">כמדינת העם היהודי, </w:t>
      </w:r>
      <w:r w:rsidR="00F04D7A" w:rsidRPr="0004711E">
        <w:rPr>
          <w:rFonts w:cs="David" w:hint="cs"/>
          <w:sz w:val="28"/>
          <w:szCs w:val="28"/>
          <w:rtl/>
        </w:rPr>
        <w:t>ההשתתפות הישראלית בקהילה הבינלאומית חשובה לא רק לישראל, אלא גם ל</w:t>
      </w:r>
      <w:r w:rsidRPr="0004711E">
        <w:rPr>
          <w:rFonts w:cs="David" w:hint="cs"/>
          <w:sz w:val="28"/>
          <w:szCs w:val="28"/>
          <w:rtl/>
        </w:rPr>
        <w:t xml:space="preserve">מעמדם ולביטחונם של </w:t>
      </w:r>
      <w:r w:rsidR="00F04D7A" w:rsidRPr="0004711E">
        <w:rPr>
          <w:rFonts w:cs="David" w:hint="cs"/>
          <w:sz w:val="28"/>
          <w:szCs w:val="28"/>
          <w:rtl/>
        </w:rPr>
        <w:t>יהודים ברחבי העולם.</w:t>
      </w:r>
    </w:p>
    <w:p w:rsidR="00C16EF1" w:rsidRPr="0004711E" w:rsidRDefault="00C16EF1" w:rsidP="008B316C">
      <w:pPr>
        <w:spacing w:after="0" w:line="360" w:lineRule="auto"/>
        <w:jc w:val="both"/>
        <w:rPr>
          <w:rFonts w:cs="David"/>
          <w:sz w:val="28"/>
          <w:szCs w:val="28"/>
          <w:rtl/>
        </w:rPr>
      </w:pPr>
    </w:p>
    <w:p w:rsidR="005A2213" w:rsidRPr="0004711E" w:rsidRDefault="00513DBA" w:rsidP="00513DBA">
      <w:pPr>
        <w:spacing w:after="0" w:line="360" w:lineRule="auto"/>
        <w:jc w:val="both"/>
        <w:rPr>
          <w:rFonts w:cs="David"/>
          <w:sz w:val="28"/>
          <w:szCs w:val="28"/>
          <w:rtl/>
        </w:rPr>
      </w:pPr>
      <w:r>
        <w:rPr>
          <w:rFonts w:cs="David" w:hint="cs"/>
          <w:sz w:val="28"/>
          <w:szCs w:val="28"/>
          <w:rtl/>
        </w:rPr>
        <w:t xml:space="preserve">הנספח לעבודה זו מונה, כאמור, רשימה של </w:t>
      </w:r>
      <w:r w:rsidR="009F6ED1">
        <w:rPr>
          <w:rFonts w:cs="David" w:hint="cs"/>
          <w:sz w:val="28"/>
          <w:szCs w:val="28"/>
          <w:rtl/>
        </w:rPr>
        <w:t xml:space="preserve">ועדות חקירה </w:t>
      </w:r>
      <w:r>
        <w:rPr>
          <w:rFonts w:cs="David" w:hint="cs"/>
          <w:sz w:val="28"/>
          <w:szCs w:val="28"/>
          <w:rtl/>
        </w:rPr>
        <w:t xml:space="preserve">בינלאומיות </w:t>
      </w:r>
      <w:r w:rsidR="00EB1311" w:rsidRPr="0004711E">
        <w:rPr>
          <w:rFonts w:cs="David" w:hint="cs"/>
          <w:sz w:val="28"/>
          <w:szCs w:val="28"/>
          <w:rtl/>
        </w:rPr>
        <w:t>שחקרו פעילויות ש</w:t>
      </w:r>
      <w:r w:rsidR="007E491E">
        <w:rPr>
          <w:rFonts w:cs="David" w:hint="cs"/>
          <w:sz w:val="28"/>
          <w:szCs w:val="28"/>
          <w:rtl/>
        </w:rPr>
        <w:t>ל צה"ל</w:t>
      </w:r>
      <w:r w:rsidR="00EB1311" w:rsidRPr="0004711E">
        <w:rPr>
          <w:rFonts w:cs="David" w:hint="cs"/>
          <w:sz w:val="28"/>
          <w:szCs w:val="28"/>
          <w:rtl/>
        </w:rPr>
        <w:t>. כפי ש</w:t>
      </w:r>
      <w:r>
        <w:rPr>
          <w:rFonts w:cs="David" w:hint="cs"/>
          <w:sz w:val="28"/>
          <w:szCs w:val="28"/>
          <w:rtl/>
        </w:rPr>
        <w:t>מ</w:t>
      </w:r>
      <w:r w:rsidR="00EB1311" w:rsidRPr="0004711E">
        <w:rPr>
          <w:rFonts w:cs="David" w:hint="cs"/>
          <w:sz w:val="28"/>
          <w:szCs w:val="28"/>
          <w:rtl/>
        </w:rPr>
        <w:t>צוין</w:t>
      </w:r>
      <w:r>
        <w:rPr>
          <w:rFonts w:cs="David" w:hint="cs"/>
          <w:sz w:val="28"/>
          <w:szCs w:val="28"/>
          <w:rtl/>
        </w:rPr>
        <w:t xml:space="preserve"> בו</w:t>
      </w:r>
      <w:r w:rsidR="00EB1311" w:rsidRPr="0004711E">
        <w:rPr>
          <w:rFonts w:cs="David" w:hint="cs"/>
          <w:sz w:val="28"/>
          <w:szCs w:val="28"/>
          <w:rtl/>
        </w:rPr>
        <w:t xml:space="preserve">, מרבית הוועדות שכתבו את הדוחות הללו לא זכו לשיתוף פעולה של מדינת ישראל, מטעמים שונים, שעוד ידונו בהמשך. למרות חוסר הלגיטימציה שמנסה מדינת ישראל להצמיד לדוחות הללו, מטעמים מוצדקים, אין ספק כי </w:t>
      </w:r>
      <w:r w:rsidR="001900D0" w:rsidRPr="0004711E">
        <w:rPr>
          <w:rFonts w:cs="David" w:hint="cs"/>
          <w:sz w:val="28"/>
          <w:szCs w:val="28"/>
          <w:rtl/>
        </w:rPr>
        <w:t>הדוחות פוגעים בתדמיתה הבינלאומית של ישראל ומציירים אותה כמדינה שאינה מכבדת זכויות אדם</w:t>
      </w:r>
      <w:r w:rsidR="00EB1311" w:rsidRPr="0004711E">
        <w:rPr>
          <w:rFonts w:cs="David" w:hint="cs"/>
          <w:sz w:val="28"/>
          <w:szCs w:val="28"/>
          <w:rtl/>
        </w:rPr>
        <w:t xml:space="preserve">. החלטתה של מדינת ישראל שלא לשתף פעולה עם </w:t>
      </w:r>
      <w:r w:rsidR="00310D3D">
        <w:rPr>
          <w:rFonts w:cs="David" w:hint="cs"/>
          <w:sz w:val="28"/>
          <w:szCs w:val="28"/>
          <w:rtl/>
        </w:rPr>
        <w:t>ועדות החקירה הבינלאומיות</w:t>
      </w:r>
      <w:r w:rsidR="00EB1311" w:rsidRPr="0004711E">
        <w:rPr>
          <w:rFonts w:cs="David" w:hint="cs"/>
          <w:sz w:val="28"/>
          <w:szCs w:val="28"/>
          <w:rtl/>
        </w:rPr>
        <w:t xml:space="preserve"> גם יוצרת תחושה שיש לה מה להסתיר </w:t>
      </w:r>
      <w:r w:rsidR="00EB2C96" w:rsidRPr="0004711E">
        <w:rPr>
          <w:rFonts w:cs="David" w:hint="cs"/>
          <w:sz w:val="28"/>
          <w:szCs w:val="28"/>
          <w:rtl/>
        </w:rPr>
        <w:t xml:space="preserve">ומייצרת לה תדמית, שכונתה </w:t>
      </w:r>
      <w:r w:rsidR="00692192">
        <w:rPr>
          <w:rFonts w:cs="David" w:hint="cs"/>
          <w:sz w:val="28"/>
          <w:szCs w:val="28"/>
          <w:rtl/>
        </w:rPr>
        <w:t>על ידי</w:t>
      </w:r>
      <w:r w:rsidR="00EB2C96" w:rsidRPr="0004711E">
        <w:rPr>
          <w:rFonts w:cs="David" w:hint="cs"/>
          <w:sz w:val="28"/>
          <w:szCs w:val="28"/>
          <w:rtl/>
        </w:rPr>
        <w:t xml:space="preserve"> אחד המרואיינים לעבודה, "</w:t>
      </w:r>
      <w:r w:rsidR="00EB1311" w:rsidRPr="0004711E">
        <w:rPr>
          <w:rFonts w:cs="David" w:hint="cs"/>
          <w:sz w:val="28"/>
          <w:szCs w:val="28"/>
          <w:rtl/>
        </w:rPr>
        <w:t>של חשוד ששומר על זכות השתיקה</w:t>
      </w:r>
      <w:r w:rsidR="00EB2C96" w:rsidRPr="0004711E">
        <w:rPr>
          <w:rFonts w:cs="David" w:hint="cs"/>
          <w:sz w:val="28"/>
          <w:szCs w:val="28"/>
          <w:rtl/>
        </w:rPr>
        <w:t>"</w:t>
      </w:r>
      <w:r w:rsidR="00EB1311" w:rsidRPr="0004711E">
        <w:rPr>
          <w:rFonts w:cs="David" w:hint="cs"/>
          <w:sz w:val="28"/>
          <w:szCs w:val="28"/>
          <w:rtl/>
        </w:rPr>
        <w:t xml:space="preserve">. </w:t>
      </w:r>
      <w:r w:rsidR="00EB2C96" w:rsidRPr="0004711E">
        <w:rPr>
          <w:rFonts w:cs="David" w:hint="cs"/>
          <w:sz w:val="28"/>
          <w:szCs w:val="28"/>
          <w:rtl/>
        </w:rPr>
        <w:t xml:space="preserve">חלק מהמרואיינים לעבודה ציינו, כי </w:t>
      </w:r>
      <w:r w:rsidR="001900D0" w:rsidRPr="0004711E">
        <w:rPr>
          <w:rFonts w:cs="David" w:hint="cs"/>
          <w:sz w:val="28"/>
          <w:szCs w:val="28"/>
          <w:rtl/>
        </w:rPr>
        <w:t xml:space="preserve">חוסר שיתוף פעולה של ישראל עם </w:t>
      </w:r>
      <w:r w:rsidR="00EB2C96" w:rsidRPr="0004711E">
        <w:rPr>
          <w:rFonts w:cs="David" w:hint="cs"/>
          <w:sz w:val="28"/>
          <w:szCs w:val="28"/>
          <w:rtl/>
        </w:rPr>
        <w:t>ה</w:t>
      </w:r>
      <w:r>
        <w:rPr>
          <w:rFonts w:cs="David" w:hint="cs"/>
          <w:sz w:val="28"/>
          <w:szCs w:val="28"/>
          <w:rtl/>
        </w:rPr>
        <w:t>ו</w:t>
      </w:r>
      <w:r w:rsidR="0074404A">
        <w:rPr>
          <w:rFonts w:cs="David" w:hint="cs"/>
          <w:sz w:val="28"/>
          <w:szCs w:val="28"/>
          <w:rtl/>
        </w:rPr>
        <w:t>ועדות</w:t>
      </w:r>
      <w:r w:rsidR="00EB2C96" w:rsidRPr="0004711E">
        <w:rPr>
          <w:rFonts w:cs="David" w:hint="cs"/>
          <w:sz w:val="28"/>
          <w:szCs w:val="28"/>
          <w:rtl/>
        </w:rPr>
        <w:t xml:space="preserve"> </w:t>
      </w:r>
      <w:r w:rsidR="001900D0" w:rsidRPr="0004711E">
        <w:rPr>
          <w:rFonts w:cs="David" w:hint="cs"/>
          <w:sz w:val="28"/>
          <w:szCs w:val="28"/>
          <w:rtl/>
        </w:rPr>
        <w:t>הבינלאומי</w:t>
      </w:r>
      <w:r>
        <w:rPr>
          <w:rFonts w:cs="David" w:hint="cs"/>
          <w:sz w:val="28"/>
          <w:szCs w:val="28"/>
          <w:rtl/>
        </w:rPr>
        <w:t>ות</w:t>
      </w:r>
      <w:r w:rsidR="001900D0" w:rsidRPr="0004711E">
        <w:rPr>
          <w:rFonts w:cs="David" w:hint="cs"/>
          <w:sz w:val="28"/>
          <w:szCs w:val="28"/>
          <w:rtl/>
        </w:rPr>
        <w:t xml:space="preserve"> </w:t>
      </w:r>
      <w:r w:rsidR="00EB2C96" w:rsidRPr="0004711E">
        <w:rPr>
          <w:rFonts w:cs="David" w:hint="cs"/>
          <w:sz w:val="28"/>
          <w:szCs w:val="28"/>
          <w:rtl/>
        </w:rPr>
        <w:t>נ</w:t>
      </w:r>
      <w:r w:rsidR="001900D0" w:rsidRPr="0004711E">
        <w:rPr>
          <w:rFonts w:cs="David" w:hint="cs"/>
          <w:sz w:val="28"/>
          <w:szCs w:val="28"/>
          <w:rtl/>
        </w:rPr>
        <w:t>תפס בהרבה מדינות כ</w:t>
      </w:r>
      <w:r w:rsidR="001C4501">
        <w:rPr>
          <w:rFonts w:cs="David" w:hint="cs"/>
          <w:sz w:val="28"/>
          <w:szCs w:val="28"/>
          <w:rtl/>
        </w:rPr>
        <w:t>"</w:t>
      </w:r>
      <w:r w:rsidR="001900D0" w:rsidRPr="0004711E">
        <w:rPr>
          <w:rFonts w:cs="David" w:hint="cs"/>
          <w:sz w:val="28"/>
          <w:szCs w:val="28"/>
          <w:rtl/>
        </w:rPr>
        <w:t>מטיל כתם על ישראל</w:t>
      </w:r>
      <w:r w:rsidR="001C4501">
        <w:rPr>
          <w:rFonts w:cs="David" w:hint="cs"/>
          <w:sz w:val="28"/>
          <w:szCs w:val="28"/>
          <w:rtl/>
        </w:rPr>
        <w:t>"</w:t>
      </w:r>
      <w:r w:rsidR="00EB2C96" w:rsidRPr="0004711E">
        <w:rPr>
          <w:rFonts w:cs="David" w:hint="cs"/>
          <w:sz w:val="28"/>
          <w:szCs w:val="28"/>
          <w:rtl/>
        </w:rPr>
        <w:t>, אשר נתפסת כמדינה מסתגרת ומתבדלת,</w:t>
      </w:r>
      <w:r w:rsidR="001900D0" w:rsidRPr="0004711E">
        <w:rPr>
          <w:rFonts w:cs="David" w:hint="cs"/>
          <w:sz w:val="28"/>
          <w:szCs w:val="28"/>
          <w:rtl/>
        </w:rPr>
        <w:t xml:space="preserve"> ולא על </w:t>
      </w:r>
      <w:r w:rsidR="00EB2C96" w:rsidRPr="0004711E">
        <w:rPr>
          <w:rFonts w:cs="David" w:hint="cs"/>
          <w:sz w:val="28"/>
          <w:szCs w:val="28"/>
          <w:rtl/>
        </w:rPr>
        <w:t>ה</w:t>
      </w:r>
      <w:r>
        <w:rPr>
          <w:rFonts w:cs="David" w:hint="cs"/>
          <w:sz w:val="28"/>
          <w:szCs w:val="28"/>
          <w:rtl/>
        </w:rPr>
        <w:t>ו</w:t>
      </w:r>
      <w:r w:rsidR="0074404A">
        <w:rPr>
          <w:rFonts w:cs="David" w:hint="cs"/>
          <w:sz w:val="28"/>
          <w:szCs w:val="28"/>
          <w:rtl/>
        </w:rPr>
        <w:t>ועדות</w:t>
      </w:r>
      <w:r w:rsidR="001900D0" w:rsidRPr="0004711E">
        <w:rPr>
          <w:rFonts w:cs="David" w:hint="cs"/>
          <w:sz w:val="28"/>
          <w:szCs w:val="28"/>
          <w:rtl/>
        </w:rPr>
        <w:t>, שנתפס</w:t>
      </w:r>
      <w:r>
        <w:rPr>
          <w:rFonts w:cs="David" w:hint="cs"/>
          <w:sz w:val="28"/>
          <w:szCs w:val="28"/>
          <w:rtl/>
        </w:rPr>
        <w:t>ות</w:t>
      </w:r>
      <w:r w:rsidR="001900D0" w:rsidRPr="0004711E">
        <w:rPr>
          <w:rFonts w:cs="David" w:hint="cs"/>
          <w:sz w:val="28"/>
          <w:szCs w:val="28"/>
          <w:rtl/>
        </w:rPr>
        <w:t xml:space="preserve"> כגופים אמינים ולגיטימיים, גם אם </w:t>
      </w:r>
      <w:r>
        <w:rPr>
          <w:rFonts w:cs="David" w:hint="cs"/>
          <w:sz w:val="28"/>
          <w:szCs w:val="28"/>
          <w:rtl/>
        </w:rPr>
        <w:t xml:space="preserve">הן מתמנות על ידי </w:t>
      </w:r>
      <w:r w:rsidR="00EB2C96" w:rsidRPr="0004711E">
        <w:rPr>
          <w:rFonts w:cs="David" w:hint="cs"/>
          <w:sz w:val="28"/>
          <w:szCs w:val="28"/>
          <w:rtl/>
        </w:rPr>
        <w:t xml:space="preserve">גופים מוטים פוליטית, כמו </w:t>
      </w:r>
      <w:r w:rsidR="001900D0" w:rsidRPr="0004711E">
        <w:rPr>
          <w:rFonts w:cs="David" w:hint="cs"/>
          <w:sz w:val="28"/>
          <w:szCs w:val="28"/>
          <w:rtl/>
        </w:rPr>
        <w:t>מועצת זכויות האדם</w:t>
      </w:r>
      <w:r w:rsidR="00EB2C96" w:rsidRPr="0020036A">
        <w:rPr>
          <w:rFonts w:cs="David" w:hint="cs"/>
          <w:sz w:val="28"/>
          <w:szCs w:val="28"/>
          <w:rtl/>
        </w:rPr>
        <w:t>, שהדיון לגביה עוד יורחב בהמשך</w:t>
      </w:r>
      <w:r w:rsidR="001900D0" w:rsidRPr="0004711E">
        <w:rPr>
          <w:rFonts w:cs="David" w:hint="cs"/>
          <w:sz w:val="28"/>
          <w:szCs w:val="28"/>
          <w:rtl/>
        </w:rPr>
        <w:t xml:space="preserve">. </w:t>
      </w:r>
      <w:r w:rsidR="005A2213" w:rsidRPr="0004711E">
        <w:rPr>
          <w:rFonts w:cs="David" w:hint="cs"/>
          <w:sz w:val="28"/>
          <w:szCs w:val="28"/>
          <w:rtl/>
        </w:rPr>
        <w:t xml:space="preserve">אומנם, מדינת ישראל מעולם לא הכריזה כי לא תשתף פעולה עם </w:t>
      </w:r>
      <w:r w:rsidR="009C039C">
        <w:rPr>
          <w:rFonts w:cs="David" w:hint="cs"/>
          <w:sz w:val="28"/>
          <w:szCs w:val="28"/>
          <w:rtl/>
        </w:rPr>
        <w:t>ועדות חקירה בינלאומיות</w:t>
      </w:r>
      <w:r w:rsidR="005A2213" w:rsidRPr="0004711E">
        <w:rPr>
          <w:rFonts w:cs="David" w:hint="cs"/>
          <w:sz w:val="28"/>
          <w:szCs w:val="28"/>
          <w:rtl/>
        </w:rPr>
        <w:t xml:space="preserve"> כעניין עקרוני, והחלטתה היא תמיד תלוית נסיבות פרטניות הקשורות ל</w:t>
      </w:r>
      <w:r>
        <w:rPr>
          <w:rFonts w:cs="David" w:hint="cs"/>
          <w:sz w:val="28"/>
          <w:szCs w:val="28"/>
          <w:rtl/>
        </w:rPr>
        <w:t>ו</w:t>
      </w:r>
      <w:r w:rsidR="0074404A">
        <w:rPr>
          <w:rFonts w:cs="David" w:hint="cs"/>
          <w:sz w:val="28"/>
          <w:szCs w:val="28"/>
          <w:rtl/>
        </w:rPr>
        <w:t>ועדה</w:t>
      </w:r>
      <w:r w:rsidR="005A2213" w:rsidRPr="0004711E">
        <w:rPr>
          <w:rFonts w:cs="David" w:hint="cs"/>
          <w:sz w:val="28"/>
          <w:szCs w:val="28"/>
          <w:rtl/>
        </w:rPr>
        <w:t xml:space="preserve"> שהוק</w:t>
      </w:r>
      <w:r>
        <w:rPr>
          <w:rFonts w:cs="David" w:hint="cs"/>
          <w:sz w:val="28"/>
          <w:szCs w:val="28"/>
          <w:rtl/>
        </w:rPr>
        <w:t>מה</w:t>
      </w:r>
      <w:r w:rsidR="005A2213" w:rsidRPr="0004711E">
        <w:rPr>
          <w:rFonts w:cs="David" w:hint="cs"/>
          <w:sz w:val="28"/>
          <w:szCs w:val="28"/>
          <w:rtl/>
        </w:rPr>
        <w:t>. יחד עם זאת, חלק מהמרואיינים לעבודה ציינו, כי לאורך זמן, יש מחיר גם לשיתוף פעולה אד הוק, להבדיל משיתוף פעולה יציב וקבוע, מפני שהתנהלותה של ישראל הוציאה לה שם של מדינה שלא משתפת פעולה באופן קבוע, או "סרבנית סדרתית של בדיקות", כפי שכינה זאת אחד המרואיינים.</w:t>
      </w:r>
    </w:p>
    <w:p w:rsidR="005A2213" w:rsidRPr="0004711E" w:rsidRDefault="005A2213" w:rsidP="008B316C">
      <w:pPr>
        <w:spacing w:after="0" w:line="360" w:lineRule="auto"/>
        <w:jc w:val="both"/>
        <w:rPr>
          <w:rFonts w:cs="David"/>
          <w:sz w:val="28"/>
          <w:szCs w:val="28"/>
          <w:rtl/>
        </w:rPr>
      </w:pPr>
    </w:p>
    <w:p w:rsidR="005A2213" w:rsidRPr="0004711E" w:rsidRDefault="001C4501" w:rsidP="00513DBA">
      <w:pPr>
        <w:spacing w:after="0" w:line="360" w:lineRule="auto"/>
        <w:jc w:val="both"/>
        <w:rPr>
          <w:rFonts w:cs="David"/>
          <w:sz w:val="28"/>
          <w:szCs w:val="28"/>
          <w:rtl/>
        </w:rPr>
      </w:pPr>
      <w:r>
        <w:rPr>
          <w:rFonts w:cs="David" w:hint="cs"/>
          <w:sz w:val="28"/>
          <w:szCs w:val="28"/>
          <w:rtl/>
        </w:rPr>
        <w:t>יש</w:t>
      </w:r>
      <w:r w:rsidRPr="0004711E">
        <w:rPr>
          <w:rFonts w:cs="David" w:hint="cs"/>
          <w:sz w:val="28"/>
          <w:szCs w:val="28"/>
          <w:rtl/>
        </w:rPr>
        <w:t xml:space="preserve"> </w:t>
      </w:r>
      <w:r w:rsidR="00086BF5" w:rsidRPr="0004711E">
        <w:rPr>
          <w:rFonts w:cs="David" w:hint="cs"/>
          <w:sz w:val="28"/>
          <w:szCs w:val="28"/>
          <w:rtl/>
        </w:rPr>
        <w:t xml:space="preserve">לזכור, שבניגוד לישראל, הנציגים שתומכים בצד השני לסכסוך משקיעים מאמצים ניכרים </w:t>
      </w:r>
      <w:r>
        <w:rPr>
          <w:rFonts w:cs="David" w:hint="cs"/>
          <w:sz w:val="28"/>
          <w:szCs w:val="28"/>
          <w:rtl/>
        </w:rPr>
        <w:t xml:space="preserve">במטרה </w:t>
      </w:r>
      <w:r w:rsidR="00086BF5" w:rsidRPr="0004711E">
        <w:rPr>
          <w:rFonts w:cs="David" w:hint="cs"/>
          <w:sz w:val="28"/>
          <w:szCs w:val="28"/>
          <w:rtl/>
        </w:rPr>
        <w:t xml:space="preserve">להופיע בפני </w:t>
      </w:r>
      <w:r w:rsidR="009C039C">
        <w:rPr>
          <w:rFonts w:cs="David" w:hint="cs"/>
          <w:sz w:val="28"/>
          <w:szCs w:val="28"/>
          <w:rtl/>
        </w:rPr>
        <w:t>ועדות החקירה</w:t>
      </w:r>
      <w:r w:rsidR="00086BF5" w:rsidRPr="0004711E">
        <w:rPr>
          <w:rFonts w:cs="David" w:hint="cs"/>
          <w:sz w:val="28"/>
          <w:szCs w:val="28"/>
          <w:rtl/>
        </w:rPr>
        <w:t>, להשפיע עליה</w:t>
      </w:r>
      <w:r w:rsidR="00513DBA">
        <w:rPr>
          <w:rFonts w:cs="David" w:hint="cs"/>
          <w:sz w:val="28"/>
          <w:szCs w:val="28"/>
          <w:rtl/>
        </w:rPr>
        <w:t>ן</w:t>
      </w:r>
      <w:r w:rsidR="00086BF5" w:rsidRPr="0004711E">
        <w:rPr>
          <w:rFonts w:cs="David" w:hint="cs"/>
          <w:sz w:val="28"/>
          <w:szCs w:val="28"/>
          <w:rtl/>
        </w:rPr>
        <w:t xml:space="preserve"> ולקדם מהלכים ורעיונות כנגד ישראל, תחת אצטלה בינלאומית שנתפסת בעיני רוב העולם כמהוגנת, במיוחד כאשר האנשים שעומדים בראש </w:t>
      </w:r>
      <w:r w:rsidR="009C039C">
        <w:rPr>
          <w:rFonts w:cs="David" w:hint="cs"/>
          <w:sz w:val="28"/>
          <w:szCs w:val="28"/>
          <w:rtl/>
        </w:rPr>
        <w:t>ועדות החקירה</w:t>
      </w:r>
      <w:r w:rsidR="00086BF5" w:rsidRPr="0004711E">
        <w:rPr>
          <w:rFonts w:cs="David" w:hint="cs"/>
          <w:sz w:val="28"/>
          <w:szCs w:val="28"/>
          <w:rtl/>
        </w:rPr>
        <w:t xml:space="preserve"> הם משפטנים </w:t>
      </w:r>
      <w:r w:rsidR="00086BF5" w:rsidRPr="0004711E">
        <w:rPr>
          <w:rFonts w:cs="David" w:hint="cs"/>
          <w:sz w:val="28"/>
          <w:szCs w:val="28"/>
          <w:rtl/>
        </w:rPr>
        <w:lastRenderedPageBreak/>
        <w:t xml:space="preserve">בינלאומיים בעלי שם. בלית שיתוף פעולה ישראלי עם הבדיקה, נותרת הזירה </w:t>
      </w:r>
      <w:r w:rsidR="00513DBA">
        <w:rPr>
          <w:rFonts w:cs="David" w:hint="cs"/>
          <w:sz w:val="28"/>
          <w:szCs w:val="28"/>
          <w:rtl/>
        </w:rPr>
        <w:t xml:space="preserve">פנויה </w:t>
      </w:r>
      <w:r w:rsidR="00086BF5" w:rsidRPr="0004711E">
        <w:rPr>
          <w:rFonts w:cs="David" w:hint="cs"/>
          <w:sz w:val="28"/>
          <w:szCs w:val="28"/>
          <w:rtl/>
        </w:rPr>
        <w:t>למניפולציות חד-צדדיות של היריב.</w:t>
      </w:r>
      <w:r w:rsidR="005A2213" w:rsidRPr="0004711E">
        <w:rPr>
          <w:rFonts w:cs="David" w:hint="cs"/>
          <w:sz w:val="28"/>
          <w:szCs w:val="28"/>
          <w:rtl/>
        </w:rPr>
        <w:t xml:space="preserve"> </w:t>
      </w:r>
    </w:p>
    <w:p w:rsidR="00086BF5" w:rsidRPr="0004711E" w:rsidRDefault="00086BF5" w:rsidP="008B316C">
      <w:pPr>
        <w:spacing w:after="0" w:line="360" w:lineRule="auto"/>
        <w:jc w:val="both"/>
        <w:rPr>
          <w:rFonts w:cs="David"/>
          <w:sz w:val="28"/>
          <w:szCs w:val="28"/>
          <w:rtl/>
        </w:rPr>
      </w:pPr>
    </w:p>
    <w:p w:rsidR="001900D0" w:rsidRPr="0004711E" w:rsidRDefault="00EB2C96" w:rsidP="001C4501">
      <w:pPr>
        <w:spacing w:after="0" w:line="360" w:lineRule="auto"/>
        <w:jc w:val="both"/>
        <w:rPr>
          <w:rFonts w:cs="David"/>
          <w:sz w:val="28"/>
          <w:szCs w:val="28"/>
          <w:rtl/>
        </w:rPr>
      </w:pPr>
      <w:r w:rsidRPr="0004711E">
        <w:rPr>
          <w:rFonts w:cs="David" w:hint="cs"/>
          <w:sz w:val="28"/>
          <w:szCs w:val="28"/>
          <w:rtl/>
        </w:rPr>
        <w:t xml:space="preserve">בנוסף לכך, </w:t>
      </w:r>
      <w:r w:rsidR="001900D0" w:rsidRPr="0004711E">
        <w:rPr>
          <w:rFonts w:cs="David" w:hint="cs"/>
          <w:sz w:val="28"/>
          <w:szCs w:val="28"/>
          <w:rtl/>
        </w:rPr>
        <w:t xml:space="preserve">הדוחות </w:t>
      </w:r>
      <w:r w:rsidRPr="0004711E">
        <w:rPr>
          <w:rFonts w:cs="David" w:hint="cs"/>
          <w:sz w:val="28"/>
          <w:szCs w:val="28"/>
          <w:rtl/>
        </w:rPr>
        <w:t xml:space="preserve">שמתפרסמים כנגד ישראל </w:t>
      </w:r>
      <w:r w:rsidR="001900D0" w:rsidRPr="0004711E">
        <w:rPr>
          <w:rFonts w:cs="David" w:hint="cs"/>
          <w:sz w:val="28"/>
          <w:szCs w:val="28"/>
          <w:rtl/>
        </w:rPr>
        <w:t>מייצרים נזק, שגם אם אינו ניכר בעקבות פרסומו של כל דוח בנפרד, הרי שיש לו ערך שלילי מצטבר לאורך זמן. מדינות שונות בעולם רואות בדוחות האלה חלק מבסיס הנתונים בו הן עושות שימוש בקביעת אופי יחסי החוץ שלהן עם מדינת ישראל (</w:t>
      </w:r>
      <w:r w:rsidRPr="0004711E">
        <w:rPr>
          <w:rFonts w:cs="David" w:hint="cs"/>
          <w:sz w:val="28"/>
          <w:szCs w:val="28"/>
          <w:rtl/>
        </w:rPr>
        <w:t xml:space="preserve">הדבר בולט במיוחד במדינות </w:t>
      </w:r>
      <w:r w:rsidR="001900D0" w:rsidRPr="0004711E">
        <w:rPr>
          <w:rFonts w:cs="David" w:hint="cs"/>
          <w:sz w:val="28"/>
          <w:szCs w:val="28"/>
          <w:rtl/>
        </w:rPr>
        <w:t>אירופה</w:t>
      </w:r>
      <w:r w:rsidRPr="0004711E">
        <w:rPr>
          <w:rFonts w:cs="David" w:hint="cs"/>
          <w:sz w:val="28"/>
          <w:szCs w:val="28"/>
          <w:rtl/>
        </w:rPr>
        <w:t xml:space="preserve"> ו</w:t>
      </w:r>
      <w:r w:rsidR="001900D0" w:rsidRPr="0004711E">
        <w:rPr>
          <w:rFonts w:cs="David" w:hint="cs"/>
          <w:sz w:val="28"/>
          <w:szCs w:val="28"/>
          <w:rtl/>
        </w:rPr>
        <w:t>אמריקה הלטינית). הקביעות בדוחות הללו יכולות גם לספק לגיטימציה לפעולת גופים שפועלים כנגד מדינת ישראל, כגון תנועת ה-</w:t>
      </w:r>
      <w:r w:rsidR="001900D0" w:rsidRPr="0004711E">
        <w:rPr>
          <w:rFonts w:cs="David" w:hint="cs"/>
          <w:sz w:val="28"/>
          <w:szCs w:val="28"/>
        </w:rPr>
        <w:t>BDS</w:t>
      </w:r>
      <w:r w:rsidRPr="0004711E">
        <w:rPr>
          <w:rFonts w:cs="David"/>
          <w:sz w:val="28"/>
          <w:szCs w:val="28"/>
        </w:rPr>
        <w:t xml:space="preserve"> (Boycott, Divestment, Sanctions)</w:t>
      </w:r>
      <w:r w:rsidRPr="0004711E">
        <w:rPr>
          <w:rFonts w:cs="David" w:hint="cs"/>
          <w:sz w:val="28"/>
          <w:szCs w:val="28"/>
          <w:rtl/>
        </w:rPr>
        <w:t xml:space="preserve"> העולמית</w:t>
      </w:r>
      <w:r w:rsidR="001900D0" w:rsidRPr="0004711E">
        <w:rPr>
          <w:rFonts w:cs="David" w:hint="cs"/>
          <w:sz w:val="28"/>
          <w:szCs w:val="28"/>
          <w:rtl/>
        </w:rPr>
        <w:t xml:space="preserve">. אחד המרואיינים לעבודה זו כינה את </w:t>
      </w:r>
      <w:r w:rsidRPr="0004711E">
        <w:rPr>
          <w:rFonts w:cs="David" w:hint="cs"/>
          <w:sz w:val="28"/>
          <w:szCs w:val="28"/>
          <w:rtl/>
        </w:rPr>
        <w:t xml:space="preserve">אפקט הנזק המצטבר של הדוחות </w:t>
      </w:r>
      <w:r w:rsidR="001900D0" w:rsidRPr="0004711E">
        <w:rPr>
          <w:rFonts w:cs="David" w:hint="cs"/>
          <w:b/>
          <w:bCs/>
          <w:sz w:val="28"/>
          <w:szCs w:val="28"/>
          <w:rtl/>
        </w:rPr>
        <w:t>"תיאוריית הקש"</w:t>
      </w:r>
      <w:r w:rsidR="001900D0" w:rsidRPr="0004711E">
        <w:rPr>
          <w:rFonts w:cs="David" w:hint="cs"/>
          <w:sz w:val="28"/>
          <w:szCs w:val="28"/>
          <w:rtl/>
        </w:rPr>
        <w:t>, כפרפראזה מהביטוי "הקש ששבר את גב הגמל"</w:t>
      </w:r>
      <w:r w:rsidRPr="0004711E">
        <w:rPr>
          <w:rFonts w:cs="David" w:hint="cs"/>
          <w:sz w:val="28"/>
          <w:szCs w:val="28"/>
          <w:rtl/>
        </w:rPr>
        <w:t>. לפי תיאוריה זו,</w:t>
      </w:r>
      <w:r w:rsidR="001900D0" w:rsidRPr="0004711E">
        <w:rPr>
          <w:rFonts w:cs="David" w:hint="cs"/>
          <w:sz w:val="28"/>
          <w:szCs w:val="28"/>
          <w:rtl/>
        </w:rPr>
        <w:t xml:space="preserve"> פריטים </w:t>
      </w:r>
      <w:r w:rsidRPr="0004711E">
        <w:rPr>
          <w:rFonts w:cs="David" w:hint="cs"/>
          <w:sz w:val="28"/>
          <w:szCs w:val="28"/>
          <w:rtl/>
        </w:rPr>
        <w:t xml:space="preserve">שליליים </w:t>
      </w:r>
      <w:r w:rsidR="001900D0" w:rsidRPr="0004711E">
        <w:rPr>
          <w:rFonts w:cs="David" w:hint="cs"/>
          <w:sz w:val="28"/>
          <w:szCs w:val="28"/>
          <w:rtl/>
        </w:rPr>
        <w:t>שכל אחד מהם כשלעצמו מייצר נזק</w:t>
      </w:r>
      <w:r w:rsidRPr="0004711E">
        <w:rPr>
          <w:rFonts w:cs="David" w:hint="cs"/>
          <w:sz w:val="28"/>
          <w:szCs w:val="28"/>
          <w:rtl/>
        </w:rPr>
        <w:t xml:space="preserve"> קטן יחסית</w:t>
      </w:r>
      <w:r w:rsidR="001900D0" w:rsidRPr="0004711E">
        <w:rPr>
          <w:rFonts w:cs="David" w:hint="cs"/>
          <w:sz w:val="28"/>
          <w:szCs w:val="28"/>
          <w:rtl/>
        </w:rPr>
        <w:t xml:space="preserve">, </w:t>
      </w:r>
      <w:r w:rsidRPr="0004711E">
        <w:rPr>
          <w:rFonts w:cs="David" w:hint="cs"/>
          <w:sz w:val="28"/>
          <w:szCs w:val="28"/>
          <w:rtl/>
        </w:rPr>
        <w:t>עלולים ב</w:t>
      </w:r>
      <w:r w:rsidR="001900D0" w:rsidRPr="0004711E">
        <w:rPr>
          <w:rFonts w:cs="David" w:hint="cs"/>
          <w:sz w:val="28"/>
          <w:szCs w:val="28"/>
          <w:rtl/>
        </w:rPr>
        <w:t xml:space="preserve">הצטברותם או </w:t>
      </w:r>
      <w:r w:rsidRPr="0004711E">
        <w:rPr>
          <w:rFonts w:cs="David" w:hint="cs"/>
          <w:sz w:val="28"/>
          <w:szCs w:val="28"/>
          <w:rtl/>
        </w:rPr>
        <w:t xml:space="preserve">בעת הגיעם </w:t>
      </w:r>
      <w:r w:rsidR="001900D0" w:rsidRPr="0004711E">
        <w:rPr>
          <w:rFonts w:cs="David" w:hint="cs"/>
          <w:sz w:val="28"/>
          <w:szCs w:val="28"/>
          <w:rtl/>
        </w:rPr>
        <w:t>לנקודה שמפרה את שיווי המשקל</w:t>
      </w:r>
      <w:r w:rsidRPr="0004711E">
        <w:rPr>
          <w:rFonts w:cs="David" w:hint="cs"/>
          <w:sz w:val="28"/>
          <w:szCs w:val="28"/>
          <w:rtl/>
        </w:rPr>
        <w:t>,</w:t>
      </w:r>
      <w:r w:rsidR="001900D0" w:rsidRPr="0004711E">
        <w:rPr>
          <w:rFonts w:cs="David" w:hint="cs"/>
          <w:sz w:val="28"/>
          <w:szCs w:val="28"/>
          <w:rtl/>
        </w:rPr>
        <w:t xml:space="preserve"> לייצר נזק </w:t>
      </w:r>
      <w:r w:rsidRPr="0004711E">
        <w:rPr>
          <w:rFonts w:cs="David" w:hint="cs"/>
          <w:sz w:val="28"/>
          <w:szCs w:val="28"/>
          <w:rtl/>
        </w:rPr>
        <w:t>משמעותי וקשה</w:t>
      </w:r>
      <w:r w:rsidR="001900D0" w:rsidRPr="0004711E">
        <w:rPr>
          <w:rFonts w:cs="David" w:hint="cs"/>
          <w:sz w:val="28"/>
          <w:szCs w:val="28"/>
          <w:rtl/>
        </w:rPr>
        <w:t>.</w:t>
      </w:r>
      <w:r w:rsidRPr="0004711E">
        <w:rPr>
          <w:rFonts w:cs="David" w:hint="cs"/>
          <w:sz w:val="28"/>
          <w:szCs w:val="28"/>
          <w:rtl/>
        </w:rPr>
        <w:t xml:space="preserve"> </w:t>
      </w:r>
    </w:p>
    <w:p w:rsidR="001900D0" w:rsidRPr="0004711E" w:rsidRDefault="001900D0" w:rsidP="008B316C">
      <w:pPr>
        <w:spacing w:after="0" w:line="360" w:lineRule="auto"/>
        <w:jc w:val="both"/>
        <w:rPr>
          <w:rFonts w:cs="David"/>
          <w:sz w:val="28"/>
          <w:szCs w:val="28"/>
          <w:rtl/>
        </w:rPr>
      </w:pPr>
    </w:p>
    <w:p w:rsidR="001900D0" w:rsidRDefault="001900D0" w:rsidP="002011E9">
      <w:pPr>
        <w:spacing w:after="0" w:line="360" w:lineRule="auto"/>
        <w:jc w:val="both"/>
        <w:rPr>
          <w:rFonts w:cs="David"/>
          <w:sz w:val="28"/>
          <w:szCs w:val="28"/>
          <w:rtl/>
        </w:rPr>
      </w:pPr>
      <w:r w:rsidRPr="0004711E">
        <w:rPr>
          <w:rFonts w:cs="David" w:hint="cs"/>
          <w:sz w:val="28"/>
          <w:szCs w:val="28"/>
          <w:rtl/>
        </w:rPr>
        <w:t>שיתוף פעולה</w:t>
      </w:r>
      <w:r w:rsidR="00EB2C96" w:rsidRPr="0004711E">
        <w:rPr>
          <w:rFonts w:cs="David" w:hint="cs"/>
          <w:sz w:val="28"/>
          <w:szCs w:val="28"/>
          <w:rtl/>
        </w:rPr>
        <w:t xml:space="preserve"> עם </w:t>
      </w:r>
      <w:r w:rsidR="00310D3D">
        <w:rPr>
          <w:rFonts w:cs="David" w:hint="cs"/>
          <w:sz w:val="28"/>
          <w:szCs w:val="28"/>
          <w:rtl/>
        </w:rPr>
        <w:t>ועדות החקירה הבינלאומיות</w:t>
      </w:r>
      <w:r w:rsidRPr="0004711E">
        <w:rPr>
          <w:rFonts w:cs="David" w:hint="cs"/>
          <w:sz w:val="28"/>
          <w:szCs w:val="28"/>
          <w:rtl/>
        </w:rPr>
        <w:t xml:space="preserve"> יכול</w:t>
      </w:r>
      <w:r w:rsidR="00EB2C96" w:rsidRPr="0004711E">
        <w:rPr>
          <w:rFonts w:cs="David" w:hint="cs"/>
          <w:sz w:val="28"/>
          <w:szCs w:val="28"/>
          <w:rtl/>
        </w:rPr>
        <w:t xml:space="preserve"> גם</w:t>
      </w:r>
      <w:r w:rsidRPr="0004711E">
        <w:rPr>
          <w:rFonts w:cs="David" w:hint="cs"/>
          <w:sz w:val="28"/>
          <w:szCs w:val="28"/>
          <w:rtl/>
        </w:rPr>
        <w:t xml:space="preserve"> לשפר את יכולת</w:t>
      </w:r>
      <w:r w:rsidR="001C4501">
        <w:rPr>
          <w:rFonts w:cs="David" w:hint="cs"/>
          <w:sz w:val="28"/>
          <w:szCs w:val="28"/>
          <w:rtl/>
        </w:rPr>
        <w:t>ן</w:t>
      </w:r>
      <w:r w:rsidRPr="0004711E">
        <w:rPr>
          <w:rFonts w:cs="David" w:hint="cs"/>
          <w:sz w:val="28"/>
          <w:szCs w:val="28"/>
          <w:rtl/>
        </w:rPr>
        <w:t xml:space="preserve"> של ידידותיה של ישראל בעולם, בעיקר מדינות המערב, </w:t>
      </w:r>
      <w:r w:rsidR="00817A40">
        <w:rPr>
          <w:rFonts w:cs="David" w:hint="cs"/>
          <w:sz w:val="28"/>
          <w:szCs w:val="28"/>
          <w:rtl/>
        </w:rPr>
        <w:t xml:space="preserve">לסייע לישראל לרכך את </w:t>
      </w:r>
      <w:r w:rsidRPr="0004711E">
        <w:rPr>
          <w:rFonts w:cs="David" w:hint="cs"/>
          <w:sz w:val="28"/>
          <w:szCs w:val="28"/>
          <w:rtl/>
        </w:rPr>
        <w:t>תוצאות עבודת ה</w:t>
      </w:r>
      <w:r w:rsidR="00513DBA">
        <w:rPr>
          <w:rFonts w:cs="David" w:hint="cs"/>
          <w:sz w:val="28"/>
          <w:szCs w:val="28"/>
          <w:rtl/>
        </w:rPr>
        <w:t>ו</w:t>
      </w:r>
      <w:r w:rsidR="0074404A">
        <w:rPr>
          <w:rFonts w:cs="David" w:hint="cs"/>
          <w:sz w:val="28"/>
          <w:szCs w:val="28"/>
          <w:rtl/>
        </w:rPr>
        <w:t>ועדות</w:t>
      </w:r>
      <w:r w:rsidRPr="0004711E">
        <w:rPr>
          <w:rFonts w:cs="David" w:hint="cs"/>
          <w:sz w:val="28"/>
          <w:szCs w:val="28"/>
          <w:rtl/>
        </w:rPr>
        <w:t xml:space="preserve"> שבוחנ</w:t>
      </w:r>
      <w:r w:rsidR="00513DBA">
        <w:rPr>
          <w:rFonts w:cs="David" w:hint="cs"/>
          <w:sz w:val="28"/>
          <w:szCs w:val="28"/>
          <w:rtl/>
        </w:rPr>
        <w:t>ות</w:t>
      </w:r>
      <w:r w:rsidRPr="0004711E">
        <w:rPr>
          <w:rFonts w:cs="David" w:hint="cs"/>
          <w:sz w:val="28"/>
          <w:szCs w:val="28"/>
          <w:rtl/>
        </w:rPr>
        <w:t xml:space="preserve"> את פעולותיה. </w:t>
      </w:r>
      <w:r w:rsidR="008202D1" w:rsidRPr="0004711E">
        <w:rPr>
          <w:rFonts w:cs="David" w:hint="cs"/>
          <w:sz w:val="28"/>
          <w:szCs w:val="28"/>
          <w:rtl/>
        </w:rPr>
        <w:t xml:space="preserve">אומנם, בשל המבנה הפוליטי של מועצת זכויות האדם, </w:t>
      </w:r>
      <w:r w:rsidR="008202D1" w:rsidRPr="0020036A">
        <w:rPr>
          <w:rFonts w:cs="David" w:hint="cs"/>
          <w:sz w:val="28"/>
          <w:szCs w:val="28"/>
          <w:rtl/>
        </w:rPr>
        <w:t>כפי שעוד ידון בהמשך,</w:t>
      </w:r>
      <w:r w:rsidR="008202D1" w:rsidRPr="0004711E">
        <w:rPr>
          <w:rFonts w:cs="David" w:hint="cs"/>
          <w:sz w:val="28"/>
          <w:szCs w:val="28"/>
          <w:rtl/>
        </w:rPr>
        <w:t xml:space="preserve"> יהיה ככל הנראה בכל סיטואציה רוב אוטומטי לטובת אימוץ דוחות ביקורתיים כלפי ישראל</w:t>
      </w:r>
      <w:r w:rsidR="00817A40">
        <w:rPr>
          <w:rFonts w:cs="David" w:hint="cs"/>
          <w:sz w:val="28"/>
          <w:szCs w:val="28"/>
          <w:rtl/>
        </w:rPr>
        <w:t>. עם זאת</w:t>
      </w:r>
      <w:r w:rsidR="008202D1" w:rsidRPr="0004711E">
        <w:rPr>
          <w:rFonts w:cs="David" w:hint="cs"/>
          <w:sz w:val="28"/>
          <w:szCs w:val="28"/>
          <w:rtl/>
        </w:rPr>
        <w:t xml:space="preserve">, מאחר שקהל היעד שאליו מבקשים "לשווק" את הביקורת הזו מצוי במדינות המערב, שם יש הערכה לזכויות אדם ולכיבודן ברחבי העולם, יש חשיבות מיוחדת, גם בעיני ישראל וגם בעיני יריביה, לדרך הצבעתן של מדינות </w:t>
      </w:r>
      <w:r w:rsidR="00817A40">
        <w:rPr>
          <w:rFonts w:cs="David" w:hint="cs"/>
          <w:sz w:val="28"/>
          <w:szCs w:val="28"/>
          <w:rtl/>
        </w:rPr>
        <w:t xml:space="preserve">המערב </w:t>
      </w:r>
      <w:r w:rsidR="008202D1" w:rsidRPr="0004711E">
        <w:rPr>
          <w:rFonts w:cs="David" w:hint="cs"/>
          <w:sz w:val="28"/>
          <w:szCs w:val="28"/>
          <w:rtl/>
        </w:rPr>
        <w:t xml:space="preserve">ביחס לדוחות. בסיטואציה זו, </w:t>
      </w:r>
      <w:r w:rsidR="002011E9" w:rsidRPr="0004711E">
        <w:rPr>
          <w:rFonts w:cs="David" w:hint="cs"/>
          <w:sz w:val="28"/>
          <w:szCs w:val="28"/>
          <w:rtl/>
        </w:rPr>
        <w:t xml:space="preserve">יכולות </w:t>
      </w:r>
      <w:r w:rsidR="008202D1" w:rsidRPr="0004711E">
        <w:rPr>
          <w:rFonts w:cs="David" w:hint="cs"/>
          <w:sz w:val="28"/>
          <w:szCs w:val="28"/>
          <w:rtl/>
        </w:rPr>
        <w:t>מדינות המערב</w:t>
      </w:r>
      <w:r w:rsidR="002011E9">
        <w:rPr>
          <w:rFonts w:cs="David" w:hint="cs"/>
          <w:sz w:val="28"/>
          <w:szCs w:val="28"/>
          <w:rtl/>
        </w:rPr>
        <w:t>,</w:t>
      </w:r>
      <w:r w:rsidR="008202D1" w:rsidRPr="0004711E">
        <w:rPr>
          <w:rFonts w:cs="David" w:hint="cs"/>
          <w:sz w:val="28"/>
          <w:szCs w:val="28"/>
          <w:rtl/>
        </w:rPr>
        <w:t xml:space="preserve"> לדוגמה</w:t>
      </w:r>
      <w:r w:rsidR="002011E9">
        <w:rPr>
          <w:rFonts w:cs="David" w:hint="cs"/>
          <w:sz w:val="28"/>
          <w:szCs w:val="28"/>
          <w:rtl/>
        </w:rPr>
        <w:t>,</w:t>
      </w:r>
      <w:r w:rsidR="008202D1" w:rsidRPr="0004711E">
        <w:rPr>
          <w:rFonts w:cs="David" w:hint="cs"/>
          <w:sz w:val="28"/>
          <w:szCs w:val="28"/>
          <w:rtl/>
        </w:rPr>
        <w:t xml:space="preserve"> </w:t>
      </w:r>
      <w:r w:rsidR="002011E9">
        <w:rPr>
          <w:rFonts w:cs="David" w:hint="cs"/>
          <w:sz w:val="28"/>
          <w:szCs w:val="28"/>
          <w:rtl/>
        </w:rPr>
        <w:t>לרכך את נוסח ה</w:t>
      </w:r>
      <w:r w:rsidR="008202D1" w:rsidRPr="0004711E">
        <w:rPr>
          <w:rFonts w:cs="David" w:hint="cs"/>
          <w:sz w:val="28"/>
          <w:szCs w:val="28"/>
          <w:rtl/>
        </w:rPr>
        <w:t xml:space="preserve">החלטות </w:t>
      </w:r>
      <w:r w:rsidR="002011E9">
        <w:rPr>
          <w:rFonts w:cs="David" w:hint="cs"/>
          <w:sz w:val="28"/>
          <w:szCs w:val="28"/>
          <w:rtl/>
        </w:rPr>
        <w:t xml:space="preserve">המתקבלות </w:t>
      </w:r>
      <w:r w:rsidRPr="0004711E">
        <w:rPr>
          <w:rFonts w:cs="David" w:hint="cs"/>
          <w:sz w:val="28"/>
          <w:szCs w:val="28"/>
          <w:rtl/>
        </w:rPr>
        <w:t>ביחס לממצאי הדוחות</w:t>
      </w:r>
      <w:r w:rsidR="008202D1" w:rsidRPr="0004711E">
        <w:rPr>
          <w:rFonts w:cs="David" w:hint="cs"/>
          <w:sz w:val="28"/>
          <w:szCs w:val="28"/>
          <w:rtl/>
        </w:rPr>
        <w:t>. דרך אחרת</w:t>
      </w:r>
      <w:r w:rsidR="001C4501">
        <w:rPr>
          <w:rFonts w:cs="David" w:hint="cs"/>
          <w:sz w:val="28"/>
          <w:szCs w:val="28"/>
          <w:rtl/>
        </w:rPr>
        <w:t>,</w:t>
      </w:r>
      <w:r w:rsidR="008202D1" w:rsidRPr="0004711E">
        <w:rPr>
          <w:rFonts w:cs="David" w:hint="cs"/>
          <w:sz w:val="28"/>
          <w:szCs w:val="28"/>
          <w:rtl/>
        </w:rPr>
        <w:t xml:space="preserve"> שבה הן יכולות להשפיע</w:t>
      </w:r>
      <w:r w:rsidR="001C4501">
        <w:rPr>
          <w:rFonts w:cs="David" w:hint="cs"/>
          <w:sz w:val="28"/>
          <w:szCs w:val="28"/>
          <w:rtl/>
        </w:rPr>
        <w:t>,</w:t>
      </w:r>
      <w:r w:rsidR="008202D1" w:rsidRPr="0004711E">
        <w:rPr>
          <w:rFonts w:cs="David" w:hint="cs"/>
          <w:sz w:val="28"/>
          <w:szCs w:val="28"/>
          <w:rtl/>
        </w:rPr>
        <w:t xml:space="preserve"> היא</w:t>
      </w:r>
      <w:r w:rsidRPr="0004711E">
        <w:rPr>
          <w:rFonts w:cs="David" w:hint="cs"/>
          <w:sz w:val="28"/>
          <w:szCs w:val="28"/>
          <w:rtl/>
        </w:rPr>
        <w:t xml:space="preserve"> בהגבלת </w:t>
      </w:r>
      <w:r w:rsidRPr="0004711E">
        <w:rPr>
          <w:rFonts w:cs="David" w:hint="cs"/>
          <w:b/>
          <w:bCs/>
          <w:sz w:val="28"/>
          <w:szCs w:val="28"/>
          <w:rtl/>
        </w:rPr>
        <w:t>מנגנוני המעקב</w:t>
      </w:r>
      <w:r w:rsidRPr="0004711E">
        <w:rPr>
          <w:rFonts w:cs="David" w:hint="cs"/>
          <w:sz w:val="28"/>
          <w:szCs w:val="28"/>
          <w:rtl/>
        </w:rPr>
        <w:t xml:space="preserve"> אחר יישום המלצות הדוחות</w:t>
      </w:r>
      <w:r w:rsidR="008202D1" w:rsidRPr="0004711E">
        <w:rPr>
          <w:rFonts w:cs="David" w:hint="cs"/>
          <w:sz w:val="28"/>
          <w:szCs w:val="28"/>
          <w:rtl/>
        </w:rPr>
        <w:t xml:space="preserve">. </w:t>
      </w:r>
    </w:p>
    <w:p w:rsidR="00AE67F2" w:rsidRDefault="00AE67F2" w:rsidP="001C4501">
      <w:pPr>
        <w:spacing w:after="0" w:line="360" w:lineRule="auto"/>
        <w:jc w:val="both"/>
        <w:rPr>
          <w:rFonts w:cs="David"/>
          <w:sz w:val="28"/>
          <w:szCs w:val="28"/>
          <w:rtl/>
        </w:rPr>
      </w:pPr>
    </w:p>
    <w:p w:rsidR="00AE67F2" w:rsidRPr="0004711E" w:rsidRDefault="00AE67F2" w:rsidP="001C4501">
      <w:pPr>
        <w:spacing w:after="0" w:line="360" w:lineRule="auto"/>
        <w:jc w:val="both"/>
        <w:rPr>
          <w:rFonts w:cs="David"/>
          <w:sz w:val="28"/>
          <w:szCs w:val="28"/>
          <w:rtl/>
        </w:rPr>
      </w:pPr>
      <w:r>
        <w:rPr>
          <w:rFonts w:cs="David" w:hint="cs"/>
          <w:sz w:val="28"/>
          <w:szCs w:val="28"/>
          <w:rtl/>
        </w:rPr>
        <w:t>עם זאת, חשוב לציין, שישנם מצבים שבהם מסתמכות ידידותיה של ישראל דווקא על החלטתה של ישראל שלא לשתף פעולה עם החקירה כדי להפחית מערך דוח החקירה</w:t>
      </w:r>
      <w:r w:rsidR="00513DBA">
        <w:rPr>
          <w:rFonts w:cs="David" w:hint="cs"/>
          <w:sz w:val="28"/>
          <w:szCs w:val="28"/>
          <w:rtl/>
        </w:rPr>
        <w:t>,</w:t>
      </w:r>
      <w:r>
        <w:rPr>
          <w:rFonts w:cs="David" w:hint="cs"/>
          <w:sz w:val="28"/>
          <w:szCs w:val="28"/>
          <w:rtl/>
        </w:rPr>
        <w:t xml:space="preserve"> על בסיס הטענה שהוא חסר לאור אי שיתוף הפעולה של ישראל.</w:t>
      </w:r>
    </w:p>
    <w:p w:rsidR="000C297B" w:rsidRPr="0004711E" w:rsidRDefault="000C297B" w:rsidP="008B316C">
      <w:pPr>
        <w:spacing w:after="0" w:line="360" w:lineRule="auto"/>
        <w:jc w:val="both"/>
        <w:rPr>
          <w:rFonts w:cs="David"/>
          <w:sz w:val="28"/>
          <w:szCs w:val="28"/>
          <w:rtl/>
        </w:rPr>
      </w:pPr>
    </w:p>
    <w:p w:rsidR="001900D0" w:rsidRPr="0004711E" w:rsidRDefault="000C297B" w:rsidP="00513DBA">
      <w:pPr>
        <w:spacing w:after="0" w:line="360" w:lineRule="auto"/>
        <w:jc w:val="both"/>
        <w:rPr>
          <w:rFonts w:cs="David"/>
          <w:sz w:val="28"/>
          <w:szCs w:val="28"/>
          <w:rtl/>
        </w:rPr>
      </w:pPr>
      <w:r w:rsidRPr="0004711E">
        <w:rPr>
          <w:rFonts w:cs="David" w:hint="cs"/>
          <w:sz w:val="28"/>
          <w:szCs w:val="28"/>
          <w:rtl/>
        </w:rPr>
        <w:t>לסיכום חלק זה</w:t>
      </w:r>
      <w:r w:rsidR="00EB2C96" w:rsidRPr="0004711E">
        <w:rPr>
          <w:rFonts w:cs="David" w:hint="cs"/>
          <w:sz w:val="28"/>
          <w:szCs w:val="28"/>
          <w:rtl/>
        </w:rPr>
        <w:t xml:space="preserve">, נראה </w:t>
      </w:r>
      <w:r w:rsidRPr="0004711E">
        <w:rPr>
          <w:rFonts w:cs="David" w:hint="cs"/>
          <w:sz w:val="28"/>
          <w:szCs w:val="28"/>
          <w:rtl/>
        </w:rPr>
        <w:t xml:space="preserve">שכאמירה </w:t>
      </w:r>
      <w:r w:rsidR="00EB2C96" w:rsidRPr="0004711E">
        <w:rPr>
          <w:rFonts w:cs="David" w:hint="cs"/>
          <w:sz w:val="28"/>
          <w:szCs w:val="28"/>
          <w:rtl/>
        </w:rPr>
        <w:t>כללי</w:t>
      </w:r>
      <w:r w:rsidRPr="0004711E">
        <w:rPr>
          <w:rFonts w:cs="David" w:hint="cs"/>
          <w:sz w:val="28"/>
          <w:szCs w:val="28"/>
          <w:rtl/>
        </w:rPr>
        <w:t>ת נכון יהיה לומר</w:t>
      </w:r>
      <w:r w:rsidR="00EB2C96" w:rsidRPr="0004711E">
        <w:rPr>
          <w:rFonts w:cs="David" w:hint="cs"/>
          <w:sz w:val="28"/>
          <w:szCs w:val="28"/>
          <w:rtl/>
        </w:rPr>
        <w:t xml:space="preserve">, </w:t>
      </w:r>
      <w:r w:rsidRPr="0004711E">
        <w:rPr>
          <w:rFonts w:cs="David" w:hint="cs"/>
          <w:sz w:val="28"/>
          <w:szCs w:val="28"/>
          <w:rtl/>
        </w:rPr>
        <w:t xml:space="preserve">כי </w:t>
      </w:r>
      <w:r w:rsidRPr="0004711E">
        <w:rPr>
          <w:rFonts w:cs="David" w:hint="cs"/>
          <w:b/>
          <w:bCs/>
          <w:sz w:val="28"/>
          <w:szCs w:val="28"/>
          <w:rtl/>
        </w:rPr>
        <w:t xml:space="preserve">עצם </w:t>
      </w:r>
      <w:r w:rsidR="00EB2C96" w:rsidRPr="0004711E">
        <w:rPr>
          <w:rFonts w:cs="David" w:hint="cs"/>
          <w:b/>
          <w:bCs/>
          <w:sz w:val="28"/>
          <w:szCs w:val="28"/>
          <w:rtl/>
        </w:rPr>
        <w:t xml:space="preserve">שיתוף </w:t>
      </w:r>
      <w:r w:rsidRPr="0004711E">
        <w:rPr>
          <w:rFonts w:cs="David" w:hint="cs"/>
          <w:b/>
          <w:bCs/>
          <w:sz w:val="28"/>
          <w:szCs w:val="28"/>
          <w:rtl/>
        </w:rPr>
        <w:t>ה</w:t>
      </w:r>
      <w:r w:rsidR="00EB2C96" w:rsidRPr="0004711E">
        <w:rPr>
          <w:rFonts w:cs="David" w:hint="cs"/>
          <w:b/>
          <w:bCs/>
          <w:sz w:val="28"/>
          <w:szCs w:val="28"/>
          <w:rtl/>
        </w:rPr>
        <w:t>פעולה</w:t>
      </w:r>
      <w:r w:rsidR="00EB2C96" w:rsidRPr="0004711E">
        <w:rPr>
          <w:rFonts w:cs="David" w:hint="cs"/>
          <w:sz w:val="28"/>
          <w:szCs w:val="28"/>
          <w:rtl/>
        </w:rPr>
        <w:t xml:space="preserve"> עם </w:t>
      </w:r>
      <w:r w:rsidR="009C039C">
        <w:rPr>
          <w:rFonts w:cs="David" w:hint="cs"/>
          <w:sz w:val="28"/>
          <w:szCs w:val="28"/>
          <w:rtl/>
        </w:rPr>
        <w:t>ועדות חקירה בינלאומיות</w:t>
      </w:r>
      <w:r w:rsidR="00EB2C96" w:rsidRPr="0004711E">
        <w:rPr>
          <w:rFonts w:cs="David" w:hint="cs"/>
          <w:sz w:val="28"/>
          <w:szCs w:val="28"/>
          <w:rtl/>
        </w:rPr>
        <w:t xml:space="preserve"> יכול </w:t>
      </w:r>
      <w:r w:rsidRPr="0004711E">
        <w:rPr>
          <w:rFonts w:cs="David" w:hint="cs"/>
          <w:sz w:val="28"/>
          <w:szCs w:val="28"/>
          <w:rtl/>
        </w:rPr>
        <w:t xml:space="preserve">לסייע למדינת ישראל בשיפור הלגיטימציה, </w:t>
      </w:r>
      <w:r w:rsidRPr="0004711E">
        <w:rPr>
          <w:rFonts w:cs="David" w:hint="cs"/>
          <w:sz w:val="28"/>
          <w:szCs w:val="28"/>
          <w:rtl/>
        </w:rPr>
        <w:lastRenderedPageBreak/>
        <w:t xml:space="preserve">המעמד הבינלאומי והמוניטין שלה. </w:t>
      </w:r>
      <w:r w:rsidR="00513DBA">
        <w:rPr>
          <w:rFonts w:cs="David" w:hint="cs"/>
          <w:sz w:val="28"/>
          <w:szCs w:val="28"/>
          <w:rtl/>
        </w:rPr>
        <w:t>כפי שנראה בהמשך, אמירה זו אינה מתקיימת בחלל ריק, והיא כפופה לשורה ארוכה של שיקולים, שיפורטו בהמשך, שיכולים לגרוע מתק</w:t>
      </w:r>
      <w:r w:rsidR="00FD0E3A">
        <w:rPr>
          <w:rFonts w:cs="David" w:hint="cs"/>
          <w:sz w:val="28"/>
          <w:szCs w:val="28"/>
          <w:rtl/>
        </w:rPr>
        <w:t>ֵ</w:t>
      </w:r>
      <w:r w:rsidR="00513DBA">
        <w:rPr>
          <w:rFonts w:cs="David" w:hint="cs"/>
          <w:sz w:val="28"/>
          <w:szCs w:val="28"/>
          <w:rtl/>
        </w:rPr>
        <w:t>פו</w:t>
      </w:r>
      <w:r w:rsidR="00FD0E3A">
        <w:rPr>
          <w:rFonts w:cs="David" w:hint="cs"/>
          <w:sz w:val="28"/>
          <w:szCs w:val="28"/>
          <w:rtl/>
        </w:rPr>
        <w:t>ּ</w:t>
      </w:r>
      <w:r w:rsidR="00513DBA">
        <w:rPr>
          <w:rFonts w:cs="David" w:hint="cs"/>
          <w:sz w:val="28"/>
          <w:szCs w:val="28"/>
          <w:rtl/>
        </w:rPr>
        <w:t>תה</w:t>
      </w:r>
      <w:r w:rsidR="00FD0E3A">
        <w:rPr>
          <w:rFonts w:cs="David" w:hint="cs"/>
          <w:sz w:val="28"/>
          <w:szCs w:val="28"/>
          <w:rtl/>
        </w:rPr>
        <w:t xml:space="preserve"> ברמות שונות.</w:t>
      </w:r>
    </w:p>
    <w:p w:rsidR="00341C30" w:rsidRPr="0004711E" w:rsidRDefault="00341C30" w:rsidP="008B316C">
      <w:pPr>
        <w:spacing w:after="0" w:line="360" w:lineRule="auto"/>
        <w:jc w:val="both"/>
        <w:rPr>
          <w:rFonts w:cs="David"/>
          <w:sz w:val="28"/>
          <w:szCs w:val="28"/>
          <w:rtl/>
        </w:rPr>
      </w:pPr>
    </w:p>
    <w:p w:rsidR="008A7CDB" w:rsidRPr="003D0069" w:rsidRDefault="008A7CDB" w:rsidP="003D0069">
      <w:pPr>
        <w:pStyle w:val="a9"/>
        <w:numPr>
          <w:ilvl w:val="0"/>
          <w:numId w:val="21"/>
        </w:numPr>
        <w:spacing w:after="0" w:line="360" w:lineRule="auto"/>
        <w:jc w:val="both"/>
        <w:outlineLvl w:val="1"/>
        <w:rPr>
          <w:rFonts w:cs="David"/>
          <w:b/>
          <w:bCs/>
          <w:sz w:val="28"/>
          <w:szCs w:val="28"/>
          <w:rtl/>
        </w:rPr>
      </w:pPr>
      <w:bookmarkStart w:id="18" w:name="_Toc456027301"/>
      <w:r w:rsidRPr="003D0069">
        <w:rPr>
          <w:rFonts w:cs="David" w:hint="cs"/>
          <w:b/>
          <w:bCs/>
          <w:sz w:val="28"/>
          <w:szCs w:val="28"/>
          <w:rtl/>
        </w:rPr>
        <w:t xml:space="preserve">שיתוף פעולה עם </w:t>
      </w:r>
      <w:r w:rsidR="009C039C" w:rsidRPr="003D0069">
        <w:rPr>
          <w:rFonts w:cs="David" w:hint="cs"/>
          <w:b/>
          <w:bCs/>
          <w:sz w:val="28"/>
          <w:szCs w:val="28"/>
          <w:rtl/>
        </w:rPr>
        <w:t>ועדות חקירה בינלאומיות</w:t>
      </w:r>
      <w:r w:rsidRPr="003D0069">
        <w:rPr>
          <w:rFonts w:cs="David" w:hint="cs"/>
          <w:b/>
          <w:bCs/>
          <w:sz w:val="28"/>
          <w:szCs w:val="28"/>
          <w:rtl/>
        </w:rPr>
        <w:t xml:space="preserve"> ככלי </w:t>
      </w:r>
      <w:r w:rsidR="001C4501" w:rsidRPr="003D0069">
        <w:rPr>
          <w:rFonts w:cs="David" w:hint="cs"/>
          <w:b/>
          <w:bCs/>
          <w:sz w:val="28"/>
          <w:szCs w:val="28"/>
          <w:rtl/>
        </w:rPr>
        <w:t>ל</w:t>
      </w:r>
      <w:r w:rsidRPr="003D0069">
        <w:rPr>
          <w:rFonts w:cs="David" w:hint="cs"/>
          <w:b/>
          <w:bCs/>
          <w:sz w:val="28"/>
          <w:szCs w:val="28"/>
          <w:rtl/>
        </w:rPr>
        <w:t>הפנמת המשפט הבינלאומי בתוך מדינת ישראל</w:t>
      </w:r>
      <w:bookmarkEnd w:id="18"/>
    </w:p>
    <w:p w:rsidR="008A7CDB" w:rsidRPr="0004711E" w:rsidRDefault="008A7CDB" w:rsidP="008B316C">
      <w:pPr>
        <w:spacing w:after="0" w:line="360" w:lineRule="auto"/>
        <w:jc w:val="both"/>
        <w:rPr>
          <w:rFonts w:cs="David"/>
          <w:sz w:val="28"/>
          <w:szCs w:val="28"/>
          <w:rtl/>
        </w:rPr>
      </w:pPr>
    </w:p>
    <w:p w:rsidR="00E506E4" w:rsidRPr="0004711E" w:rsidRDefault="00E506E4" w:rsidP="001C4501">
      <w:pPr>
        <w:spacing w:after="0" w:line="360" w:lineRule="auto"/>
        <w:jc w:val="both"/>
        <w:rPr>
          <w:rFonts w:cs="David"/>
          <w:sz w:val="28"/>
          <w:szCs w:val="28"/>
          <w:rtl/>
        </w:rPr>
      </w:pPr>
      <w:r w:rsidRPr="0004711E">
        <w:rPr>
          <w:rFonts w:cs="David" w:hint="cs"/>
          <w:sz w:val="28"/>
          <w:szCs w:val="28"/>
          <w:rtl/>
        </w:rPr>
        <w:t xml:space="preserve">כפי שצוין לעיל, על מנת </w:t>
      </w:r>
      <w:r w:rsidR="001C4501">
        <w:rPr>
          <w:rFonts w:cs="David" w:hint="cs"/>
          <w:sz w:val="28"/>
          <w:szCs w:val="28"/>
          <w:rtl/>
        </w:rPr>
        <w:t>לקבל</w:t>
      </w:r>
      <w:r w:rsidR="001C4501" w:rsidRPr="0004711E">
        <w:rPr>
          <w:rFonts w:cs="David" w:hint="cs"/>
          <w:sz w:val="28"/>
          <w:szCs w:val="28"/>
          <w:rtl/>
        </w:rPr>
        <w:t xml:space="preserve"> </w:t>
      </w:r>
      <w:r w:rsidRPr="0004711E">
        <w:rPr>
          <w:rFonts w:cs="David" w:hint="cs"/>
          <w:sz w:val="28"/>
          <w:szCs w:val="28"/>
          <w:rtl/>
        </w:rPr>
        <w:t xml:space="preserve">לגיטימציה בינלאומית, על המדינה לעבור תהליך טבעי של הפנמת עקרונותיו של המשפט הבינלאומי, כפי שתיאר זאת </w:t>
      </w:r>
      <w:r w:rsidRPr="0004711E">
        <w:rPr>
          <w:rFonts w:cs="David"/>
          <w:sz w:val="28"/>
          <w:szCs w:val="28"/>
        </w:rPr>
        <w:t>Koh</w:t>
      </w:r>
      <w:r w:rsidRPr="0004711E">
        <w:rPr>
          <w:rFonts w:cs="David" w:hint="cs"/>
          <w:sz w:val="28"/>
          <w:szCs w:val="28"/>
          <w:rtl/>
        </w:rPr>
        <w:t xml:space="preserve"> במודל התהליך המשפטי חוצה המדינות שלו</w:t>
      </w:r>
      <w:r w:rsidRPr="0004711E">
        <w:rPr>
          <w:rStyle w:val="a7"/>
          <w:rFonts w:cs="David"/>
          <w:sz w:val="28"/>
          <w:szCs w:val="28"/>
          <w:rtl/>
        </w:rPr>
        <w:footnoteReference w:id="108"/>
      </w:r>
      <w:r w:rsidRPr="0004711E">
        <w:rPr>
          <w:rFonts w:cs="David" w:hint="cs"/>
          <w:sz w:val="28"/>
          <w:szCs w:val="28"/>
          <w:rtl/>
        </w:rPr>
        <w:t>.</w:t>
      </w:r>
    </w:p>
    <w:p w:rsidR="00E506E4" w:rsidRPr="0004711E" w:rsidRDefault="00E506E4" w:rsidP="008B316C">
      <w:pPr>
        <w:spacing w:after="0" w:line="360" w:lineRule="auto"/>
        <w:jc w:val="both"/>
        <w:rPr>
          <w:rFonts w:cs="David"/>
          <w:sz w:val="28"/>
          <w:szCs w:val="28"/>
          <w:rtl/>
        </w:rPr>
      </w:pPr>
    </w:p>
    <w:p w:rsidR="00FD0E3A" w:rsidRDefault="00E506E4" w:rsidP="008B316C">
      <w:pPr>
        <w:spacing w:after="0" w:line="360" w:lineRule="auto"/>
        <w:jc w:val="both"/>
        <w:rPr>
          <w:rFonts w:cs="David"/>
          <w:sz w:val="28"/>
          <w:szCs w:val="28"/>
          <w:rtl/>
        </w:rPr>
      </w:pPr>
      <w:r w:rsidRPr="0004711E">
        <w:rPr>
          <w:rFonts w:cs="David" w:hint="cs"/>
          <w:sz w:val="28"/>
          <w:szCs w:val="28"/>
          <w:rtl/>
        </w:rPr>
        <w:t xml:space="preserve">לדעת חלק מהמרואיינים לעבודה זו, </w:t>
      </w:r>
      <w:r w:rsidR="008A7CDB" w:rsidRPr="0004711E">
        <w:rPr>
          <w:rFonts w:cs="David" w:hint="cs"/>
          <w:sz w:val="28"/>
          <w:szCs w:val="28"/>
          <w:rtl/>
        </w:rPr>
        <w:t xml:space="preserve">לשיתוף פעולה קבוע </w:t>
      </w:r>
      <w:r w:rsidRPr="0004711E">
        <w:rPr>
          <w:rFonts w:cs="David" w:hint="cs"/>
          <w:sz w:val="28"/>
          <w:szCs w:val="28"/>
          <w:rtl/>
        </w:rPr>
        <w:t xml:space="preserve">עם </w:t>
      </w:r>
      <w:r w:rsidR="009F6ED1">
        <w:rPr>
          <w:rFonts w:cs="David" w:hint="cs"/>
          <w:sz w:val="28"/>
          <w:szCs w:val="28"/>
          <w:rtl/>
        </w:rPr>
        <w:t xml:space="preserve">ועדות חקירה </w:t>
      </w:r>
      <w:r w:rsidR="008A7CDB" w:rsidRPr="0004711E">
        <w:rPr>
          <w:rFonts w:cs="David" w:hint="cs"/>
          <w:sz w:val="28"/>
          <w:szCs w:val="28"/>
          <w:rtl/>
        </w:rPr>
        <w:t xml:space="preserve">יש </w:t>
      </w:r>
      <w:r w:rsidR="008A7CDB" w:rsidRPr="0004711E">
        <w:rPr>
          <w:rFonts w:cs="David" w:hint="cs"/>
          <w:b/>
          <w:bCs/>
          <w:sz w:val="28"/>
          <w:szCs w:val="28"/>
          <w:rtl/>
        </w:rPr>
        <w:t>ערך מרסן ומחנך</w:t>
      </w:r>
      <w:r w:rsidR="008A7CDB" w:rsidRPr="0004711E">
        <w:rPr>
          <w:rFonts w:cs="David" w:hint="cs"/>
          <w:sz w:val="28"/>
          <w:szCs w:val="28"/>
          <w:rtl/>
        </w:rPr>
        <w:t xml:space="preserve"> של כוחות</w:t>
      </w:r>
      <w:r w:rsidRPr="0004711E">
        <w:rPr>
          <w:rFonts w:cs="David" w:hint="cs"/>
          <w:sz w:val="28"/>
          <w:szCs w:val="28"/>
          <w:rtl/>
        </w:rPr>
        <w:t xml:space="preserve"> הביטחון ושל הציבור במדינת ישראל</w:t>
      </w:r>
      <w:r w:rsidR="008A7CDB" w:rsidRPr="0004711E">
        <w:rPr>
          <w:rFonts w:cs="David" w:hint="cs"/>
          <w:sz w:val="28"/>
          <w:szCs w:val="28"/>
          <w:rtl/>
        </w:rPr>
        <w:t xml:space="preserve">, שמבינים </w:t>
      </w:r>
      <w:r w:rsidRPr="0004711E">
        <w:rPr>
          <w:rFonts w:cs="David" w:hint="cs"/>
          <w:sz w:val="28"/>
          <w:szCs w:val="28"/>
          <w:rtl/>
        </w:rPr>
        <w:t xml:space="preserve">את חשיבות </w:t>
      </w:r>
      <w:r w:rsidR="008A7CDB" w:rsidRPr="0004711E">
        <w:rPr>
          <w:rFonts w:cs="David" w:hint="cs"/>
          <w:sz w:val="28"/>
          <w:szCs w:val="28"/>
          <w:rtl/>
        </w:rPr>
        <w:t xml:space="preserve">הפעלת הכוח </w:t>
      </w:r>
      <w:r w:rsidRPr="0004711E">
        <w:rPr>
          <w:rFonts w:cs="David" w:hint="cs"/>
          <w:sz w:val="28"/>
          <w:szCs w:val="28"/>
          <w:rtl/>
        </w:rPr>
        <w:t xml:space="preserve">בהתאם למשפט הבינלאומי וכי הפעלת כוח גם </w:t>
      </w:r>
      <w:r w:rsidR="008A7CDB" w:rsidRPr="0004711E">
        <w:rPr>
          <w:rFonts w:cs="David" w:hint="cs"/>
          <w:sz w:val="28"/>
          <w:szCs w:val="28"/>
          <w:rtl/>
        </w:rPr>
        <w:t xml:space="preserve">כפופה לביקורת בינלאומית. </w:t>
      </w:r>
    </w:p>
    <w:p w:rsidR="00FD0E3A" w:rsidRDefault="00FD0E3A" w:rsidP="008B316C">
      <w:pPr>
        <w:spacing w:after="0" w:line="360" w:lineRule="auto"/>
        <w:jc w:val="both"/>
        <w:rPr>
          <w:rFonts w:cs="David"/>
          <w:sz w:val="28"/>
          <w:szCs w:val="28"/>
          <w:rtl/>
        </w:rPr>
      </w:pPr>
    </w:p>
    <w:p w:rsidR="00AE67F2" w:rsidRPr="0004711E" w:rsidRDefault="00E506E4" w:rsidP="00FD0E3A">
      <w:pPr>
        <w:spacing w:after="0" w:line="360" w:lineRule="auto"/>
        <w:jc w:val="both"/>
        <w:rPr>
          <w:rFonts w:cs="David"/>
          <w:sz w:val="28"/>
          <w:szCs w:val="28"/>
          <w:rtl/>
        </w:rPr>
      </w:pPr>
      <w:r w:rsidRPr="0004711E">
        <w:rPr>
          <w:rFonts w:cs="David" w:hint="cs"/>
          <w:sz w:val="28"/>
          <w:szCs w:val="28"/>
          <w:rtl/>
        </w:rPr>
        <w:t>עם זאת, נראה שניתן להעלות טיעון נגדי</w:t>
      </w:r>
      <w:r w:rsidR="008A7CDB" w:rsidRPr="0004711E">
        <w:rPr>
          <w:rFonts w:cs="David" w:hint="cs"/>
          <w:sz w:val="28"/>
          <w:szCs w:val="28"/>
          <w:rtl/>
        </w:rPr>
        <w:t xml:space="preserve">, </w:t>
      </w:r>
      <w:r w:rsidRPr="0004711E">
        <w:rPr>
          <w:rFonts w:cs="David" w:hint="cs"/>
          <w:sz w:val="28"/>
          <w:szCs w:val="28"/>
          <w:rtl/>
        </w:rPr>
        <w:t xml:space="preserve">לפיו אין צורך בביקורת בינלאומית דווקא כדי להטמיע את המשפט הבינלאומי בפעולת הכוחות, מפני שהטמעה זו מתבצעת ממילא </w:t>
      </w:r>
      <w:r w:rsidR="00692192">
        <w:rPr>
          <w:rFonts w:cs="David" w:hint="cs"/>
          <w:sz w:val="28"/>
          <w:szCs w:val="28"/>
          <w:rtl/>
        </w:rPr>
        <w:t>על ידי</w:t>
      </w:r>
      <w:r w:rsidRPr="0004711E">
        <w:rPr>
          <w:rFonts w:cs="David" w:hint="cs"/>
          <w:sz w:val="28"/>
          <w:szCs w:val="28"/>
          <w:rtl/>
        </w:rPr>
        <w:t xml:space="preserve"> הרשויות האמונות על כך</w:t>
      </w:r>
      <w:r w:rsidR="008A7CDB" w:rsidRPr="0004711E">
        <w:rPr>
          <w:rFonts w:cs="David" w:hint="cs"/>
          <w:sz w:val="28"/>
          <w:szCs w:val="28"/>
          <w:rtl/>
        </w:rPr>
        <w:t>.</w:t>
      </w:r>
      <w:r w:rsidR="00FD0E3A">
        <w:rPr>
          <w:rFonts w:cs="David" w:hint="cs"/>
          <w:sz w:val="28"/>
          <w:szCs w:val="28"/>
          <w:rtl/>
        </w:rPr>
        <w:t xml:space="preserve"> כמו כן</w:t>
      </w:r>
      <w:r w:rsidR="00AE67F2">
        <w:rPr>
          <w:rFonts w:cs="David" w:hint="cs"/>
          <w:sz w:val="28"/>
          <w:szCs w:val="28"/>
          <w:rtl/>
        </w:rPr>
        <w:t>, אם מסתיים תהליך החקירה בדוח שלילי ומוטה כנגד מדינת ישראל, למרות שיתוף הפעולה עם החקירה, יכול הדבר להשיג אפקט הפוך, של החלשת מעמדו של המשפט הבינלאומי בתוך המדינה ואובדן אמון במוסדות הבינלאומיים</w:t>
      </w:r>
      <w:r w:rsidR="004D2C90">
        <w:rPr>
          <w:rFonts w:cs="David" w:hint="cs"/>
          <w:sz w:val="28"/>
          <w:szCs w:val="28"/>
          <w:rtl/>
        </w:rPr>
        <w:t>.</w:t>
      </w:r>
    </w:p>
    <w:p w:rsidR="008A7CDB" w:rsidRPr="0004711E" w:rsidRDefault="008A7CDB" w:rsidP="008B316C">
      <w:pPr>
        <w:spacing w:after="0" w:line="360" w:lineRule="auto"/>
        <w:jc w:val="both"/>
        <w:rPr>
          <w:rFonts w:cs="David"/>
          <w:sz w:val="28"/>
          <w:szCs w:val="28"/>
          <w:rtl/>
        </w:rPr>
      </w:pPr>
    </w:p>
    <w:p w:rsidR="00341C30" w:rsidRPr="003D0069" w:rsidRDefault="00341C30" w:rsidP="003D0069">
      <w:pPr>
        <w:pStyle w:val="a9"/>
        <w:numPr>
          <w:ilvl w:val="0"/>
          <w:numId w:val="21"/>
        </w:numPr>
        <w:spacing w:after="0" w:line="360" w:lineRule="auto"/>
        <w:jc w:val="both"/>
        <w:outlineLvl w:val="1"/>
        <w:rPr>
          <w:rFonts w:cs="David"/>
          <w:sz w:val="28"/>
          <w:szCs w:val="28"/>
          <w:rtl/>
        </w:rPr>
      </w:pPr>
      <w:bookmarkStart w:id="19" w:name="_Toc456027302"/>
      <w:r w:rsidRPr="003D0069">
        <w:rPr>
          <w:rFonts w:cs="David" w:hint="cs"/>
          <w:b/>
          <w:bCs/>
          <w:sz w:val="28"/>
          <w:szCs w:val="28"/>
          <w:rtl/>
        </w:rPr>
        <w:t xml:space="preserve">שיתוף הפעולה עם </w:t>
      </w:r>
      <w:r w:rsidR="00310D3D" w:rsidRPr="003D0069">
        <w:rPr>
          <w:rFonts w:cs="David" w:hint="cs"/>
          <w:b/>
          <w:bCs/>
          <w:sz w:val="28"/>
          <w:szCs w:val="28"/>
          <w:rtl/>
        </w:rPr>
        <w:t>ועדות החקירה הבינלאומיות</w:t>
      </w:r>
      <w:r w:rsidRPr="003D0069">
        <w:rPr>
          <w:rFonts w:cs="David" w:hint="cs"/>
          <w:b/>
          <w:bCs/>
          <w:sz w:val="28"/>
          <w:szCs w:val="28"/>
          <w:rtl/>
        </w:rPr>
        <w:t xml:space="preserve"> כ</w:t>
      </w:r>
      <w:r w:rsidR="005A2213" w:rsidRPr="003D0069">
        <w:rPr>
          <w:rFonts w:cs="David" w:hint="cs"/>
          <w:b/>
          <w:bCs/>
          <w:sz w:val="28"/>
          <w:szCs w:val="28"/>
          <w:rtl/>
        </w:rPr>
        <w:t xml:space="preserve">ביטוי לאופייה הדמוקרטי </w:t>
      </w:r>
      <w:r w:rsidRPr="003D0069">
        <w:rPr>
          <w:rFonts w:cs="David" w:hint="cs"/>
          <w:b/>
          <w:bCs/>
          <w:sz w:val="28"/>
          <w:szCs w:val="28"/>
          <w:rtl/>
        </w:rPr>
        <w:t>של מדינת ישראל</w:t>
      </w:r>
      <w:bookmarkEnd w:id="19"/>
    </w:p>
    <w:p w:rsidR="00341C30" w:rsidRPr="0004711E" w:rsidRDefault="00341C30" w:rsidP="008B316C">
      <w:pPr>
        <w:spacing w:after="0" w:line="360" w:lineRule="auto"/>
        <w:jc w:val="both"/>
        <w:rPr>
          <w:rFonts w:cs="David"/>
          <w:sz w:val="28"/>
          <w:szCs w:val="28"/>
          <w:rtl/>
        </w:rPr>
      </w:pPr>
    </w:p>
    <w:p w:rsidR="00542DAD" w:rsidRPr="0004711E" w:rsidRDefault="00341C30" w:rsidP="001C4501">
      <w:pPr>
        <w:spacing w:after="0" w:line="360" w:lineRule="auto"/>
        <w:jc w:val="both"/>
        <w:rPr>
          <w:rFonts w:cs="David"/>
          <w:sz w:val="28"/>
          <w:szCs w:val="28"/>
          <w:rtl/>
        </w:rPr>
      </w:pPr>
      <w:r w:rsidRPr="0004711E">
        <w:rPr>
          <w:rFonts w:cs="David" w:hint="cs"/>
          <w:sz w:val="28"/>
          <w:szCs w:val="28"/>
          <w:rtl/>
        </w:rPr>
        <w:t xml:space="preserve">שיקול כללי נוסף שיש </w:t>
      </w:r>
      <w:r w:rsidR="001C4501">
        <w:rPr>
          <w:rFonts w:cs="David" w:hint="cs"/>
          <w:sz w:val="28"/>
          <w:szCs w:val="28"/>
          <w:rtl/>
        </w:rPr>
        <w:t>לקחת בחשבון בהקשר ל</w:t>
      </w:r>
      <w:r w:rsidRPr="0004711E">
        <w:rPr>
          <w:rFonts w:cs="David" w:hint="cs"/>
          <w:sz w:val="28"/>
          <w:szCs w:val="28"/>
          <w:rtl/>
        </w:rPr>
        <w:t xml:space="preserve">שיתוף פעולה עם </w:t>
      </w:r>
      <w:r w:rsidR="009C039C">
        <w:rPr>
          <w:rFonts w:cs="David" w:hint="cs"/>
          <w:sz w:val="28"/>
          <w:szCs w:val="28"/>
          <w:rtl/>
        </w:rPr>
        <w:t>ועדות חקירה בינלאומיות</w:t>
      </w:r>
      <w:r w:rsidRPr="0004711E">
        <w:rPr>
          <w:rFonts w:cs="David" w:hint="cs"/>
          <w:sz w:val="28"/>
          <w:szCs w:val="28"/>
          <w:rtl/>
        </w:rPr>
        <w:t xml:space="preserve"> הוא היותה של מדינת ישראל דמוקרטיה. שיקול זה קשור בטבורו לשיקול הלגיטימציה שהוזכר לעיל, וניתן היה לדון בו תחת אותה הכותרת, אך יש </w:t>
      </w:r>
      <w:r w:rsidRPr="0004711E">
        <w:rPr>
          <w:rFonts w:cs="David" w:hint="cs"/>
          <w:sz w:val="28"/>
          <w:szCs w:val="28"/>
          <w:rtl/>
        </w:rPr>
        <w:lastRenderedPageBreak/>
        <w:t xml:space="preserve">לו היבטים שאינם קשורים רק לדרך שבה מדינת ישראל תופסת את מקומה בעולם, אלא גם לדרך שבה היא תופסת את עצמה כדמוקרטיה. </w:t>
      </w:r>
    </w:p>
    <w:p w:rsidR="00542DAD" w:rsidRPr="0004711E" w:rsidRDefault="00542DAD" w:rsidP="008B316C">
      <w:pPr>
        <w:spacing w:after="0" w:line="360" w:lineRule="auto"/>
        <w:jc w:val="both"/>
        <w:rPr>
          <w:rFonts w:cs="David"/>
          <w:sz w:val="28"/>
          <w:szCs w:val="28"/>
          <w:rtl/>
        </w:rPr>
      </w:pPr>
    </w:p>
    <w:p w:rsidR="00A82DA9" w:rsidRPr="0004711E" w:rsidRDefault="00341C30" w:rsidP="00FD0E3A">
      <w:pPr>
        <w:spacing w:after="0" w:line="360" w:lineRule="auto"/>
        <w:jc w:val="both"/>
        <w:rPr>
          <w:rFonts w:cs="David"/>
          <w:sz w:val="28"/>
          <w:szCs w:val="28"/>
          <w:rtl/>
        </w:rPr>
      </w:pPr>
      <w:r w:rsidRPr="0004711E">
        <w:rPr>
          <w:rFonts w:cs="David" w:hint="cs"/>
          <w:sz w:val="28"/>
          <w:szCs w:val="28"/>
          <w:rtl/>
        </w:rPr>
        <w:t>לעניין זה ייאמר, ש</w:t>
      </w:r>
      <w:r w:rsidR="00003518" w:rsidRPr="0004711E">
        <w:rPr>
          <w:rFonts w:cs="David" w:hint="cs"/>
          <w:sz w:val="28"/>
          <w:szCs w:val="28"/>
          <w:rtl/>
        </w:rPr>
        <w:t xml:space="preserve">בדיקה </w:t>
      </w:r>
      <w:r w:rsidRPr="0004711E">
        <w:rPr>
          <w:rFonts w:cs="David" w:hint="cs"/>
          <w:sz w:val="28"/>
          <w:szCs w:val="28"/>
          <w:rtl/>
        </w:rPr>
        <w:t xml:space="preserve">וביקורת </w:t>
      </w:r>
      <w:r w:rsidR="00003518" w:rsidRPr="0004711E">
        <w:rPr>
          <w:rFonts w:cs="David" w:hint="cs"/>
          <w:sz w:val="28"/>
          <w:szCs w:val="28"/>
          <w:rtl/>
        </w:rPr>
        <w:t xml:space="preserve">מתאפשרת </w:t>
      </w:r>
      <w:r w:rsidRPr="0004711E">
        <w:rPr>
          <w:rFonts w:cs="David" w:hint="cs"/>
          <w:sz w:val="28"/>
          <w:szCs w:val="28"/>
          <w:rtl/>
        </w:rPr>
        <w:t xml:space="preserve">במדינת ישראל הדמוקרטית </w:t>
      </w:r>
      <w:r w:rsidR="00003518" w:rsidRPr="0004711E">
        <w:rPr>
          <w:rFonts w:cs="David" w:hint="cs"/>
          <w:sz w:val="28"/>
          <w:szCs w:val="28"/>
          <w:rtl/>
        </w:rPr>
        <w:t xml:space="preserve">לא רק באמצעות </w:t>
      </w:r>
      <w:r w:rsidR="009C039C">
        <w:rPr>
          <w:rFonts w:cs="David" w:hint="cs"/>
          <w:sz w:val="28"/>
          <w:szCs w:val="28"/>
          <w:rtl/>
        </w:rPr>
        <w:t>ועדות חקירה בינלאומיות</w:t>
      </w:r>
      <w:r w:rsidR="00FD0E3A">
        <w:rPr>
          <w:rFonts w:cs="David" w:hint="cs"/>
          <w:sz w:val="28"/>
          <w:szCs w:val="28"/>
          <w:rtl/>
        </w:rPr>
        <w:t>,</w:t>
      </w:r>
      <w:r w:rsidRPr="0004711E">
        <w:rPr>
          <w:rFonts w:cs="David" w:hint="cs"/>
          <w:sz w:val="28"/>
          <w:szCs w:val="28"/>
          <w:rtl/>
        </w:rPr>
        <w:t xml:space="preserve"> </w:t>
      </w:r>
      <w:r w:rsidR="00003518" w:rsidRPr="0004711E">
        <w:rPr>
          <w:rFonts w:cs="David" w:hint="cs"/>
          <w:sz w:val="28"/>
          <w:szCs w:val="28"/>
          <w:rtl/>
        </w:rPr>
        <w:t xml:space="preserve">אלא גם </w:t>
      </w:r>
      <w:r w:rsidRPr="0004711E">
        <w:rPr>
          <w:rFonts w:cs="David" w:hint="cs"/>
          <w:sz w:val="28"/>
          <w:szCs w:val="28"/>
          <w:rtl/>
        </w:rPr>
        <w:t xml:space="preserve">במגוון אמצעים אחרים. כך, </w:t>
      </w:r>
      <w:r w:rsidR="00542DAD" w:rsidRPr="0004711E">
        <w:rPr>
          <w:rFonts w:cs="David" w:hint="cs"/>
          <w:sz w:val="28"/>
          <w:szCs w:val="28"/>
          <w:rtl/>
        </w:rPr>
        <w:t xml:space="preserve">מדינת </w:t>
      </w:r>
      <w:r w:rsidRPr="0004711E">
        <w:rPr>
          <w:rFonts w:cs="David" w:hint="cs"/>
          <w:sz w:val="28"/>
          <w:szCs w:val="28"/>
          <w:rtl/>
        </w:rPr>
        <w:t xml:space="preserve">ישראל מאפשרת </w:t>
      </w:r>
      <w:r w:rsidR="00542DAD" w:rsidRPr="0004711E">
        <w:rPr>
          <w:rFonts w:cs="David" w:hint="cs"/>
          <w:sz w:val="28"/>
          <w:szCs w:val="28"/>
          <w:rtl/>
        </w:rPr>
        <w:t xml:space="preserve">פעילות חופשית וללא הפרעה של פוליטיקאים בעלי מגוון דעות, אשר רשאים לבקר בצורה חופשית את פעולות הממשלה; </w:t>
      </w:r>
      <w:r w:rsidR="00003518" w:rsidRPr="0004711E">
        <w:rPr>
          <w:rFonts w:cs="David" w:hint="cs"/>
          <w:sz w:val="28"/>
          <w:szCs w:val="28"/>
          <w:rtl/>
        </w:rPr>
        <w:t>של עיתונאים</w:t>
      </w:r>
      <w:r w:rsidR="00542DAD" w:rsidRPr="0004711E">
        <w:rPr>
          <w:rFonts w:cs="David" w:hint="cs"/>
          <w:sz w:val="28"/>
          <w:szCs w:val="28"/>
          <w:rtl/>
        </w:rPr>
        <w:t xml:space="preserve"> מקומיים וזרים</w:t>
      </w:r>
      <w:r w:rsidR="00003518" w:rsidRPr="0004711E">
        <w:rPr>
          <w:rFonts w:cs="David" w:hint="cs"/>
          <w:sz w:val="28"/>
          <w:szCs w:val="28"/>
          <w:rtl/>
        </w:rPr>
        <w:t xml:space="preserve">, </w:t>
      </w:r>
      <w:r w:rsidR="00542DAD" w:rsidRPr="0004711E">
        <w:rPr>
          <w:rFonts w:cs="David" w:hint="cs"/>
          <w:sz w:val="28"/>
          <w:szCs w:val="28"/>
          <w:rtl/>
        </w:rPr>
        <w:t xml:space="preserve">מכל רחבי העולם, שמדווחים על כל הנעשה במדינה באופן חופשי; של </w:t>
      </w:r>
      <w:r w:rsidR="00003518" w:rsidRPr="0004711E">
        <w:rPr>
          <w:rFonts w:cs="David" w:hint="cs"/>
          <w:sz w:val="28"/>
          <w:szCs w:val="28"/>
          <w:rtl/>
        </w:rPr>
        <w:t>דיפלומטים</w:t>
      </w:r>
      <w:r w:rsidR="00542DAD" w:rsidRPr="0004711E">
        <w:rPr>
          <w:rFonts w:cs="David" w:hint="cs"/>
          <w:sz w:val="28"/>
          <w:szCs w:val="28"/>
          <w:rtl/>
        </w:rPr>
        <w:t xml:space="preserve"> מכל רחבי העולם</w:t>
      </w:r>
      <w:r w:rsidR="00FD0E3A">
        <w:rPr>
          <w:rFonts w:cs="David" w:hint="cs"/>
          <w:sz w:val="28"/>
          <w:szCs w:val="28"/>
          <w:rtl/>
        </w:rPr>
        <w:t>,</w:t>
      </w:r>
      <w:r w:rsidR="00542DAD" w:rsidRPr="0004711E">
        <w:rPr>
          <w:rFonts w:cs="David" w:hint="cs"/>
          <w:sz w:val="28"/>
          <w:szCs w:val="28"/>
          <w:rtl/>
        </w:rPr>
        <w:t xml:space="preserve"> שמגיעים לארץ כדי לעמוד מקרוב על עניינים שבלב תשומת הלב הבינלאומית;</w:t>
      </w:r>
      <w:r w:rsidR="00003518" w:rsidRPr="0004711E">
        <w:rPr>
          <w:rFonts w:cs="David" w:hint="cs"/>
          <w:sz w:val="28"/>
          <w:szCs w:val="28"/>
          <w:rtl/>
        </w:rPr>
        <w:t xml:space="preserve"> </w:t>
      </w:r>
      <w:r w:rsidR="00542DAD" w:rsidRPr="0004711E">
        <w:rPr>
          <w:rFonts w:cs="David" w:hint="cs"/>
          <w:sz w:val="28"/>
          <w:szCs w:val="28"/>
          <w:rtl/>
        </w:rPr>
        <w:t>של פעילי ארגוני זכויות אדם וארגונים לא ממשלתיים (</w:t>
      </w:r>
      <w:r w:rsidR="00542DAD" w:rsidRPr="0004711E">
        <w:rPr>
          <w:rFonts w:cs="David"/>
          <w:sz w:val="28"/>
          <w:szCs w:val="28"/>
        </w:rPr>
        <w:t>NGOs</w:t>
      </w:r>
      <w:r w:rsidR="00542DAD" w:rsidRPr="0004711E">
        <w:rPr>
          <w:rFonts w:cs="David" w:hint="cs"/>
          <w:sz w:val="28"/>
          <w:szCs w:val="28"/>
          <w:rtl/>
        </w:rPr>
        <w:t xml:space="preserve">), מישראל ומכל רחבי העולם; של </w:t>
      </w:r>
      <w:r w:rsidR="00003518" w:rsidRPr="0004711E">
        <w:rPr>
          <w:rFonts w:cs="David" w:hint="cs"/>
          <w:sz w:val="28"/>
          <w:szCs w:val="28"/>
          <w:rtl/>
        </w:rPr>
        <w:t>אנשי כוחות או"ם וארגונים בינלאומיים אחרים</w:t>
      </w:r>
      <w:r w:rsidR="00542DAD" w:rsidRPr="0004711E">
        <w:rPr>
          <w:rFonts w:cs="David" w:hint="cs"/>
          <w:sz w:val="28"/>
          <w:szCs w:val="28"/>
          <w:rtl/>
        </w:rPr>
        <w:t xml:space="preserve">, אשר פועלים בישראל ומדווחים </w:t>
      </w:r>
      <w:r w:rsidR="00FB7E86" w:rsidRPr="0004711E">
        <w:rPr>
          <w:rFonts w:cs="David" w:hint="cs"/>
          <w:sz w:val="28"/>
          <w:szCs w:val="28"/>
          <w:rtl/>
        </w:rPr>
        <w:t xml:space="preserve">לארגוניהם </w:t>
      </w:r>
      <w:r w:rsidR="00FD0E3A">
        <w:rPr>
          <w:rFonts w:cs="David" w:hint="cs"/>
          <w:sz w:val="28"/>
          <w:szCs w:val="28"/>
          <w:rtl/>
        </w:rPr>
        <w:t xml:space="preserve">ללא הפרעה </w:t>
      </w:r>
      <w:r w:rsidR="00FB7E86" w:rsidRPr="0004711E">
        <w:rPr>
          <w:rFonts w:cs="David" w:hint="cs"/>
          <w:sz w:val="28"/>
          <w:szCs w:val="28"/>
          <w:rtl/>
        </w:rPr>
        <w:t>על המתרחש כאן</w:t>
      </w:r>
      <w:r w:rsidR="00003518" w:rsidRPr="0004711E">
        <w:rPr>
          <w:rFonts w:cs="David" w:hint="cs"/>
          <w:sz w:val="28"/>
          <w:szCs w:val="28"/>
          <w:rtl/>
        </w:rPr>
        <w:t xml:space="preserve"> (</w:t>
      </w:r>
      <w:r w:rsidR="00003518" w:rsidRPr="0004711E">
        <w:rPr>
          <w:rFonts w:cs="David" w:hint="cs"/>
          <w:sz w:val="28"/>
          <w:szCs w:val="28"/>
        </w:rPr>
        <w:t>UNTSO</w:t>
      </w:r>
      <w:r w:rsidR="00FB7E86" w:rsidRPr="0004711E">
        <w:rPr>
          <w:rStyle w:val="a7"/>
          <w:rFonts w:cs="David"/>
          <w:sz w:val="28"/>
          <w:szCs w:val="28"/>
          <w:rtl/>
        </w:rPr>
        <w:footnoteReference w:id="109"/>
      </w:r>
      <w:r w:rsidR="00003518" w:rsidRPr="0004711E">
        <w:rPr>
          <w:rFonts w:cs="David" w:hint="cs"/>
          <w:sz w:val="28"/>
          <w:szCs w:val="28"/>
          <w:rtl/>
        </w:rPr>
        <w:t xml:space="preserve">, </w:t>
      </w:r>
      <w:r w:rsidR="00003518" w:rsidRPr="0004711E">
        <w:rPr>
          <w:rFonts w:cs="David" w:hint="cs"/>
          <w:sz w:val="28"/>
          <w:szCs w:val="28"/>
        </w:rPr>
        <w:t>UNIFIL</w:t>
      </w:r>
      <w:r w:rsidR="00FB7E86" w:rsidRPr="0004711E">
        <w:rPr>
          <w:rStyle w:val="a7"/>
          <w:rFonts w:cs="David"/>
          <w:sz w:val="28"/>
          <w:szCs w:val="28"/>
          <w:rtl/>
        </w:rPr>
        <w:footnoteReference w:id="110"/>
      </w:r>
      <w:r w:rsidR="00003518" w:rsidRPr="0004711E">
        <w:rPr>
          <w:rFonts w:cs="David" w:hint="cs"/>
          <w:sz w:val="28"/>
          <w:szCs w:val="28"/>
          <w:rtl/>
        </w:rPr>
        <w:t xml:space="preserve">, </w:t>
      </w:r>
      <w:r w:rsidR="00003518" w:rsidRPr="0004711E">
        <w:rPr>
          <w:rFonts w:cs="David" w:hint="cs"/>
          <w:sz w:val="28"/>
          <w:szCs w:val="28"/>
        </w:rPr>
        <w:t>UNOCHA</w:t>
      </w:r>
      <w:r w:rsidR="00FB7E86" w:rsidRPr="0004711E">
        <w:rPr>
          <w:rStyle w:val="a7"/>
          <w:rFonts w:cs="David"/>
          <w:sz w:val="28"/>
          <w:szCs w:val="28"/>
          <w:rtl/>
        </w:rPr>
        <w:footnoteReference w:id="111"/>
      </w:r>
      <w:r w:rsidR="00003518" w:rsidRPr="0004711E">
        <w:rPr>
          <w:rFonts w:cs="David" w:hint="cs"/>
          <w:sz w:val="28"/>
          <w:szCs w:val="28"/>
          <w:rtl/>
        </w:rPr>
        <w:t xml:space="preserve">, </w:t>
      </w:r>
      <w:r w:rsidR="00003518" w:rsidRPr="0004711E">
        <w:rPr>
          <w:rFonts w:cs="David" w:hint="cs"/>
          <w:sz w:val="28"/>
          <w:szCs w:val="28"/>
        </w:rPr>
        <w:t>UNDOF</w:t>
      </w:r>
      <w:r w:rsidR="00FB7E86" w:rsidRPr="0004711E">
        <w:rPr>
          <w:rStyle w:val="a7"/>
          <w:rFonts w:cs="David"/>
          <w:sz w:val="28"/>
          <w:szCs w:val="28"/>
          <w:rtl/>
        </w:rPr>
        <w:footnoteReference w:id="112"/>
      </w:r>
      <w:r w:rsidR="00003518" w:rsidRPr="0004711E">
        <w:rPr>
          <w:rFonts w:cs="David" w:hint="cs"/>
          <w:sz w:val="28"/>
          <w:szCs w:val="28"/>
          <w:rtl/>
        </w:rPr>
        <w:t xml:space="preserve">, </w:t>
      </w:r>
      <w:r w:rsidR="00003518" w:rsidRPr="0004711E">
        <w:rPr>
          <w:rFonts w:cs="David" w:hint="cs"/>
          <w:sz w:val="28"/>
          <w:szCs w:val="28"/>
        </w:rPr>
        <w:t>UNRWA</w:t>
      </w:r>
      <w:r w:rsidR="00FB7E86" w:rsidRPr="0004711E">
        <w:rPr>
          <w:rStyle w:val="a7"/>
          <w:rFonts w:cs="David"/>
          <w:sz w:val="28"/>
          <w:szCs w:val="28"/>
          <w:rtl/>
        </w:rPr>
        <w:footnoteReference w:id="113"/>
      </w:r>
      <w:r w:rsidR="00003518" w:rsidRPr="0004711E">
        <w:rPr>
          <w:rFonts w:cs="David" w:hint="cs"/>
          <w:sz w:val="28"/>
          <w:szCs w:val="28"/>
          <w:rtl/>
        </w:rPr>
        <w:t xml:space="preserve">, </w:t>
      </w:r>
      <w:r w:rsidR="00003518" w:rsidRPr="0004711E">
        <w:rPr>
          <w:rFonts w:cs="David" w:hint="cs"/>
          <w:sz w:val="28"/>
          <w:szCs w:val="28"/>
        </w:rPr>
        <w:t>MFO</w:t>
      </w:r>
      <w:r w:rsidR="00FB7E86" w:rsidRPr="0004711E">
        <w:rPr>
          <w:rStyle w:val="a7"/>
          <w:rFonts w:cs="David"/>
          <w:sz w:val="28"/>
          <w:szCs w:val="28"/>
          <w:rtl/>
        </w:rPr>
        <w:footnoteReference w:id="114"/>
      </w:r>
      <w:r w:rsidR="00003518" w:rsidRPr="0004711E">
        <w:rPr>
          <w:rFonts w:cs="David" w:hint="cs"/>
          <w:sz w:val="28"/>
          <w:szCs w:val="28"/>
          <w:rtl/>
        </w:rPr>
        <w:t xml:space="preserve">, </w:t>
      </w:r>
      <w:r w:rsidR="00003518" w:rsidRPr="0004711E">
        <w:rPr>
          <w:rFonts w:cs="David" w:hint="cs"/>
          <w:sz w:val="28"/>
          <w:szCs w:val="28"/>
        </w:rPr>
        <w:t>TIPH</w:t>
      </w:r>
      <w:r w:rsidR="00A82DA9" w:rsidRPr="0004711E">
        <w:rPr>
          <w:rStyle w:val="a7"/>
          <w:rFonts w:cs="David"/>
          <w:sz w:val="28"/>
          <w:szCs w:val="28"/>
          <w:rtl/>
        </w:rPr>
        <w:footnoteReference w:id="115"/>
      </w:r>
      <w:r w:rsidR="00003518" w:rsidRPr="0004711E">
        <w:rPr>
          <w:rFonts w:cs="David" w:hint="cs"/>
          <w:sz w:val="28"/>
          <w:szCs w:val="28"/>
          <w:rtl/>
        </w:rPr>
        <w:t xml:space="preserve"> ועוד). </w:t>
      </w:r>
      <w:r w:rsidR="00A82DA9" w:rsidRPr="0004711E">
        <w:rPr>
          <w:rFonts w:cs="David" w:hint="cs"/>
          <w:sz w:val="28"/>
          <w:szCs w:val="28"/>
          <w:rtl/>
        </w:rPr>
        <w:t xml:space="preserve">במדינת </w:t>
      </w:r>
      <w:r w:rsidR="00003518" w:rsidRPr="0004711E">
        <w:rPr>
          <w:rFonts w:cs="David" w:hint="cs"/>
          <w:sz w:val="28"/>
          <w:szCs w:val="28"/>
          <w:rtl/>
        </w:rPr>
        <w:t xml:space="preserve">ישראל </w:t>
      </w:r>
      <w:r w:rsidR="00A82DA9" w:rsidRPr="0004711E">
        <w:rPr>
          <w:rFonts w:cs="David" w:hint="cs"/>
          <w:sz w:val="28"/>
          <w:szCs w:val="28"/>
          <w:rtl/>
        </w:rPr>
        <w:t>פועלת רשות שופטת בעלת סמכויות שיפוטיות רחבות</w:t>
      </w:r>
      <w:r w:rsidR="001C4501">
        <w:rPr>
          <w:rFonts w:cs="David" w:hint="cs"/>
          <w:sz w:val="28"/>
          <w:szCs w:val="28"/>
          <w:rtl/>
        </w:rPr>
        <w:t>,</w:t>
      </w:r>
      <w:r w:rsidR="00A82DA9" w:rsidRPr="0004711E">
        <w:rPr>
          <w:rFonts w:cs="David" w:hint="cs"/>
          <w:sz w:val="28"/>
          <w:szCs w:val="28"/>
          <w:rtl/>
        </w:rPr>
        <w:t xml:space="preserve"> המאפשרות לה ביקורת יעילה של הרשות המבצעת</w:t>
      </w:r>
      <w:r w:rsidR="00003518" w:rsidRPr="0004711E">
        <w:rPr>
          <w:rFonts w:cs="David" w:hint="cs"/>
          <w:sz w:val="28"/>
          <w:szCs w:val="28"/>
          <w:rtl/>
        </w:rPr>
        <w:t xml:space="preserve">. </w:t>
      </w:r>
      <w:r w:rsidR="00A82DA9" w:rsidRPr="0004711E">
        <w:rPr>
          <w:rFonts w:cs="David" w:hint="cs"/>
          <w:sz w:val="28"/>
          <w:szCs w:val="28"/>
          <w:rtl/>
        </w:rPr>
        <w:t xml:space="preserve">מדינת ישראל מקימה </w:t>
      </w:r>
      <w:r w:rsidR="009F6ED1">
        <w:rPr>
          <w:rFonts w:cs="David" w:hint="cs"/>
          <w:sz w:val="28"/>
          <w:szCs w:val="28"/>
          <w:rtl/>
        </w:rPr>
        <w:t xml:space="preserve">ועדות חקירה </w:t>
      </w:r>
      <w:r w:rsidR="00A82DA9" w:rsidRPr="0004711E">
        <w:rPr>
          <w:rFonts w:cs="David" w:hint="cs"/>
          <w:sz w:val="28"/>
          <w:szCs w:val="28"/>
          <w:rtl/>
        </w:rPr>
        <w:t xml:space="preserve">לבחינה של אירועים משמעותיים שקורים בה. </w:t>
      </w:r>
      <w:r w:rsidR="00003518" w:rsidRPr="0004711E">
        <w:rPr>
          <w:rFonts w:cs="David" w:hint="cs"/>
          <w:sz w:val="28"/>
          <w:szCs w:val="28"/>
          <w:rtl/>
        </w:rPr>
        <w:t>כל הגופים</w:t>
      </w:r>
      <w:r w:rsidR="00A82DA9" w:rsidRPr="0004711E">
        <w:rPr>
          <w:rFonts w:cs="David" w:hint="cs"/>
          <w:sz w:val="28"/>
          <w:szCs w:val="28"/>
          <w:rtl/>
        </w:rPr>
        <w:t xml:space="preserve"> הללו, כולם ביחד וכל אחד לחוד,</w:t>
      </w:r>
      <w:r w:rsidR="00003518" w:rsidRPr="0004711E">
        <w:rPr>
          <w:rFonts w:cs="David" w:hint="cs"/>
          <w:sz w:val="28"/>
          <w:szCs w:val="28"/>
          <w:rtl/>
        </w:rPr>
        <w:t xml:space="preserve"> משמשים בפועל כמנגנוני בקרה ובדיקה פעילים על פעולותיה של מדינת ישראל. </w:t>
      </w:r>
      <w:r w:rsidR="00A82DA9" w:rsidRPr="0004711E">
        <w:rPr>
          <w:rFonts w:cs="David" w:hint="cs"/>
          <w:sz w:val="28"/>
          <w:szCs w:val="28"/>
          <w:rtl/>
        </w:rPr>
        <w:t xml:space="preserve">אם כך הדבר, </w:t>
      </w:r>
      <w:r w:rsidR="00003518" w:rsidRPr="0004711E">
        <w:rPr>
          <w:rFonts w:cs="David" w:hint="cs"/>
          <w:sz w:val="28"/>
          <w:szCs w:val="28"/>
          <w:rtl/>
        </w:rPr>
        <w:t>נשאלת השאלה</w:t>
      </w:r>
      <w:r w:rsidR="00A82DA9" w:rsidRPr="0004711E">
        <w:rPr>
          <w:rFonts w:cs="David" w:hint="cs"/>
          <w:sz w:val="28"/>
          <w:szCs w:val="28"/>
          <w:rtl/>
        </w:rPr>
        <w:t>:</w:t>
      </w:r>
      <w:r w:rsidR="00003518" w:rsidRPr="0004711E">
        <w:rPr>
          <w:rFonts w:cs="David" w:hint="cs"/>
          <w:sz w:val="28"/>
          <w:szCs w:val="28"/>
          <w:rtl/>
        </w:rPr>
        <w:t xml:space="preserve"> מדוע לאפשר את פעילותן של כל הפונקציות הללו, ול</w:t>
      </w:r>
      <w:r w:rsidR="00A82DA9" w:rsidRPr="0004711E">
        <w:rPr>
          <w:rFonts w:cs="David" w:hint="cs"/>
          <w:sz w:val="28"/>
          <w:szCs w:val="28"/>
          <w:rtl/>
        </w:rPr>
        <w:t>מנוע רק את פעולת</w:t>
      </w:r>
      <w:r w:rsidR="00FD0E3A">
        <w:rPr>
          <w:rFonts w:cs="David" w:hint="cs"/>
          <w:sz w:val="28"/>
          <w:szCs w:val="28"/>
          <w:rtl/>
        </w:rPr>
        <w:t>ן</w:t>
      </w:r>
      <w:r w:rsidR="00A82DA9" w:rsidRPr="0004711E">
        <w:rPr>
          <w:rFonts w:cs="David" w:hint="cs"/>
          <w:sz w:val="28"/>
          <w:szCs w:val="28"/>
          <w:rtl/>
        </w:rPr>
        <w:t xml:space="preserve"> של </w:t>
      </w:r>
      <w:r w:rsidR="00310D3D">
        <w:rPr>
          <w:rFonts w:cs="David" w:hint="cs"/>
          <w:sz w:val="28"/>
          <w:szCs w:val="28"/>
          <w:rtl/>
        </w:rPr>
        <w:t>ועדות החקירה הבינלאומיות</w:t>
      </w:r>
      <w:r w:rsidR="00A82DA9" w:rsidRPr="0004711E">
        <w:rPr>
          <w:rFonts w:cs="David" w:hint="cs"/>
          <w:sz w:val="28"/>
          <w:szCs w:val="28"/>
          <w:rtl/>
        </w:rPr>
        <w:t>?</w:t>
      </w:r>
    </w:p>
    <w:p w:rsidR="00A82DA9" w:rsidRPr="0004711E" w:rsidRDefault="00A82DA9" w:rsidP="008B316C">
      <w:pPr>
        <w:spacing w:after="0" w:line="360" w:lineRule="auto"/>
        <w:jc w:val="both"/>
        <w:rPr>
          <w:rFonts w:cs="David"/>
          <w:sz w:val="28"/>
          <w:szCs w:val="28"/>
          <w:rtl/>
        </w:rPr>
      </w:pPr>
    </w:p>
    <w:p w:rsidR="00ED01C4" w:rsidRPr="0004711E" w:rsidRDefault="00A82DA9" w:rsidP="00FD0E3A">
      <w:pPr>
        <w:spacing w:after="0" w:line="360" w:lineRule="auto"/>
        <w:jc w:val="both"/>
        <w:rPr>
          <w:rFonts w:cs="David"/>
          <w:sz w:val="28"/>
          <w:szCs w:val="28"/>
        </w:rPr>
      </w:pPr>
      <w:r w:rsidRPr="0004711E">
        <w:rPr>
          <w:rFonts w:cs="David" w:hint="cs"/>
          <w:sz w:val="28"/>
          <w:szCs w:val="28"/>
          <w:rtl/>
        </w:rPr>
        <w:t xml:space="preserve">חלק מהמרואיינים סברו שאכן אין נימוק טוב למניעת </w:t>
      </w:r>
      <w:r w:rsidR="00ED01C4" w:rsidRPr="0004711E">
        <w:rPr>
          <w:rFonts w:cs="David" w:hint="cs"/>
          <w:sz w:val="28"/>
          <w:szCs w:val="28"/>
          <w:rtl/>
        </w:rPr>
        <w:t>פעולת</w:t>
      </w:r>
      <w:r w:rsidR="00FD0E3A">
        <w:rPr>
          <w:rFonts w:cs="David" w:hint="cs"/>
          <w:sz w:val="28"/>
          <w:szCs w:val="28"/>
          <w:rtl/>
        </w:rPr>
        <w:t>ן</w:t>
      </w:r>
      <w:r w:rsidR="00ED01C4" w:rsidRPr="0004711E">
        <w:rPr>
          <w:rFonts w:cs="David" w:hint="cs"/>
          <w:sz w:val="28"/>
          <w:szCs w:val="28"/>
          <w:rtl/>
        </w:rPr>
        <w:t xml:space="preserve"> </w:t>
      </w:r>
      <w:r w:rsidRPr="0004711E">
        <w:rPr>
          <w:rFonts w:cs="David" w:hint="cs"/>
          <w:sz w:val="28"/>
          <w:szCs w:val="28"/>
          <w:rtl/>
        </w:rPr>
        <w:t xml:space="preserve">של </w:t>
      </w:r>
      <w:r w:rsidR="009C039C">
        <w:rPr>
          <w:rFonts w:cs="David" w:hint="cs"/>
          <w:sz w:val="28"/>
          <w:szCs w:val="28"/>
          <w:rtl/>
        </w:rPr>
        <w:t>ועדות חקירה בינלאומיות</w:t>
      </w:r>
      <w:r w:rsidRPr="0004711E">
        <w:rPr>
          <w:rFonts w:cs="David" w:hint="cs"/>
          <w:sz w:val="28"/>
          <w:szCs w:val="28"/>
          <w:rtl/>
        </w:rPr>
        <w:t xml:space="preserve"> דווקא, כשכל כך הרבה פונקציות </w:t>
      </w:r>
      <w:r w:rsidR="00FD0E3A">
        <w:rPr>
          <w:rFonts w:cs="David" w:hint="cs"/>
          <w:sz w:val="28"/>
          <w:szCs w:val="28"/>
          <w:rtl/>
        </w:rPr>
        <w:t xml:space="preserve">בקרה ובדיקה </w:t>
      </w:r>
      <w:r w:rsidRPr="0004711E">
        <w:rPr>
          <w:rFonts w:cs="David" w:hint="cs"/>
          <w:sz w:val="28"/>
          <w:szCs w:val="28"/>
          <w:rtl/>
        </w:rPr>
        <w:t>אחרות מתפקדות תחת ה</w:t>
      </w:r>
      <w:r w:rsidR="001C4501">
        <w:rPr>
          <w:rFonts w:cs="David" w:hint="cs"/>
          <w:sz w:val="28"/>
          <w:szCs w:val="28"/>
          <w:rtl/>
        </w:rPr>
        <w:t>"</w:t>
      </w:r>
      <w:r w:rsidRPr="0004711E">
        <w:rPr>
          <w:rFonts w:cs="David" w:hint="cs"/>
          <w:sz w:val="28"/>
          <w:szCs w:val="28"/>
          <w:rtl/>
        </w:rPr>
        <w:t>מטרייה</w:t>
      </w:r>
      <w:r w:rsidR="001C4501">
        <w:rPr>
          <w:rFonts w:cs="David" w:hint="cs"/>
          <w:sz w:val="28"/>
          <w:szCs w:val="28"/>
          <w:rtl/>
        </w:rPr>
        <w:t>"</w:t>
      </w:r>
      <w:r w:rsidRPr="0004711E">
        <w:rPr>
          <w:rFonts w:cs="David" w:hint="cs"/>
          <w:sz w:val="28"/>
          <w:szCs w:val="28"/>
          <w:rtl/>
        </w:rPr>
        <w:t xml:space="preserve"> של הדמוקרטיה הישראלית המשגשגת. אחרים סברו</w:t>
      </w:r>
      <w:r w:rsidR="00ED01C4" w:rsidRPr="0004711E">
        <w:rPr>
          <w:rFonts w:cs="David" w:hint="cs"/>
          <w:sz w:val="28"/>
          <w:szCs w:val="28"/>
          <w:rtl/>
        </w:rPr>
        <w:t>,</w:t>
      </w:r>
      <w:r w:rsidRPr="0004711E">
        <w:rPr>
          <w:rFonts w:cs="David" w:hint="cs"/>
          <w:sz w:val="28"/>
          <w:szCs w:val="28"/>
          <w:rtl/>
        </w:rPr>
        <w:t xml:space="preserve"> שבסופו של דבר, זו פריבילגיה של הממשלה להחליט אלה גופים יפעלו בשטח </w:t>
      </w:r>
      <w:r w:rsidR="00ED01C4" w:rsidRPr="0004711E">
        <w:rPr>
          <w:rFonts w:cs="David" w:hint="cs"/>
          <w:sz w:val="28"/>
          <w:szCs w:val="28"/>
          <w:rtl/>
        </w:rPr>
        <w:t xml:space="preserve">המדינה </w:t>
      </w:r>
      <w:r w:rsidRPr="0004711E">
        <w:rPr>
          <w:rFonts w:cs="David" w:hint="cs"/>
          <w:sz w:val="28"/>
          <w:szCs w:val="28"/>
          <w:rtl/>
        </w:rPr>
        <w:t>ולאיזה צורך</w:t>
      </w:r>
      <w:r w:rsidR="00ED01C4" w:rsidRPr="0004711E">
        <w:rPr>
          <w:rFonts w:cs="David" w:hint="cs"/>
          <w:sz w:val="28"/>
          <w:szCs w:val="28"/>
          <w:rtl/>
        </w:rPr>
        <w:t>.</w:t>
      </w:r>
      <w:r w:rsidRPr="0004711E">
        <w:rPr>
          <w:rFonts w:cs="David" w:hint="cs"/>
          <w:sz w:val="28"/>
          <w:szCs w:val="28"/>
          <w:rtl/>
        </w:rPr>
        <w:t xml:space="preserve"> פעילות</w:t>
      </w:r>
      <w:r w:rsidR="00FD0E3A">
        <w:rPr>
          <w:rFonts w:cs="David" w:hint="cs"/>
          <w:sz w:val="28"/>
          <w:szCs w:val="28"/>
          <w:rtl/>
        </w:rPr>
        <w:t>ן</w:t>
      </w:r>
      <w:r w:rsidRPr="0004711E">
        <w:rPr>
          <w:rFonts w:cs="David" w:hint="cs"/>
          <w:sz w:val="28"/>
          <w:szCs w:val="28"/>
          <w:rtl/>
        </w:rPr>
        <w:t xml:space="preserve"> של </w:t>
      </w:r>
      <w:r w:rsidR="009C039C">
        <w:rPr>
          <w:rFonts w:cs="David" w:hint="cs"/>
          <w:sz w:val="28"/>
          <w:szCs w:val="28"/>
          <w:rtl/>
        </w:rPr>
        <w:t>ועדות חקירה בינלאומיות</w:t>
      </w:r>
      <w:r w:rsidRPr="0004711E">
        <w:rPr>
          <w:rFonts w:cs="David" w:hint="cs"/>
          <w:sz w:val="28"/>
          <w:szCs w:val="28"/>
          <w:rtl/>
        </w:rPr>
        <w:t xml:space="preserve"> נופלת באופן מובהק לתחום ניהול יחסי החוץ, שהוא בגדר הסמכויות "הקשות" של הממשלה</w:t>
      </w:r>
      <w:r w:rsidR="00ED01C4" w:rsidRPr="0004711E">
        <w:rPr>
          <w:rFonts w:cs="David" w:hint="cs"/>
          <w:sz w:val="28"/>
          <w:szCs w:val="28"/>
          <w:rtl/>
        </w:rPr>
        <w:t xml:space="preserve">. משכך, יש לממשלה לגיטימציה מלאה להחליט שאינה מאפשרת </w:t>
      </w:r>
      <w:r w:rsidR="00FD0E3A">
        <w:rPr>
          <w:rFonts w:cs="David" w:hint="cs"/>
          <w:sz w:val="28"/>
          <w:szCs w:val="28"/>
          <w:rtl/>
        </w:rPr>
        <w:t xml:space="preserve">את </w:t>
      </w:r>
      <w:r w:rsidR="00ED01C4" w:rsidRPr="0004711E">
        <w:rPr>
          <w:rFonts w:cs="David" w:hint="cs"/>
          <w:sz w:val="28"/>
          <w:szCs w:val="28"/>
          <w:rtl/>
        </w:rPr>
        <w:t>פעילות</w:t>
      </w:r>
      <w:r w:rsidR="00FD0E3A">
        <w:rPr>
          <w:rFonts w:cs="David" w:hint="cs"/>
          <w:sz w:val="28"/>
          <w:szCs w:val="28"/>
          <w:rtl/>
        </w:rPr>
        <w:t>ן</w:t>
      </w:r>
      <w:r w:rsidR="00ED01C4" w:rsidRPr="0004711E">
        <w:rPr>
          <w:rFonts w:cs="David" w:hint="cs"/>
          <w:sz w:val="28"/>
          <w:szCs w:val="28"/>
          <w:rtl/>
        </w:rPr>
        <w:t xml:space="preserve"> של </w:t>
      </w:r>
      <w:r w:rsidR="009C039C">
        <w:rPr>
          <w:rFonts w:cs="David" w:hint="cs"/>
          <w:sz w:val="28"/>
          <w:szCs w:val="28"/>
          <w:rtl/>
        </w:rPr>
        <w:t xml:space="preserve">ועדות חקירה </w:t>
      </w:r>
      <w:r w:rsidR="009C039C">
        <w:rPr>
          <w:rFonts w:cs="David" w:hint="cs"/>
          <w:sz w:val="28"/>
          <w:szCs w:val="28"/>
          <w:rtl/>
        </w:rPr>
        <w:lastRenderedPageBreak/>
        <w:t>בינלאומיות</w:t>
      </w:r>
      <w:r w:rsidR="001C4501">
        <w:rPr>
          <w:rFonts w:cs="David" w:hint="cs"/>
          <w:sz w:val="28"/>
          <w:szCs w:val="28"/>
          <w:rtl/>
        </w:rPr>
        <w:t>,</w:t>
      </w:r>
      <w:r w:rsidR="00ED01C4" w:rsidRPr="0004711E">
        <w:rPr>
          <w:rFonts w:cs="David" w:hint="cs"/>
          <w:sz w:val="28"/>
          <w:szCs w:val="28"/>
          <w:rtl/>
        </w:rPr>
        <w:t xml:space="preserve"> שמבקש</w:t>
      </w:r>
      <w:r w:rsidR="00FD0E3A">
        <w:rPr>
          <w:rFonts w:cs="David" w:hint="cs"/>
          <w:sz w:val="28"/>
          <w:szCs w:val="28"/>
          <w:rtl/>
        </w:rPr>
        <w:t>ות</w:t>
      </w:r>
      <w:r w:rsidR="00ED01C4" w:rsidRPr="0004711E">
        <w:rPr>
          <w:rFonts w:cs="David" w:hint="cs"/>
          <w:sz w:val="28"/>
          <w:szCs w:val="28"/>
          <w:rtl/>
        </w:rPr>
        <w:t xml:space="preserve"> לפעול בשטחה</w:t>
      </w:r>
      <w:r w:rsidR="001C4501">
        <w:rPr>
          <w:rFonts w:cs="David" w:hint="cs"/>
          <w:sz w:val="28"/>
          <w:szCs w:val="28"/>
          <w:rtl/>
        </w:rPr>
        <w:t xml:space="preserve"> -</w:t>
      </w:r>
      <w:r w:rsidR="00ED01C4" w:rsidRPr="0004711E">
        <w:rPr>
          <w:rFonts w:cs="David" w:hint="cs"/>
          <w:sz w:val="28"/>
          <w:szCs w:val="28"/>
          <w:rtl/>
        </w:rPr>
        <w:t xml:space="preserve"> אם כדי להפגין מחאתה כנגד ההטיה של הגוף שמינה אות</w:t>
      </w:r>
      <w:r w:rsidR="00FD0E3A">
        <w:rPr>
          <w:rFonts w:cs="David" w:hint="cs"/>
          <w:sz w:val="28"/>
          <w:szCs w:val="28"/>
          <w:rtl/>
        </w:rPr>
        <w:t>ן</w:t>
      </w:r>
      <w:r w:rsidR="00ED01C4" w:rsidRPr="0004711E">
        <w:rPr>
          <w:rFonts w:cs="David" w:hint="cs"/>
          <w:sz w:val="28"/>
          <w:szCs w:val="28"/>
          <w:rtl/>
        </w:rPr>
        <w:t xml:space="preserve"> או המנדט שמכוחו ה</w:t>
      </w:r>
      <w:r w:rsidR="00FD0E3A">
        <w:rPr>
          <w:rFonts w:cs="David" w:hint="cs"/>
          <w:sz w:val="28"/>
          <w:szCs w:val="28"/>
          <w:rtl/>
        </w:rPr>
        <w:t>ן</w:t>
      </w:r>
      <w:r w:rsidR="00ED01C4" w:rsidRPr="0004711E">
        <w:rPr>
          <w:rFonts w:cs="David" w:hint="cs"/>
          <w:sz w:val="28"/>
          <w:szCs w:val="28"/>
          <w:rtl/>
        </w:rPr>
        <w:t xml:space="preserve"> פועל</w:t>
      </w:r>
      <w:r w:rsidR="00FD0E3A">
        <w:rPr>
          <w:rFonts w:cs="David" w:hint="cs"/>
          <w:sz w:val="28"/>
          <w:szCs w:val="28"/>
          <w:rtl/>
        </w:rPr>
        <w:t>ות</w:t>
      </w:r>
      <w:r w:rsidR="00ED01C4" w:rsidRPr="0004711E">
        <w:rPr>
          <w:rFonts w:cs="David" w:hint="cs"/>
          <w:sz w:val="28"/>
          <w:szCs w:val="28"/>
          <w:rtl/>
        </w:rPr>
        <w:t>, ואם מטעמים אחרים.</w:t>
      </w:r>
    </w:p>
    <w:p w:rsidR="00003518" w:rsidRPr="0004711E" w:rsidRDefault="00003518" w:rsidP="008B316C">
      <w:pPr>
        <w:spacing w:after="0" w:line="360" w:lineRule="auto"/>
        <w:jc w:val="both"/>
        <w:rPr>
          <w:rFonts w:cs="David"/>
          <w:sz w:val="28"/>
          <w:szCs w:val="28"/>
          <w:rtl/>
        </w:rPr>
      </w:pPr>
      <w:r w:rsidRPr="0004711E">
        <w:rPr>
          <w:rFonts w:cs="David" w:hint="cs"/>
          <w:sz w:val="28"/>
          <w:szCs w:val="28"/>
          <w:rtl/>
        </w:rPr>
        <w:t>.</w:t>
      </w:r>
    </w:p>
    <w:p w:rsidR="000C297B" w:rsidRPr="003D0069" w:rsidRDefault="000C297B" w:rsidP="003D0069">
      <w:pPr>
        <w:pStyle w:val="a9"/>
        <w:numPr>
          <w:ilvl w:val="0"/>
          <w:numId w:val="21"/>
        </w:numPr>
        <w:spacing w:after="0" w:line="360" w:lineRule="auto"/>
        <w:jc w:val="both"/>
        <w:outlineLvl w:val="1"/>
        <w:rPr>
          <w:rFonts w:cs="David"/>
          <w:b/>
          <w:bCs/>
          <w:sz w:val="28"/>
          <w:szCs w:val="28"/>
          <w:rtl/>
        </w:rPr>
      </w:pPr>
      <w:bookmarkStart w:id="20" w:name="_Toc456027303"/>
      <w:r w:rsidRPr="003D0069">
        <w:rPr>
          <w:rFonts w:cs="David" w:hint="cs"/>
          <w:b/>
          <w:bCs/>
          <w:sz w:val="28"/>
          <w:szCs w:val="28"/>
          <w:rtl/>
        </w:rPr>
        <w:t xml:space="preserve">הצגת הנרטיב </w:t>
      </w:r>
      <w:r w:rsidR="00A43062" w:rsidRPr="003D0069">
        <w:rPr>
          <w:rFonts w:cs="David" w:hint="cs"/>
          <w:b/>
          <w:bCs/>
          <w:sz w:val="28"/>
          <w:szCs w:val="28"/>
          <w:rtl/>
        </w:rPr>
        <w:t>העובדתי</w:t>
      </w:r>
      <w:r w:rsidRPr="003D0069">
        <w:rPr>
          <w:rFonts w:cs="David" w:hint="cs"/>
          <w:b/>
          <w:bCs/>
          <w:sz w:val="28"/>
          <w:szCs w:val="28"/>
          <w:rtl/>
        </w:rPr>
        <w:t xml:space="preserve"> והמשפטי של מדינת ישראל</w:t>
      </w:r>
      <w:bookmarkEnd w:id="20"/>
    </w:p>
    <w:p w:rsidR="000C297B" w:rsidRPr="0004711E" w:rsidRDefault="000C297B" w:rsidP="008B316C">
      <w:pPr>
        <w:spacing w:after="0" w:line="360" w:lineRule="auto"/>
        <w:jc w:val="both"/>
        <w:rPr>
          <w:rFonts w:cs="David"/>
          <w:sz w:val="28"/>
          <w:szCs w:val="28"/>
          <w:rtl/>
        </w:rPr>
      </w:pPr>
    </w:p>
    <w:p w:rsidR="001C4501" w:rsidRDefault="00A43062" w:rsidP="007E491E">
      <w:pPr>
        <w:spacing w:after="0" w:line="360" w:lineRule="auto"/>
        <w:jc w:val="both"/>
        <w:rPr>
          <w:rFonts w:cs="David"/>
          <w:sz w:val="28"/>
          <w:szCs w:val="28"/>
          <w:rtl/>
        </w:rPr>
      </w:pPr>
      <w:r w:rsidRPr="0004711E">
        <w:rPr>
          <w:rFonts w:cs="David" w:hint="cs"/>
          <w:sz w:val="28"/>
          <w:szCs w:val="28"/>
          <w:rtl/>
        </w:rPr>
        <w:t xml:space="preserve">שיתוף פעולה עם </w:t>
      </w:r>
      <w:r w:rsidR="009C039C">
        <w:rPr>
          <w:rFonts w:cs="David" w:hint="cs"/>
          <w:sz w:val="28"/>
          <w:szCs w:val="28"/>
          <w:rtl/>
        </w:rPr>
        <w:t>ועדות חקירה בינלאומיות</w:t>
      </w:r>
      <w:r w:rsidRPr="0004711E">
        <w:rPr>
          <w:rFonts w:cs="David" w:hint="cs"/>
          <w:sz w:val="28"/>
          <w:szCs w:val="28"/>
          <w:rtl/>
        </w:rPr>
        <w:t xml:space="preserve"> מאפשר למדינת ישראל להציג את הנרטיב שלה לעולם, הן בפן העובדתי והן בפן המשפטי. כפי שצוין לעיל, מדינה שאינה משתפת פעולה עם תהליך </w:t>
      </w:r>
      <w:r w:rsidRPr="0004711E">
        <w:rPr>
          <w:rFonts w:cs="David"/>
          <w:sz w:val="28"/>
          <w:szCs w:val="28"/>
          <w:rtl/>
        </w:rPr>
        <w:t xml:space="preserve">בדיקה </w:t>
      </w:r>
      <w:r w:rsidRPr="0004711E">
        <w:rPr>
          <w:rFonts w:cs="David" w:hint="cs"/>
          <w:sz w:val="28"/>
          <w:szCs w:val="28"/>
          <w:rtl/>
        </w:rPr>
        <w:t>בינלאומי נתפסת כמדינה שיש לה מה להסתיר לגופם של דברים והדבר מעורר חשדנות ומקשה עליה לקדם את עמדותיה.</w:t>
      </w:r>
      <w:r w:rsidR="008B0912" w:rsidRPr="0004711E">
        <w:rPr>
          <w:rFonts w:cs="David" w:hint="cs"/>
          <w:sz w:val="28"/>
          <w:szCs w:val="28"/>
          <w:rtl/>
        </w:rPr>
        <w:t xml:space="preserve"> לא זו אף זו, בעידן המודרני, הדוחות המתפרסמים </w:t>
      </w:r>
      <w:r w:rsidR="00692192">
        <w:rPr>
          <w:rFonts w:cs="David" w:hint="cs"/>
          <w:sz w:val="28"/>
          <w:szCs w:val="28"/>
          <w:rtl/>
        </w:rPr>
        <w:t>על ידי</w:t>
      </w:r>
      <w:r w:rsidR="008B0912" w:rsidRPr="0004711E">
        <w:rPr>
          <w:rFonts w:cs="David" w:hint="cs"/>
          <w:sz w:val="28"/>
          <w:szCs w:val="28"/>
          <w:rtl/>
        </w:rPr>
        <w:t xml:space="preserve"> </w:t>
      </w:r>
      <w:r w:rsidR="009C039C">
        <w:rPr>
          <w:rFonts w:cs="David" w:hint="cs"/>
          <w:sz w:val="28"/>
          <w:szCs w:val="28"/>
          <w:rtl/>
        </w:rPr>
        <w:t>ועדות החקירה</w:t>
      </w:r>
      <w:r w:rsidR="008B0912" w:rsidRPr="0004711E">
        <w:rPr>
          <w:rFonts w:cs="David" w:hint="cs"/>
          <w:sz w:val="28"/>
          <w:szCs w:val="28"/>
          <w:rtl/>
        </w:rPr>
        <w:t xml:space="preserve"> </w:t>
      </w:r>
      <w:r w:rsidR="0029031E">
        <w:rPr>
          <w:rFonts w:cs="David" w:hint="cs"/>
          <w:sz w:val="28"/>
          <w:szCs w:val="28"/>
          <w:rtl/>
        </w:rPr>
        <w:t xml:space="preserve">ומנגנונים דומים, כמו דווחים של האו"ם, </w:t>
      </w:r>
      <w:r w:rsidR="008B0912" w:rsidRPr="0004711E">
        <w:rPr>
          <w:rFonts w:cs="David" w:hint="cs"/>
          <w:sz w:val="28"/>
          <w:szCs w:val="28"/>
          <w:rtl/>
        </w:rPr>
        <w:t xml:space="preserve">נגישים במרשתת (האינטרנט) לכל דורש וללא כל מגבלת זמן. כך הם משמשים </w:t>
      </w:r>
      <w:r w:rsidR="0074404A">
        <w:rPr>
          <w:rFonts w:cs="David" w:hint="cs"/>
          <w:sz w:val="28"/>
          <w:szCs w:val="28"/>
          <w:rtl/>
        </w:rPr>
        <w:t>ועדות</w:t>
      </w:r>
      <w:r w:rsidR="008B0912" w:rsidRPr="0004711E">
        <w:rPr>
          <w:rFonts w:cs="David" w:hint="cs"/>
          <w:sz w:val="28"/>
          <w:szCs w:val="28"/>
          <w:rtl/>
        </w:rPr>
        <w:t xml:space="preserve"> עתידי</w:t>
      </w:r>
      <w:r w:rsidR="00FD0E3A">
        <w:rPr>
          <w:rFonts w:cs="David" w:hint="cs"/>
          <w:sz w:val="28"/>
          <w:szCs w:val="28"/>
          <w:rtl/>
        </w:rPr>
        <w:t>ות</w:t>
      </w:r>
      <w:r w:rsidR="00282E12" w:rsidRPr="0004711E">
        <w:rPr>
          <w:rStyle w:val="a7"/>
          <w:rFonts w:cs="David"/>
          <w:sz w:val="28"/>
          <w:szCs w:val="28"/>
          <w:rtl/>
        </w:rPr>
        <w:footnoteReference w:id="116"/>
      </w:r>
      <w:r w:rsidR="008B0912" w:rsidRPr="0004711E">
        <w:rPr>
          <w:rFonts w:cs="David" w:hint="cs"/>
          <w:sz w:val="28"/>
          <w:szCs w:val="28"/>
          <w:rtl/>
        </w:rPr>
        <w:t xml:space="preserve"> וגופים אחרים שיכולים לעשות בהם שימוש בלתי מוגבל. הם מצוטטים גם בעבודות אקדמיות של מרצים וסטודנטים ברחבי העולם, שאחר כך מתפרסמות בעצמן. </w:t>
      </w:r>
    </w:p>
    <w:p w:rsidR="001C4501" w:rsidRDefault="001C4501" w:rsidP="007E491E">
      <w:pPr>
        <w:spacing w:after="0" w:line="360" w:lineRule="auto"/>
        <w:jc w:val="both"/>
        <w:rPr>
          <w:rFonts w:cs="David"/>
          <w:sz w:val="28"/>
          <w:szCs w:val="28"/>
          <w:rtl/>
        </w:rPr>
      </w:pPr>
    </w:p>
    <w:p w:rsidR="008B0912" w:rsidRPr="0004711E" w:rsidRDefault="008B0912" w:rsidP="00FD0E3A">
      <w:pPr>
        <w:spacing w:after="0" w:line="360" w:lineRule="auto"/>
        <w:jc w:val="both"/>
        <w:rPr>
          <w:rFonts w:cs="David"/>
          <w:sz w:val="28"/>
          <w:szCs w:val="28"/>
          <w:rtl/>
        </w:rPr>
      </w:pPr>
      <w:r w:rsidRPr="0004711E">
        <w:rPr>
          <w:rFonts w:cs="David" w:hint="cs"/>
          <w:sz w:val="28"/>
          <w:szCs w:val="28"/>
          <w:rtl/>
        </w:rPr>
        <w:t xml:space="preserve">הדוחות שנכתבים </w:t>
      </w:r>
      <w:r w:rsidR="00692192">
        <w:rPr>
          <w:rFonts w:cs="David" w:hint="cs"/>
          <w:sz w:val="28"/>
          <w:szCs w:val="28"/>
          <w:rtl/>
        </w:rPr>
        <w:t>על ידי</w:t>
      </w:r>
      <w:r w:rsidRPr="0004711E">
        <w:rPr>
          <w:rFonts w:cs="David" w:hint="cs"/>
          <w:sz w:val="28"/>
          <w:szCs w:val="28"/>
          <w:rtl/>
        </w:rPr>
        <w:t xml:space="preserve"> </w:t>
      </w:r>
      <w:r w:rsidR="009C039C">
        <w:rPr>
          <w:rFonts w:cs="David" w:hint="cs"/>
          <w:sz w:val="28"/>
          <w:szCs w:val="28"/>
          <w:rtl/>
        </w:rPr>
        <w:t>ועדות החקירה</w:t>
      </w:r>
      <w:r w:rsidRPr="0004711E">
        <w:rPr>
          <w:rFonts w:cs="David" w:hint="cs"/>
          <w:sz w:val="28"/>
          <w:szCs w:val="28"/>
          <w:rtl/>
        </w:rPr>
        <w:t xml:space="preserve"> נתפסים כרציניים ויכולים להיות מצוטטים כאסמכתאות </w:t>
      </w:r>
      <w:r w:rsidR="00692192">
        <w:rPr>
          <w:rFonts w:cs="David" w:hint="cs"/>
          <w:sz w:val="28"/>
          <w:szCs w:val="28"/>
          <w:rtl/>
        </w:rPr>
        <w:t>על ידי</w:t>
      </w:r>
      <w:r w:rsidRPr="0004711E">
        <w:rPr>
          <w:rFonts w:cs="David" w:hint="cs"/>
          <w:sz w:val="28"/>
          <w:szCs w:val="28"/>
          <w:rtl/>
        </w:rPr>
        <w:t xml:space="preserve"> גופים רציניים אחרים</w:t>
      </w:r>
      <w:r w:rsidR="00962FAD" w:rsidRPr="0004711E">
        <w:rPr>
          <w:rStyle w:val="a7"/>
          <w:rFonts w:cs="David"/>
          <w:sz w:val="28"/>
          <w:szCs w:val="28"/>
          <w:rtl/>
        </w:rPr>
        <w:footnoteReference w:id="117"/>
      </w:r>
      <w:r w:rsidRPr="0004711E">
        <w:rPr>
          <w:rFonts w:cs="David" w:hint="cs"/>
          <w:sz w:val="28"/>
          <w:szCs w:val="28"/>
          <w:rtl/>
        </w:rPr>
        <w:t xml:space="preserve"> כמו בית הדין הבינלאומי לצדק, כפי שקרה ב</w:t>
      </w:r>
      <w:r w:rsidR="007E491E" w:rsidRPr="0004711E">
        <w:rPr>
          <w:rFonts w:cs="David" w:hint="cs"/>
          <w:sz w:val="28"/>
          <w:szCs w:val="28"/>
          <w:rtl/>
        </w:rPr>
        <w:t>חוות הדעת בדבר גדר הביטחון</w:t>
      </w:r>
      <w:bookmarkStart w:id="21" w:name="_Ref454785690"/>
      <w:r w:rsidRPr="0004711E">
        <w:rPr>
          <w:rStyle w:val="a7"/>
          <w:rFonts w:cs="David"/>
          <w:sz w:val="28"/>
          <w:szCs w:val="28"/>
          <w:rtl/>
        </w:rPr>
        <w:footnoteReference w:id="118"/>
      </w:r>
      <w:bookmarkEnd w:id="21"/>
      <w:r w:rsidRPr="0004711E">
        <w:rPr>
          <w:rFonts w:cs="David" w:hint="cs"/>
          <w:sz w:val="28"/>
          <w:szCs w:val="28"/>
          <w:rtl/>
        </w:rPr>
        <w:t xml:space="preserve">. </w:t>
      </w:r>
    </w:p>
    <w:p w:rsidR="008B0912" w:rsidRPr="0004711E" w:rsidRDefault="008B0912" w:rsidP="008B316C">
      <w:pPr>
        <w:spacing w:after="0" w:line="360" w:lineRule="auto"/>
        <w:jc w:val="both"/>
        <w:rPr>
          <w:rFonts w:cs="David"/>
          <w:sz w:val="28"/>
          <w:szCs w:val="28"/>
          <w:rtl/>
        </w:rPr>
      </w:pPr>
    </w:p>
    <w:p w:rsidR="00A43062" w:rsidRPr="0004711E" w:rsidRDefault="00BB1C41" w:rsidP="00BE07E8">
      <w:pPr>
        <w:spacing w:after="0" w:line="360" w:lineRule="auto"/>
        <w:jc w:val="both"/>
        <w:rPr>
          <w:rFonts w:cs="David"/>
          <w:sz w:val="28"/>
          <w:szCs w:val="28"/>
          <w:rtl/>
        </w:rPr>
      </w:pPr>
      <w:r w:rsidRPr="0004711E">
        <w:rPr>
          <w:rFonts w:cs="David" w:hint="cs"/>
          <w:sz w:val="28"/>
          <w:szCs w:val="28"/>
          <w:rtl/>
        </w:rPr>
        <w:t xml:space="preserve">לפיכך, </w:t>
      </w:r>
      <w:r w:rsidR="004B275C" w:rsidRPr="0004711E">
        <w:rPr>
          <w:rFonts w:cs="David" w:hint="cs"/>
          <w:sz w:val="28"/>
          <w:szCs w:val="28"/>
          <w:rtl/>
        </w:rPr>
        <w:t>ברור ש</w:t>
      </w:r>
      <w:r w:rsidRPr="0004711E">
        <w:rPr>
          <w:rFonts w:cs="David" w:hint="cs"/>
          <w:sz w:val="28"/>
          <w:szCs w:val="28"/>
          <w:rtl/>
        </w:rPr>
        <w:t xml:space="preserve">יש חשיבות רבה </w:t>
      </w:r>
      <w:r w:rsidR="004B275C" w:rsidRPr="0004711E">
        <w:rPr>
          <w:rFonts w:cs="David" w:hint="cs"/>
          <w:sz w:val="28"/>
          <w:szCs w:val="28"/>
          <w:rtl/>
        </w:rPr>
        <w:t xml:space="preserve">לכך </w:t>
      </w:r>
      <w:r w:rsidRPr="0004711E">
        <w:rPr>
          <w:rFonts w:cs="David" w:hint="cs"/>
          <w:sz w:val="28"/>
          <w:szCs w:val="28"/>
          <w:rtl/>
        </w:rPr>
        <w:t xml:space="preserve">שהנרטיב של מדינת ישראל יוצג בכל הזירות </w:t>
      </w:r>
      <w:r w:rsidR="0072620B" w:rsidRPr="0004711E">
        <w:rPr>
          <w:rFonts w:cs="David" w:hint="cs"/>
          <w:sz w:val="28"/>
          <w:szCs w:val="28"/>
          <w:rtl/>
        </w:rPr>
        <w:t>הבינלאומיות</w:t>
      </w:r>
      <w:r w:rsidRPr="0004711E">
        <w:rPr>
          <w:rFonts w:cs="David" w:hint="cs"/>
          <w:sz w:val="28"/>
          <w:szCs w:val="28"/>
          <w:rtl/>
        </w:rPr>
        <w:t xml:space="preserve">. </w:t>
      </w:r>
      <w:r w:rsidR="00A43062" w:rsidRPr="0004711E">
        <w:rPr>
          <w:rFonts w:cs="David" w:hint="cs"/>
          <w:sz w:val="28"/>
          <w:szCs w:val="28"/>
          <w:rtl/>
        </w:rPr>
        <w:t>הדברים נכונים במיוחד בהקשר המשפטי. מדינת ישראל פועלת על פי המשפט הבינלאומי ומשקיעה הרבה מאוד בייעוץ משפטי, בפרוצדורות, בנהלים ובמנגנוני בקרה שיבטיחו זאת</w:t>
      </w:r>
      <w:r w:rsidR="00A43062" w:rsidRPr="0004711E">
        <w:rPr>
          <w:rStyle w:val="a7"/>
          <w:rFonts w:cs="David"/>
          <w:sz w:val="28"/>
          <w:szCs w:val="28"/>
          <w:rtl/>
        </w:rPr>
        <w:footnoteReference w:id="119"/>
      </w:r>
      <w:r w:rsidR="00A43062" w:rsidRPr="0004711E">
        <w:rPr>
          <w:rFonts w:cs="David" w:hint="cs"/>
          <w:sz w:val="28"/>
          <w:szCs w:val="28"/>
          <w:rtl/>
        </w:rPr>
        <w:t xml:space="preserve">. שיתוף </w:t>
      </w:r>
      <w:r w:rsidR="00BE07E8">
        <w:rPr>
          <w:rFonts w:cs="David" w:hint="cs"/>
          <w:sz w:val="28"/>
          <w:szCs w:val="28"/>
          <w:rtl/>
        </w:rPr>
        <w:t>ה</w:t>
      </w:r>
      <w:r w:rsidR="00A43062" w:rsidRPr="0004711E">
        <w:rPr>
          <w:rFonts w:cs="David" w:hint="cs"/>
          <w:sz w:val="28"/>
          <w:szCs w:val="28"/>
          <w:rtl/>
        </w:rPr>
        <w:t xml:space="preserve">פעולה יאפשר להדגים ולהוכיח זאת וימנע העלאת טענות שגויות וחד-צדדיות </w:t>
      </w:r>
      <w:r w:rsidR="00BE07E8" w:rsidRPr="0004711E">
        <w:rPr>
          <w:rFonts w:cs="David" w:hint="cs"/>
          <w:sz w:val="28"/>
          <w:szCs w:val="28"/>
          <w:rtl/>
        </w:rPr>
        <w:t>ש</w:t>
      </w:r>
      <w:r w:rsidR="00BE07E8">
        <w:rPr>
          <w:rFonts w:cs="David" w:hint="cs"/>
          <w:sz w:val="28"/>
          <w:szCs w:val="28"/>
          <w:rtl/>
        </w:rPr>
        <w:t xml:space="preserve">ל </w:t>
      </w:r>
      <w:r w:rsidR="00A43062" w:rsidRPr="0004711E">
        <w:rPr>
          <w:rFonts w:cs="David" w:hint="cs"/>
          <w:sz w:val="28"/>
          <w:szCs w:val="28"/>
          <w:rtl/>
        </w:rPr>
        <w:t>הצד השני כנגד המדינה.</w:t>
      </w:r>
    </w:p>
    <w:p w:rsidR="000C297B" w:rsidRPr="0004711E" w:rsidRDefault="000C297B" w:rsidP="008B316C">
      <w:pPr>
        <w:spacing w:after="0" w:line="360" w:lineRule="auto"/>
        <w:jc w:val="both"/>
        <w:rPr>
          <w:rFonts w:cs="David"/>
          <w:sz w:val="28"/>
          <w:szCs w:val="28"/>
          <w:rtl/>
        </w:rPr>
      </w:pPr>
    </w:p>
    <w:p w:rsidR="00A43062" w:rsidRPr="0004711E" w:rsidRDefault="00BE07E8" w:rsidP="0029031E">
      <w:pPr>
        <w:spacing w:after="0" w:line="360" w:lineRule="auto"/>
        <w:jc w:val="both"/>
        <w:rPr>
          <w:rFonts w:cs="David"/>
          <w:sz w:val="28"/>
          <w:szCs w:val="28"/>
          <w:rtl/>
        </w:rPr>
      </w:pPr>
      <w:r w:rsidRPr="0004711E">
        <w:rPr>
          <w:rFonts w:cs="David" w:hint="cs"/>
          <w:sz w:val="28"/>
          <w:szCs w:val="28"/>
          <w:rtl/>
        </w:rPr>
        <w:t xml:space="preserve">משפטנים בכירים מאוד, </w:t>
      </w:r>
      <w:r>
        <w:rPr>
          <w:rFonts w:cs="David" w:hint="cs"/>
          <w:sz w:val="28"/>
          <w:szCs w:val="28"/>
          <w:rtl/>
        </w:rPr>
        <w:t xml:space="preserve">שהתראיינו </w:t>
      </w:r>
      <w:r w:rsidR="002771FF" w:rsidRPr="0004711E">
        <w:rPr>
          <w:rFonts w:cs="David" w:hint="cs"/>
          <w:sz w:val="28"/>
          <w:szCs w:val="28"/>
          <w:rtl/>
        </w:rPr>
        <w:t xml:space="preserve">במסגרת העבודה, גרסו שלא יעלה על הדעת כי משפטן שמכבד את עצמו לא יציג את הטיעון שלו בפני ערכאה שמאפשרת לו לעשות כן; </w:t>
      </w:r>
      <w:r w:rsidR="0029031E">
        <w:rPr>
          <w:rFonts w:cs="David" w:hint="cs"/>
          <w:sz w:val="28"/>
          <w:szCs w:val="28"/>
          <w:rtl/>
        </w:rPr>
        <w:t xml:space="preserve">נטען, כי </w:t>
      </w:r>
      <w:r w:rsidR="00A43062" w:rsidRPr="0004711E">
        <w:rPr>
          <w:rFonts w:cs="David" w:hint="cs"/>
          <w:sz w:val="28"/>
          <w:szCs w:val="28"/>
          <w:rtl/>
        </w:rPr>
        <w:t xml:space="preserve">משפטן </w:t>
      </w:r>
      <w:r w:rsidR="002771FF" w:rsidRPr="0004711E">
        <w:rPr>
          <w:rFonts w:cs="David" w:hint="cs"/>
          <w:sz w:val="28"/>
          <w:szCs w:val="28"/>
          <w:rtl/>
        </w:rPr>
        <w:t xml:space="preserve">אינו </w:t>
      </w:r>
      <w:r w:rsidR="00A43062" w:rsidRPr="0004711E">
        <w:rPr>
          <w:rFonts w:cs="David" w:hint="cs"/>
          <w:sz w:val="28"/>
          <w:szCs w:val="28"/>
          <w:rtl/>
        </w:rPr>
        <w:t xml:space="preserve">יכול לקבל טענה שתוצאת ההליך ידועה מראש, ולכן אין זה מוצדק שלא לשטוח את הטיעון המשפטי בפני </w:t>
      </w:r>
      <w:r w:rsidR="002771FF" w:rsidRPr="0004711E">
        <w:rPr>
          <w:rFonts w:cs="David" w:hint="cs"/>
          <w:sz w:val="28"/>
          <w:szCs w:val="28"/>
          <w:rtl/>
        </w:rPr>
        <w:t>ה</w:t>
      </w:r>
      <w:r w:rsidR="0029031E">
        <w:rPr>
          <w:rFonts w:cs="David" w:hint="cs"/>
          <w:sz w:val="28"/>
          <w:szCs w:val="28"/>
          <w:rtl/>
        </w:rPr>
        <w:t>ו</w:t>
      </w:r>
      <w:r w:rsidR="0074404A">
        <w:rPr>
          <w:rFonts w:cs="David" w:hint="cs"/>
          <w:sz w:val="28"/>
          <w:szCs w:val="28"/>
          <w:rtl/>
        </w:rPr>
        <w:t>ועדות</w:t>
      </w:r>
      <w:r w:rsidR="002771FF" w:rsidRPr="0004711E">
        <w:rPr>
          <w:rFonts w:cs="David" w:hint="cs"/>
          <w:sz w:val="28"/>
          <w:szCs w:val="28"/>
          <w:rtl/>
        </w:rPr>
        <w:t xml:space="preserve"> השונ</w:t>
      </w:r>
      <w:r w:rsidR="0029031E">
        <w:rPr>
          <w:rFonts w:cs="David" w:hint="cs"/>
          <w:sz w:val="28"/>
          <w:szCs w:val="28"/>
          <w:rtl/>
        </w:rPr>
        <w:t>ות</w:t>
      </w:r>
      <w:r w:rsidR="002771FF" w:rsidRPr="0004711E">
        <w:rPr>
          <w:rFonts w:cs="David" w:hint="cs"/>
          <w:sz w:val="28"/>
          <w:szCs w:val="28"/>
          <w:rtl/>
        </w:rPr>
        <w:t>, במיוחד כאשר מדובר ב</w:t>
      </w:r>
      <w:r w:rsidR="0029031E">
        <w:rPr>
          <w:rFonts w:cs="David" w:hint="cs"/>
          <w:sz w:val="28"/>
          <w:szCs w:val="28"/>
          <w:rtl/>
        </w:rPr>
        <w:t>ו</w:t>
      </w:r>
      <w:r w:rsidR="0074404A">
        <w:rPr>
          <w:rFonts w:cs="David" w:hint="cs"/>
          <w:sz w:val="28"/>
          <w:szCs w:val="28"/>
          <w:rtl/>
        </w:rPr>
        <w:t>ועדות</w:t>
      </w:r>
      <w:r w:rsidR="002771FF" w:rsidRPr="0004711E">
        <w:rPr>
          <w:rFonts w:cs="David" w:hint="cs"/>
          <w:sz w:val="28"/>
          <w:szCs w:val="28"/>
          <w:rtl/>
        </w:rPr>
        <w:t xml:space="preserve"> של האו"ם או </w:t>
      </w:r>
      <w:r>
        <w:rPr>
          <w:rFonts w:cs="David" w:hint="cs"/>
          <w:sz w:val="28"/>
          <w:szCs w:val="28"/>
          <w:rtl/>
        </w:rPr>
        <w:t>ב</w:t>
      </w:r>
      <w:r w:rsidR="002771FF" w:rsidRPr="0004711E">
        <w:rPr>
          <w:rFonts w:cs="David" w:hint="cs"/>
          <w:sz w:val="28"/>
          <w:szCs w:val="28"/>
          <w:rtl/>
        </w:rPr>
        <w:t>גופים שיפוטיים או מעין-שיפוטיים</w:t>
      </w:r>
      <w:r w:rsidR="00A43062" w:rsidRPr="0004711E">
        <w:rPr>
          <w:rFonts w:cs="David" w:hint="cs"/>
          <w:sz w:val="28"/>
          <w:szCs w:val="28"/>
          <w:rtl/>
        </w:rPr>
        <w:t>. מדינת ישראל מעולם לא טענה שאינה פועלת לפי המשפט הבינלאומי, גם אם לעיתים היא נוקטת פרשנות שונה ביחס אליו, על מנת להתמודד עם סיטואציות ייחודיות</w:t>
      </w:r>
      <w:r w:rsidR="0029031E">
        <w:rPr>
          <w:rFonts w:cs="David" w:hint="cs"/>
          <w:sz w:val="28"/>
          <w:szCs w:val="28"/>
          <w:rtl/>
        </w:rPr>
        <w:t>, ולכן אין סיבה שלא תעלה טיעוניה לפי המשפט הבינלאומי בפני המוסדות הבינלאומיים</w:t>
      </w:r>
      <w:r w:rsidR="00A43062" w:rsidRPr="0004711E">
        <w:rPr>
          <w:rFonts w:cs="David" w:hint="cs"/>
          <w:sz w:val="28"/>
          <w:szCs w:val="28"/>
          <w:rtl/>
        </w:rPr>
        <w:t>.</w:t>
      </w:r>
    </w:p>
    <w:p w:rsidR="00A43062" w:rsidRPr="0004711E" w:rsidRDefault="00A43062" w:rsidP="008B316C">
      <w:pPr>
        <w:spacing w:after="0" w:line="360" w:lineRule="auto"/>
        <w:jc w:val="both"/>
        <w:rPr>
          <w:rFonts w:cs="David"/>
          <w:sz w:val="28"/>
          <w:szCs w:val="28"/>
          <w:rtl/>
        </w:rPr>
      </w:pPr>
    </w:p>
    <w:p w:rsidR="00FD3B1C" w:rsidRPr="0004711E" w:rsidRDefault="00FD3B1C" w:rsidP="0029031E">
      <w:pPr>
        <w:spacing w:after="0" w:line="360" w:lineRule="auto"/>
        <w:jc w:val="both"/>
        <w:rPr>
          <w:rFonts w:cs="David"/>
          <w:sz w:val="28"/>
          <w:szCs w:val="28"/>
          <w:rtl/>
        </w:rPr>
      </w:pPr>
      <w:r w:rsidRPr="0004711E">
        <w:rPr>
          <w:rFonts w:cs="David" w:hint="cs"/>
          <w:sz w:val="28"/>
          <w:szCs w:val="28"/>
          <w:rtl/>
        </w:rPr>
        <w:t xml:space="preserve">לדידו של אחד המרואיינים הבכירים הללו, </w:t>
      </w:r>
      <w:r w:rsidR="00A43062" w:rsidRPr="0004711E">
        <w:rPr>
          <w:rFonts w:cs="David" w:hint="cs"/>
          <w:sz w:val="28"/>
          <w:szCs w:val="28"/>
          <w:rtl/>
        </w:rPr>
        <w:t xml:space="preserve">גם אם הגוף </w:t>
      </w:r>
      <w:r w:rsidR="00A466A1" w:rsidRPr="0004711E">
        <w:rPr>
          <w:rFonts w:cs="David" w:hint="cs"/>
          <w:sz w:val="28"/>
          <w:szCs w:val="28"/>
          <w:rtl/>
        </w:rPr>
        <w:t>הממנה את ה</w:t>
      </w:r>
      <w:r w:rsidR="0074404A">
        <w:rPr>
          <w:rFonts w:cs="David" w:hint="cs"/>
          <w:sz w:val="28"/>
          <w:szCs w:val="28"/>
          <w:rtl/>
        </w:rPr>
        <w:t>ו</w:t>
      </w:r>
      <w:r w:rsidR="0029031E">
        <w:rPr>
          <w:rFonts w:cs="David" w:hint="cs"/>
          <w:sz w:val="28"/>
          <w:szCs w:val="28"/>
          <w:rtl/>
        </w:rPr>
        <w:t>ו</w:t>
      </w:r>
      <w:r w:rsidR="0074404A">
        <w:rPr>
          <w:rFonts w:cs="David" w:hint="cs"/>
          <w:sz w:val="28"/>
          <w:szCs w:val="28"/>
          <w:rtl/>
        </w:rPr>
        <w:t>עדה</w:t>
      </w:r>
      <w:r w:rsidR="00A466A1" w:rsidRPr="0004711E">
        <w:rPr>
          <w:rFonts w:cs="David" w:hint="cs"/>
          <w:sz w:val="28"/>
          <w:szCs w:val="28"/>
          <w:rtl/>
        </w:rPr>
        <w:t xml:space="preserve"> </w:t>
      </w:r>
      <w:r w:rsidR="00A43062" w:rsidRPr="0004711E">
        <w:rPr>
          <w:rFonts w:cs="David" w:hint="cs"/>
          <w:sz w:val="28"/>
          <w:szCs w:val="28"/>
          <w:rtl/>
        </w:rPr>
        <w:t>מוטה</w:t>
      </w:r>
      <w:r w:rsidRPr="0004711E">
        <w:rPr>
          <w:rFonts w:cs="David" w:hint="cs"/>
          <w:sz w:val="28"/>
          <w:szCs w:val="28"/>
          <w:rtl/>
        </w:rPr>
        <w:t xml:space="preserve"> נגד ישראל</w:t>
      </w:r>
      <w:r w:rsidR="00A43062" w:rsidRPr="0004711E">
        <w:rPr>
          <w:rFonts w:cs="David" w:hint="cs"/>
          <w:sz w:val="28"/>
          <w:szCs w:val="28"/>
          <w:rtl/>
        </w:rPr>
        <w:t xml:space="preserve">, </w:t>
      </w:r>
      <w:r w:rsidR="00BE07E8">
        <w:rPr>
          <w:rFonts w:cs="David" w:hint="cs"/>
          <w:sz w:val="28"/>
          <w:szCs w:val="28"/>
          <w:rtl/>
        </w:rPr>
        <w:t xml:space="preserve">על </w:t>
      </w:r>
      <w:r w:rsidR="00A466A1" w:rsidRPr="0004711E">
        <w:rPr>
          <w:rFonts w:cs="David" w:hint="cs"/>
          <w:sz w:val="28"/>
          <w:szCs w:val="28"/>
          <w:rtl/>
        </w:rPr>
        <w:t xml:space="preserve">מדינת ישראל </w:t>
      </w:r>
      <w:r w:rsidR="00A43062" w:rsidRPr="0004711E">
        <w:rPr>
          <w:rFonts w:cs="David" w:hint="cs"/>
          <w:sz w:val="28"/>
          <w:szCs w:val="28"/>
          <w:rtl/>
        </w:rPr>
        <w:t>להופיע בפניו</w:t>
      </w:r>
      <w:r w:rsidR="00A466A1" w:rsidRPr="0004711E">
        <w:rPr>
          <w:rFonts w:cs="David" w:hint="cs"/>
          <w:sz w:val="28"/>
          <w:szCs w:val="28"/>
          <w:rtl/>
        </w:rPr>
        <w:t>,</w:t>
      </w:r>
      <w:r w:rsidR="00A43062" w:rsidRPr="0004711E">
        <w:rPr>
          <w:rFonts w:cs="David" w:hint="cs"/>
          <w:sz w:val="28"/>
          <w:szCs w:val="28"/>
          <w:rtl/>
        </w:rPr>
        <w:t xml:space="preserve"> </w:t>
      </w:r>
      <w:r w:rsidR="00A466A1" w:rsidRPr="0004711E">
        <w:rPr>
          <w:rFonts w:cs="David" w:hint="cs"/>
          <w:sz w:val="28"/>
          <w:szCs w:val="28"/>
          <w:rtl/>
        </w:rPr>
        <w:t xml:space="preserve">להדגיש מדוע היא סבורה </w:t>
      </w:r>
      <w:r w:rsidR="00A43062" w:rsidRPr="0004711E">
        <w:rPr>
          <w:rFonts w:cs="David" w:hint="cs"/>
          <w:sz w:val="28"/>
          <w:szCs w:val="28"/>
          <w:rtl/>
        </w:rPr>
        <w:t>כי ה</w:t>
      </w:r>
      <w:r w:rsidR="00A466A1" w:rsidRPr="0004711E">
        <w:rPr>
          <w:rFonts w:cs="David" w:hint="cs"/>
          <w:sz w:val="28"/>
          <w:szCs w:val="28"/>
          <w:rtl/>
        </w:rPr>
        <w:t>ו</w:t>
      </w:r>
      <w:r w:rsidR="00A43062" w:rsidRPr="0004711E">
        <w:rPr>
          <w:rFonts w:cs="David" w:hint="cs"/>
          <w:sz w:val="28"/>
          <w:szCs w:val="28"/>
          <w:rtl/>
        </w:rPr>
        <w:t xml:space="preserve">א </w:t>
      </w:r>
      <w:r w:rsidRPr="0004711E">
        <w:rPr>
          <w:rFonts w:cs="David" w:hint="cs"/>
          <w:sz w:val="28"/>
          <w:szCs w:val="28"/>
          <w:rtl/>
        </w:rPr>
        <w:t xml:space="preserve">מוטה </w:t>
      </w:r>
      <w:r w:rsidR="00A466A1" w:rsidRPr="0004711E">
        <w:rPr>
          <w:rFonts w:cs="David" w:hint="cs"/>
          <w:sz w:val="28"/>
          <w:szCs w:val="28"/>
          <w:rtl/>
        </w:rPr>
        <w:t xml:space="preserve">ולציין כי היא בכל זאת מופיעה </w:t>
      </w:r>
      <w:r w:rsidRPr="0004711E">
        <w:rPr>
          <w:rFonts w:cs="David" w:hint="cs"/>
          <w:sz w:val="28"/>
          <w:szCs w:val="28"/>
          <w:rtl/>
        </w:rPr>
        <w:t>בפניו מפאת כבוד האומות המאוחדות</w:t>
      </w:r>
      <w:r w:rsidR="00A43062" w:rsidRPr="0004711E">
        <w:rPr>
          <w:rFonts w:cs="David" w:hint="cs"/>
          <w:sz w:val="28"/>
          <w:szCs w:val="28"/>
          <w:rtl/>
        </w:rPr>
        <w:t xml:space="preserve">. </w:t>
      </w:r>
      <w:r w:rsidRPr="0004711E">
        <w:rPr>
          <w:rFonts w:cs="David" w:hint="cs"/>
          <w:sz w:val="28"/>
          <w:szCs w:val="28"/>
          <w:rtl/>
        </w:rPr>
        <w:t xml:space="preserve">בסופו של דבר, </w:t>
      </w:r>
      <w:r w:rsidR="00A43062" w:rsidRPr="0004711E">
        <w:rPr>
          <w:rFonts w:cs="David" w:hint="cs"/>
          <w:sz w:val="28"/>
          <w:szCs w:val="28"/>
          <w:rtl/>
        </w:rPr>
        <w:t xml:space="preserve">גם גוף מוטה חייב לנמק ולהשיב לטענות שמושמעות בפניו. גם דוח שלילי עדיף מדוח שלילי עוד יותר </w:t>
      </w:r>
      <w:r w:rsidRPr="0004711E">
        <w:rPr>
          <w:rFonts w:cs="David" w:hint="cs"/>
          <w:sz w:val="28"/>
          <w:szCs w:val="28"/>
          <w:rtl/>
        </w:rPr>
        <w:t xml:space="preserve">שהיה נכתב </w:t>
      </w:r>
      <w:r w:rsidR="00BE07E8">
        <w:rPr>
          <w:rFonts w:cs="David" w:hint="cs"/>
          <w:sz w:val="28"/>
          <w:szCs w:val="28"/>
          <w:rtl/>
        </w:rPr>
        <w:t>מפאת</w:t>
      </w:r>
      <w:r w:rsidR="00BE07E8" w:rsidRPr="0004711E">
        <w:rPr>
          <w:rFonts w:cs="David" w:hint="cs"/>
          <w:sz w:val="28"/>
          <w:szCs w:val="28"/>
          <w:rtl/>
        </w:rPr>
        <w:t xml:space="preserve"> </w:t>
      </w:r>
      <w:r w:rsidR="00A43062" w:rsidRPr="0004711E">
        <w:rPr>
          <w:rFonts w:cs="David" w:hint="cs"/>
          <w:sz w:val="28"/>
          <w:szCs w:val="28"/>
          <w:rtl/>
        </w:rPr>
        <w:t xml:space="preserve">אי שיתוף פעולה. המטרה צריכה להיות תמיד </w:t>
      </w:r>
      <w:r w:rsidR="0029031E">
        <w:rPr>
          <w:rFonts w:cs="David" w:hint="cs"/>
          <w:sz w:val="28"/>
          <w:szCs w:val="28"/>
          <w:rtl/>
        </w:rPr>
        <w:t>לצמצם</w:t>
      </w:r>
      <w:r w:rsidR="0029031E" w:rsidRPr="0004711E">
        <w:rPr>
          <w:rFonts w:cs="David" w:hint="cs"/>
          <w:sz w:val="28"/>
          <w:szCs w:val="28"/>
          <w:rtl/>
        </w:rPr>
        <w:t xml:space="preserve"> </w:t>
      </w:r>
      <w:r w:rsidR="00A43062" w:rsidRPr="0004711E">
        <w:rPr>
          <w:rFonts w:cs="David" w:hint="cs"/>
          <w:sz w:val="28"/>
          <w:szCs w:val="28"/>
          <w:rtl/>
        </w:rPr>
        <w:t xml:space="preserve">את הנזק עד כמה שניתן. </w:t>
      </w:r>
      <w:r w:rsidRPr="0004711E">
        <w:rPr>
          <w:rFonts w:cs="David" w:hint="cs"/>
          <w:sz w:val="28"/>
          <w:szCs w:val="28"/>
          <w:rtl/>
        </w:rPr>
        <w:t>מתי אין לשתף פעולה</w:t>
      </w:r>
      <w:r w:rsidR="009D6B70">
        <w:rPr>
          <w:rFonts w:cs="David" w:hint="cs"/>
          <w:sz w:val="28"/>
          <w:szCs w:val="28"/>
          <w:rtl/>
        </w:rPr>
        <w:t>, לדידו של אותו מרואיין</w:t>
      </w:r>
      <w:r w:rsidRPr="0004711E">
        <w:rPr>
          <w:rFonts w:cs="David" w:hint="cs"/>
          <w:sz w:val="28"/>
          <w:szCs w:val="28"/>
          <w:rtl/>
        </w:rPr>
        <w:t>? רק במקרים קיצוניים מאוד, לדוגמה, כאשר ידוע שהדוח כתוב מראש וניתן להוכיח זאת.</w:t>
      </w:r>
    </w:p>
    <w:p w:rsidR="00FD3B1C" w:rsidRPr="0004711E" w:rsidRDefault="00FD3B1C" w:rsidP="008B316C">
      <w:pPr>
        <w:spacing w:after="0" w:line="360" w:lineRule="auto"/>
        <w:jc w:val="both"/>
        <w:rPr>
          <w:rFonts w:cs="David"/>
          <w:sz w:val="28"/>
          <w:szCs w:val="28"/>
          <w:rtl/>
        </w:rPr>
      </w:pPr>
    </w:p>
    <w:p w:rsidR="00C2611D" w:rsidRPr="0004711E" w:rsidRDefault="00C2611D" w:rsidP="0029031E">
      <w:pPr>
        <w:spacing w:after="0" w:line="360" w:lineRule="auto"/>
        <w:jc w:val="both"/>
        <w:rPr>
          <w:rFonts w:cs="David"/>
          <w:sz w:val="28"/>
          <w:szCs w:val="28"/>
          <w:rtl/>
        </w:rPr>
      </w:pPr>
      <w:r w:rsidRPr="0004711E">
        <w:rPr>
          <w:rFonts w:cs="David" w:hint="cs"/>
          <w:sz w:val="28"/>
          <w:szCs w:val="28"/>
          <w:rtl/>
        </w:rPr>
        <w:t>מכל מקום, לדעת חלק מהמרואיינים, הימנעות מהצגת הטיעון המשפטי של ישראל מזיקה מאוד למדינת ישראל, לא רק במקרה הקונקרטי</w:t>
      </w:r>
      <w:r w:rsidR="004B275C" w:rsidRPr="0004711E">
        <w:rPr>
          <w:rFonts w:cs="David" w:hint="cs"/>
          <w:sz w:val="28"/>
          <w:szCs w:val="28"/>
          <w:rtl/>
        </w:rPr>
        <w:t xml:space="preserve"> שבו היא מחליטה לעשות כן</w:t>
      </w:r>
      <w:r w:rsidRPr="0004711E">
        <w:rPr>
          <w:rFonts w:cs="David" w:hint="cs"/>
          <w:sz w:val="28"/>
          <w:szCs w:val="28"/>
          <w:rtl/>
        </w:rPr>
        <w:t xml:space="preserve">, אלא גם לטווח ארוך. כך, לדוגמה, צוינה </w:t>
      </w:r>
      <w:r w:rsidR="001A60EA" w:rsidRPr="0004711E">
        <w:rPr>
          <w:rFonts w:cs="David" w:hint="cs"/>
          <w:sz w:val="28"/>
          <w:szCs w:val="28"/>
          <w:rtl/>
        </w:rPr>
        <w:t>חוות הדעת בדבר גדר הביטחון</w:t>
      </w:r>
      <w:r w:rsidR="0029031E">
        <w:rPr>
          <w:rStyle w:val="a7"/>
          <w:rFonts w:cs="David"/>
          <w:sz w:val="28"/>
          <w:szCs w:val="28"/>
          <w:rtl/>
        </w:rPr>
        <w:footnoteReference w:id="120"/>
      </w:r>
      <w:r w:rsidR="001A60EA" w:rsidRPr="0004711E">
        <w:rPr>
          <w:rFonts w:cs="David" w:hint="cs"/>
          <w:sz w:val="28"/>
          <w:szCs w:val="28"/>
          <w:rtl/>
        </w:rPr>
        <w:t xml:space="preserve"> </w:t>
      </w:r>
      <w:r w:rsidRPr="0004711E">
        <w:rPr>
          <w:rFonts w:cs="David" w:hint="cs"/>
          <w:sz w:val="28"/>
          <w:szCs w:val="28"/>
          <w:rtl/>
        </w:rPr>
        <w:t>כמסמך משפטי של הערכאה השיפוטית הבינלאומית הגבוהה בעולם, שמציג את נרטיב הסכסוך במזרח התיכון באופן בעייתי מאוד. נטען, כי הסיבה לתוצאה העגומה הזו הייתה הימנעותה של ישראל מהצגת טיעוניה בפני בית הדין לגופו של עניין.</w:t>
      </w:r>
      <w:r w:rsidR="004B275C" w:rsidRPr="0004711E">
        <w:rPr>
          <w:rFonts w:cs="David" w:hint="cs"/>
          <w:sz w:val="28"/>
          <w:szCs w:val="28"/>
          <w:rtl/>
        </w:rPr>
        <w:t xml:space="preserve"> </w:t>
      </w:r>
    </w:p>
    <w:p w:rsidR="004B275C" w:rsidRPr="0004711E" w:rsidRDefault="004B275C" w:rsidP="008B316C">
      <w:pPr>
        <w:spacing w:after="0" w:line="360" w:lineRule="auto"/>
        <w:jc w:val="both"/>
        <w:rPr>
          <w:rFonts w:cs="David"/>
          <w:sz w:val="28"/>
          <w:szCs w:val="28"/>
          <w:highlight w:val="yellow"/>
          <w:rtl/>
        </w:rPr>
      </w:pPr>
    </w:p>
    <w:p w:rsidR="00A466A1" w:rsidRDefault="00A466A1" w:rsidP="008B316C">
      <w:pPr>
        <w:spacing w:after="0" w:line="360" w:lineRule="auto"/>
        <w:jc w:val="both"/>
        <w:rPr>
          <w:rFonts w:cs="David"/>
          <w:sz w:val="28"/>
          <w:szCs w:val="28"/>
          <w:rtl/>
        </w:rPr>
      </w:pPr>
      <w:r w:rsidRPr="0004711E">
        <w:rPr>
          <w:rFonts w:cs="David" w:hint="cs"/>
          <w:sz w:val="28"/>
          <w:szCs w:val="28"/>
          <w:rtl/>
        </w:rPr>
        <w:t>יודגש, כי במהלך הראיונות נשמעו גם כמה וכמה דעות אחרות, שגרסו כי למדינה יש כבוד לאומי וזכות לקבל יחס בסיסי הוגן מהקהילה הבינלאומית</w:t>
      </w:r>
      <w:r w:rsidR="0029031E">
        <w:rPr>
          <w:rFonts w:cs="David" w:hint="cs"/>
          <w:sz w:val="28"/>
          <w:szCs w:val="28"/>
          <w:rtl/>
        </w:rPr>
        <w:t>,</w:t>
      </w:r>
      <w:r w:rsidRPr="0004711E">
        <w:rPr>
          <w:rFonts w:cs="David" w:hint="cs"/>
          <w:sz w:val="28"/>
          <w:szCs w:val="28"/>
          <w:rtl/>
        </w:rPr>
        <w:t xml:space="preserve"> שאין מקום למחול עלי</w:t>
      </w:r>
      <w:r w:rsidR="004B275C" w:rsidRPr="0004711E">
        <w:rPr>
          <w:rFonts w:cs="David" w:hint="cs"/>
          <w:sz w:val="28"/>
          <w:szCs w:val="28"/>
          <w:rtl/>
        </w:rPr>
        <w:t>הם</w:t>
      </w:r>
      <w:r w:rsidRPr="0004711E">
        <w:rPr>
          <w:rFonts w:cs="David" w:hint="cs"/>
          <w:sz w:val="28"/>
          <w:szCs w:val="28"/>
          <w:rtl/>
        </w:rPr>
        <w:t xml:space="preserve"> רק על מנת להשפיע על </w:t>
      </w:r>
      <w:r w:rsidR="0074404A">
        <w:rPr>
          <w:rFonts w:cs="David" w:hint="cs"/>
          <w:sz w:val="28"/>
          <w:szCs w:val="28"/>
          <w:rtl/>
        </w:rPr>
        <w:t>ועדה</w:t>
      </w:r>
      <w:r w:rsidR="0029031E">
        <w:rPr>
          <w:rFonts w:cs="David" w:hint="cs"/>
          <w:sz w:val="28"/>
          <w:szCs w:val="28"/>
          <w:rtl/>
        </w:rPr>
        <w:t xml:space="preserve"> שנראית מוטה על פניה</w:t>
      </w:r>
      <w:r w:rsidRPr="0004711E">
        <w:rPr>
          <w:rFonts w:cs="David" w:hint="cs"/>
          <w:sz w:val="28"/>
          <w:szCs w:val="28"/>
          <w:rtl/>
        </w:rPr>
        <w:t xml:space="preserve">. </w:t>
      </w:r>
      <w:r w:rsidRPr="001A60EA">
        <w:rPr>
          <w:rFonts w:cs="David" w:hint="cs"/>
          <w:sz w:val="28"/>
          <w:szCs w:val="28"/>
          <w:rtl/>
        </w:rPr>
        <w:t xml:space="preserve">נרחיב בעניין </w:t>
      </w:r>
      <w:r w:rsidRPr="001A60EA">
        <w:rPr>
          <w:rFonts w:cs="David" w:hint="cs"/>
          <w:sz w:val="28"/>
          <w:szCs w:val="28"/>
          <w:rtl/>
        </w:rPr>
        <w:lastRenderedPageBreak/>
        <w:t>בהמשך, עת נדון בזהות הגוף הממנה את ה</w:t>
      </w:r>
      <w:r w:rsidR="0074404A">
        <w:rPr>
          <w:rFonts w:cs="David" w:hint="cs"/>
          <w:sz w:val="28"/>
          <w:szCs w:val="28"/>
          <w:rtl/>
        </w:rPr>
        <w:t>ו</w:t>
      </w:r>
      <w:r w:rsidR="0029031E">
        <w:rPr>
          <w:rFonts w:cs="David" w:hint="cs"/>
          <w:sz w:val="28"/>
          <w:szCs w:val="28"/>
          <w:rtl/>
        </w:rPr>
        <w:t>ו</w:t>
      </w:r>
      <w:r w:rsidR="0074404A">
        <w:rPr>
          <w:rFonts w:cs="David" w:hint="cs"/>
          <w:sz w:val="28"/>
          <w:szCs w:val="28"/>
          <w:rtl/>
        </w:rPr>
        <w:t>עדה</w:t>
      </w:r>
      <w:r w:rsidRPr="001A60EA">
        <w:rPr>
          <w:rFonts w:cs="David" w:hint="cs"/>
          <w:sz w:val="28"/>
          <w:szCs w:val="28"/>
          <w:rtl/>
        </w:rPr>
        <w:t xml:space="preserve"> במסגרת השיקולים </w:t>
      </w:r>
      <w:r w:rsidR="00635A0A" w:rsidRPr="001A60EA">
        <w:rPr>
          <w:rFonts w:cs="David" w:hint="cs"/>
          <w:sz w:val="28"/>
          <w:szCs w:val="28"/>
          <w:rtl/>
        </w:rPr>
        <w:t>הפרטניים שיש לשקול בעת קבלת ההחלטה על שיתוף הפעולה.</w:t>
      </w:r>
    </w:p>
    <w:p w:rsidR="004D2C90" w:rsidRDefault="004D2C90" w:rsidP="008B316C">
      <w:pPr>
        <w:spacing w:after="0" w:line="360" w:lineRule="auto"/>
        <w:jc w:val="both"/>
        <w:rPr>
          <w:rFonts w:cs="David"/>
          <w:sz w:val="28"/>
          <w:szCs w:val="28"/>
          <w:rtl/>
        </w:rPr>
      </w:pPr>
    </w:p>
    <w:p w:rsidR="004D2C90" w:rsidRPr="0004711E" w:rsidRDefault="004D2C90" w:rsidP="0029031E">
      <w:pPr>
        <w:spacing w:after="0" w:line="360" w:lineRule="auto"/>
        <w:jc w:val="both"/>
        <w:rPr>
          <w:rFonts w:cs="David"/>
          <w:sz w:val="28"/>
          <w:szCs w:val="28"/>
          <w:rtl/>
        </w:rPr>
      </w:pPr>
      <w:r>
        <w:rPr>
          <w:rFonts w:cs="David" w:hint="cs"/>
          <w:sz w:val="28"/>
          <w:szCs w:val="28"/>
          <w:rtl/>
        </w:rPr>
        <w:t xml:space="preserve">כן נאמר, כי תמיד מתקיים הסיכון שוועדת החקירה תתעלם מהנרטיב הישראלי המוצג בפניה או שתציג אותו באופן פגום או מעוות. </w:t>
      </w:r>
      <w:r w:rsidR="0029031E">
        <w:rPr>
          <w:rFonts w:cs="David" w:hint="cs"/>
          <w:sz w:val="28"/>
          <w:szCs w:val="28"/>
          <w:rtl/>
        </w:rPr>
        <w:t xml:space="preserve">כמו </w:t>
      </w:r>
      <w:r>
        <w:rPr>
          <w:rFonts w:cs="David" w:hint="cs"/>
          <w:sz w:val="28"/>
          <w:szCs w:val="28"/>
          <w:rtl/>
        </w:rPr>
        <w:t xml:space="preserve">כן, </w:t>
      </w:r>
      <w:r w:rsidR="0029031E">
        <w:rPr>
          <w:rFonts w:cs="David" w:hint="cs"/>
          <w:sz w:val="28"/>
          <w:szCs w:val="28"/>
          <w:rtl/>
        </w:rPr>
        <w:t xml:space="preserve">דומה </w:t>
      </w:r>
      <w:r>
        <w:rPr>
          <w:rFonts w:cs="David" w:hint="cs"/>
          <w:sz w:val="28"/>
          <w:szCs w:val="28"/>
          <w:rtl/>
        </w:rPr>
        <w:t>שיש דרכים אחרות להציג את הנרטיב הישראלי, שלא דרך ועדות החקירה דווקא.</w:t>
      </w:r>
    </w:p>
    <w:p w:rsidR="00A43062" w:rsidRPr="0004711E" w:rsidRDefault="00A43062" w:rsidP="008B316C">
      <w:pPr>
        <w:spacing w:after="0" w:line="360" w:lineRule="auto"/>
        <w:jc w:val="both"/>
        <w:rPr>
          <w:rFonts w:cs="David"/>
          <w:sz w:val="28"/>
          <w:szCs w:val="28"/>
          <w:rtl/>
        </w:rPr>
      </w:pPr>
    </w:p>
    <w:p w:rsidR="00A43062" w:rsidRPr="0004711E" w:rsidRDefault="00635A0A" w:rsidP="0029031E">
      <w:pPr>
        <w:spacing w:after="0" w:line="360" w:lineRule="auto"/>
        <w:jc w:val="both"/>
        <w:rPr>
          <w:rFonts w:cs="David"/>
          <w:sz w:val="28"/>
          <w:szCs w:val="28"/>
          <w:rtl/>
        </w:rPr>
      </w:pPr>
      <w:r w:rsidRPr="0004711E">
        <w:rPr>
          <w:rFonts w:cs="David" w:hint="cs"/>
          <w:sz w:val="28"/>
          <w:szCs w:val="28"/>
          <w:rtl/>
        </w:rPr>
        <w:t xml:space="preserve">לסיכום חלק זה, נראה שלא ניתן לחלוק על כך שכשיקול כללי, יש ערך בהופעה בפני </w:t>
      </w:r>
      <w:r w:rsidR="009C039C">
        <w:rPr>
          <w:rFonts w:cs="David" w:hint="cs"/>
          <w:sz w:val="28"/>
          <w:szCs w:val="28"/>
          <w:rtl/>
        </w:rPr>
        <w:t>ועדת החקירה</w:t>
      </w:r>
      <w:r w:rsidRPr="0004711E">
        <w:rPr>
          <w:rFonts w:cs="David" w:hint="cs"/>
          <w:sz w:val="28"/>
          <w:szCs w:val="28"/>
          <w:rtl/>
        </w:rPr>
        <w:t xml:space="preserve"> והצגה סדורה של הנרטיב הישראלי על כל מרכיביו ונדבכיו, דבר דבור על אופניו.</w:t>
      </w:r>
      <w:r w:rsidR="004B275C" w:rsidRPr="0004711E">
        <w:rPr>
          <w:rFonts w:cs="David" w:hint="cs"/>
          <w:sz w:val="28"/>
          <w:szCs w:val="28"/>
          <w:rtl/>
        </w:rPr>
        <w:t xml:space="preserve"> יש לכך חשיבות והשלכות גם למקרה הקונקרטי בו עושה זאת המדינה, וגם לטווח הארוך.</w:t>
      </w:r>
      <w:r w:rsidR="004D2C90">
        <w:rPr>
          <w:rFonts w:cs="David" w:hint="cs"/>
          <w:sz w:val="28"/>
          <w:szCs w:val="28"/>
          <w:rtl/>
        </w:rPr>
        <w:t xml:space="preserve"> העובדה כי לא תמיד תשיג פעולה זו את מטרתה אינה מאיינת את הצורך בהשתדלות הראויה מצד המדינה לעשות זאת</w:t>
      </w:r>
      <w:r w:rsidR="0029031E">
        <w:rPr>
          <w:rFonts w:cs="David" w:hint="cs"/>
          <w:sz w:val="28"/>
          <w:szCs w:val="28"/>
          <w:rtl/>
        </w:rPr>
        <w:t>. אך גם לעניין זה</w:t>
      </w:r>
      <w:r w:rsidR="004D2C90">
        <w:rPr>
          <w:rFonts w:cs="David" w:hint="cs"/>
          <w:sz w:val="28"/>
          <w:szCs w:val="28"/>
          <w:rtl/>
        </w:rPr>
        <w:t>, כפוף</w:t>
      </w:r>
      <w:r w:rsidR="0029031E">
        <w:rPr>
          <w:rFonts w:cs="David" w:hint="cs"/>
          <w:sz w:val="28"/>
          <w:szCs w:val="28"/>
          <w:rtl/>
        </w:rPr>
        <w:t xml:space="preserve"> הדבר</w:t>
      </w:r>
      <w:r w:rsidR="004D2C90">
        <w:rPr>
          <w:rFonts w:cs="David" w:hint="cs"/>
          <w:sz w:val="28"/>
          <w:szCs w:val="28"/>
          <w:rtl/>
        </w:rPr>
        <w:t>, כמובן, לשקילת יתר השיקולים הנוגעים בעניין.</w:t>
      </w:r>
    </w:p>
    <w:p w:rsidR="00635A0A" w:rsidRPr="0004711E" w:rsidRDefault="00635A0A" w:rsidP="008B316C">
      <w:pPr>
        <w:spacing w:after="0" w:line="360" w:lineRule="auto"/>
        <w:jc w:val="both"/>
        <w:rPr>
          <w:rFonts w:cs="David"/>
          <w:sz w:val="28"/>
          <w:szCs w:val="28"/>
          <w:rtl/>
        </w:rPr>
      </w:pPr>
    </w:p>
    <w:p w:rsidR="00635A0A" w:rsidRPr="003D0069" w:rsidRDefault="00635A0A" w:rsidP="003D0069">
      <w:pPr>
        <w:pStyle w:val="a9"/>
        <w:numPr>
          <w:ilvl w:val="0"/>
          <w:numId w:val="21"/>
        </w:numPr>
        <w:spacing w:after="0" w:line="360" w:lineRule="auto"/>
        <w:jc w:val="both"/>
        <w:outlineLvl w:val="1"/>
        <w:rPr>
          <w:rFonts w:cs="David"/>
          <w:b/>
          <w:bCs/>
          <w:sz w:val="28"/>
          <w:szCs w:val="28"/>
          <w:rtl/>
        </w:rPr>
      </w:pPr>
      <w:bookmarkStart w:id="22" w:name="_Toc456027304"/>
      <w:r w:rsidRPr="003D0069">
        <w:rPr>
          <w:rFonts w:cs="David" w:hint="cs"/>
          <w:b/>
          <w:bCs/>
          <w:sz w:val="28"/>
          <w:szCs w:val="28"/>
          <w:rtl/>
        </w:rPr>
        <w:t>השפעה על התפתחות המשפט הבינלאומי</w:t>
      </w:r>
      <w:bookmarkEnd w:id="22"/>
    </w:p>
    <w:p w:rsidR="00635A0A" w:rsidRPr="0004711E" w:rsidRDefault="00635A0A" w:rsidP="008B316C">
      <w:pPr>
        <w:spacing w:after="0" w:line="360" w:lineRule="auto"/>
        <w:jc w:val="both"/>
        <w:rPr>
          <w:rFonts w:cs="David"/>
          <w:sz w:val="28"/>
          <w:szCs w:val="28"/>
          <w:rtl/>
        </w:rPr>
      </w:pPr>
    </w:p>
    <w:p w:rsidR="00635A0A" w:rsidRPr="0004711E" w:rsidRDefault="00635A0A" w:rsidP="00BE07E8">
      <w:pPr>
        <w:spacing w:after="0" w:line="360" w:lineRule="auto"/>
        <w:jc w:val="both"/>
        <w:rPr>
          <w:rFonts w:cs="David"/>
          <w:sz w:val="28"/>
          <w:szCs w:val="28"/>
          <w:rtl/>
        </w:rPr>
      </w:pPr>
      <w:r w:rsidRPr="0004711E">
        <w:rPr>
          <w:rFonts w:cs="David" w:hint="cs"/>
          <w:sz w:val="28"/>
          <w:szCs w:val="28"/>
          <w:rtl/>
        </w:rPr>
        <w:t xml:space="preserve">שיקול כללי נוסף שיש </w:t>
      </w:r>
      <w:r w:rsidR="00BE07E8">
        <w:rPr>
          <w:rFonts w:cs="David" w:hint="cs"/>
          <w:sz w:val="28"/>
          <w:szCs w:val="28"/>
          <w:rtl/>
        </w:rPr>
        <w:t>לקחת בחשבון</w:t>
      </w:r>
      <w:r w:rsidR="00BE07E8" w:rsidRPr="0004711E">
        <w:rPr>
          <w:rFonts w:cs="David" w:hint="cs"/>
          <w:sz w:val="28"/>
          <w:szCs w:val="28"/>
          <w:rtl/>
        </w:rPr>
        <w:t xml:space="preserve"> </w:t>
      </w:r>
      <w:r w:rsidRPr="0004711E">
        <w:rPr>
          <w:rFonts w:cs="David" w:hint="cs"/>
          <w:sz w:val="28"/>
          <w:szCs w:val="28"/>
          <w:rtl/>
        </w:rPr>
        <w:t xml:space="preserve">בעת קבלת החלטה על שיתוף פעולה עם </w:t>
      </w:r>
      <w:r w:rsidR="009C039C">
        <w:rPr>
          <w:rFonts w:cs="David" w:hint="cs"/>
          <w:sz w:val="28"/>
          <w:szCs w:val="28"/>
          <w:rtl/>
        </w:rPr>
        <w:t>ועדת חקירה בינלאומית</w:t>
      </w:r>
      <w:r w:rsidRPr="0004711E">
        <w:rPr>
          <w:rFonts w:cs="David" w:hint="cs"/>
          <w:sz w:val="28"/>
          <w:szCs w:val="28"/>
          <w:rtl/>
        </w:rPr>
        <w:t xml:space="preserve"> הוא היכולת להשפיע על התפתחות המשפט הבינלאומי באמצעות השיח עם ה</w:t>
      </w:r>
      <w:r w:rsidR="007B32AF">
        <w:rPr>
          <w:rFonts w:cs="David" w:hint="cs"/>
          <w:sz w:val="28"/>
          <w:szCs w:val="28"/>
          <w:rtl/>
        </w:rPr>
        <w:t>ו</w:t>
      </w:r>
      <w:r w:rsidR="0074404A">
        <w:rPr>
          <w:rFonts w:cs="David" w:hint="cs"/>
          <w:sz w:val="28"/>
          <w:szCs w:val="28"/>
          <w:rtl/>
        </w:rPr>
        <w:t>ועדה</w:t>
      </w:r>
      <w:r w:rsidRPr="0004711E">
        <w:rPr>
          <w:rFonts w:cs="David" w:hint="cs"/>
          <w:sz w:val="28"/>
          <w:szCs w:val="28"/>
          <w:rtl/>
        </w:rPr>
        <w:t>.</w:t>
      </w:r>
    </w:p>
    <w:p w:rsidR="00635A0A" w:rsidRPr="0004711E" w:rsidRDefault="00635A0A" w:rsidP="008B316C">
      <w:pPr>
        <w:spacing w:after="0" w:line="360" w:lineRule="auto"/>
        <w:jc w:val="both"/>
        <w:rPr>
          <w:rFonts w:cs="David"/>
          <w:sz w:val="28"/>
          <w:szCs w:val="28"/>
          <w:rtl/>
        </w:rPr>
      </w:pPr>
    </w:p>
    <w:p w:rsidR="00635A0A" w:rsidRPr="0004711E" w:rsidRDefault="00635A0A" w:rsidP="00840B74">
      <w:pPr>
        <w:spacing w:after="0" w:line="360" w:lineRule="auto"/>
        <w:jc w:val="both"/>
        <w:rPr>
          <w:rFonts w:cs="David"/>
          <w:sz w:val="28"/>
          <w:szCs w:val="28"/>
          <w:rtl/>
        </w:rPr>
      </w:pPr>
      <w:r w:rsidRPr="0004711E">
        <w:rPr>
          <w:rFonts w:cs="David" w:hint="cs"/>
          <w:sz w:val="28"/>
          <w:szCs w:val="28"/>
          <w:rtl/>
        </w:rPr>
        <w:t xml:space="preserve">כידוע, </w:t>
      </w:r>
      <w:r w:rsidR="00D8166A" w:rsidRPr="0004711E">
        <w:rPr>
          <w:rFonts w:cs="David" w:hint="cs"/>
          <w:sz w:val="28"/>
          <w:szCs w:val="28"/>
          <w:rtl/>
        </w:rPr>
        <w:t xml:space="preserve">המשפט הבינלאומי </w:t>
      </w:r>
      <w:r w:rsidR="004E467C" w:rsidRPr="0004711E">
        <w:rPr>
          <w:rFonts w:cs="David" w:hint="cs"/>
          <w:sz w:val="28"/>
          <w:szCs w:val="28"/>
          <w:rtl/>
        </w:rPr>
        <w:t>מתפתח ומשתנה כל ה</w:t>
      </w:r>
      <w:r w:rsidR="00BE07E8">
        <w:rPr>
          <w:rFonts w:cs="David" w:hint="cs"/>
          <w:sz w:val="28"/>
          <w:szCs w:val="28"/>
          <w:rtl/>
        </w:rPr>
        <w:t>עת</w:t>
      </w:r>
      <w:r w:rsidR="004E467C" w:rsidRPr="0004711E">
        <w:rPr>
          <w:rFonts w:cs="David" w:hint="cs"/>
          <w:sz w:val="28"/>
          <w:szCs w:val="28"/>
          <w:rtl/>
        </w:rPr>
        <w:t>, באמצעות אמנות, פרקטיקה של מדינות שיוצרת מנהגים, פסיקה של טריבונאלים בינלאומיים</w:t>
      </w:r>
      <w:r w:rsidR="00840B74">
        <w:rPr>
          <w:rFonts w:cs="David" w:hint="cs"/>
          <w:sz w:val="28"/>
          <w:szCs w:val="28"/>
          <w:rtl/>
        </w:rPr>
        <w:t xml:space="preserve"> ו</w:t>
      </w:r>
      <w:r w:rsidR="004E467C" w:rsidRPr="0004711E">
        <w:rPr>
          <w:rFonts w:cs="David" w:hint="cs"/>
          <w:sz w:val="28"/>
          <w:szCs w:val="28"/>
          <w:rtl/>
        </w:rPr>
        <w:t>כתיבת מלומדים</w:t>
      </w:r>
      <w:bookmarkStart w:id="23" w:name="_Ref449983287"/>
      <w:r w:rsidR="004E467C" w:rsidRPr="0004711E">
        <w:rPr>
          <w:rStyle w:val="a7"/>
          <w:rFonts w:cs="David"/>
          <w:sz w:val="28"/>
          <w:szCs w:val="28"/>
          <w:rtl/>
        </w:rPr>
        <w:footnoteReference w:id="121"/>
      </w:r>
      <w:bookmarkEnd w:id="23"/>
      <w:r w:rsidR="004E467C" w:rsidRPr="0004711E">
        <w:rPr>
          <w:rFonts w:cs="David" w:hint="cs"/>
          <w:sz w:val="28"/>
          <w:szCs w:val="28"/>
          <w:rtl/>
        </w:rPr>
        <w:t xml:space="preserve">. כל המקורות הללו משפיעים זה על זה ולאורך זמן מעצבים את המשפט הבינלאומי ומשפיעים על התפתחותו. </w:t>
      </w:r>
      <w:r w:rsidRPr="0004711E">
        <w:rPr>
          <w:rFonts w:cs="David" w:hint="cs"/>
          <w:sz w:val="28"/>
          <w:szCs w:val="28"/>
          <w:rtl/>
        </w:rPr>
        <w:t xml:space="preserve">הכתיבה האקדמית בתחום המשפט הבינלאומי מצטטת </w:t>
      </w:r>
      <w:r w:rsidR="004E467C" w:rsidRPr="0004711E">
        <w:rPr>
          <w:rFonts w:cs="David" w:hint="cs"/>
          <w:sz w:val="28"/>
          <w:szCs w:val="28"/>
          <w:rtl/>
        </w:rPr>
        <w:t xml:space="preserve">דרך קבע </w:t>
      </w:r>
      <w:r w:rsidRPr="0004711E">
        <w:rPr>
          <w:rFonts w:cs="David" w:hint="cs"/>
          <w:sz w:val="28"/>
          <w:szCs w:val="28"/>
          <w:rtl/>
        </w:rPr>
        <w:t xml:space="preserve">החלטות </w:t>
      </w:r>
      <w:r w:rsidR="004E467C" w:rsidRPr="0004711E">
        <w:rPr>
          <w:rFonts w:cs="David" w:hint="cs"/>
          <w:sz w:val="28"/>
          <w:szCs w:val="28"/>
          <w:rtl/>
        </w:rPr>
        <w:t xml:space="preserve">ודוחות </w:t>
      </w:r>
      <w:r w:rsidRPr="0004711E">
        <w:rPr>
          <w:rFonts w:cs="David" w:hint="cs"/>
          <w:sz w:val="28"/>
          <w:szCs w:val="28"/>
          <w:rtl/>
        </w:rPr>
        <w:t xml:space="preserve">של מועצת הביטחון והעצרת הכללית של האו"ם, מועצת זכויות האדם ועוד. </w:t>
      </w:r>
      <w:r w:rsidR="00B52EF5" w:rsidRPr="0004711E">
        <w:rPr>
          <w:rFonts w:cs="David" w:hint="cs"/>
          <w:sz w:val="28"/>
          <w:szCs w:val="28"/>
          <w:rtl/>
        </w:rPr>
        <w:t xml:space="preserve">לא רק הכתיבה האקדמית מפנה לגופי הידע האלה. גם מחקר הצלב האדום על המשפט הבינלאומי ההומניטארי המנהגי מפנה להחלטות מועצת הביטחון והעצרת הכללית, </w:t>
      </w:r>
      <w:r w:rsidR="00B668D4" w:rsidRPr="0004711E">
        <w:rPr>
          <w:rFonts w:cs="David" w:hint="cs"/>
          <w:sz w:val="28"/>
          <w:szCs w:val="28"/>
          <w:rtl/>
        </w:rPr>
        <w:t xml:space="preserve">ואף </w:t>
      </w:r>
      <w:r w:rsidR="00B52EF5" w:rsidRPr="0004711E">
        <w:rPr>
          <w:rFonts w:cs="David" w:hint="cs"/>
          <w:sz w:val="28"/>
          <w:szCs w:val="28"/>
          <w:rtl/>
        </w:rPr>
        <w:t>לדוחות ולעמדות שהושמעו בנציבות זכויות האדם ובמועצת זכויות האדם לאחריה</w:t>
      </w:r>
      <w:r w:rsidR="00B52EF5" w:rsidRPr="0004711E">
        <w:rPr>
          <w:rStyle w:val="a7"/>
          <w:rFonts w:cs="David"/>
          <w:sz w:val="28"/>
          <w:szCs w:val="28"/>
          <w:rtl/>
        </w:rPr>
        <w:footnoteReference w:id="122"/>
      </w:r>
      <w:r w:rsidR="00B52EF5" w:rsidRPr="0004711E">
        <w:rPr>
          <w:rFonts w:cs="David" w:hint="cs"/>
          <w:sz w:val="28"/>
          <w:szCs w:val="28"/>
          <w:rtl/>
        </w:rPr>
        <w:t>.</w:t>
      </w:r>
      <w:r w:rsidR="002258B6" w:rsidRPr="0004711E">
        <w:rPr>
          <w:rFonts w:cs="David" w:hint="cs"/>
          <w:sz w:val="28"/>
          <w:szCs w:val="28"/>
          <w:rtl/>
        </w:rPr>
        <w:t xml:space="preserve"> </w:t>
      </w:r>
      <w:r w:rsidRPr="0004711E">
        <w:rPr>
          <w:rFonts w:cs="David" w:hint="cs"/>
          <w:sz w:val="28"/>
          <w:szCs w:val="28"/>
          <w:rtl/>
        </w:rPr>
        <w:t xml:space="preserve">כך יוצא, שקביעות </w:t>
      </w:r>
      <w:r w:rsidRPr="0004711E">
        <w:rPr>
          <w:rFonts w:cs="David" w:hint="cs"/>
          <w:sz w:val="28"/>
          <w:szCs w:val="28"/>
          <w:rtl/>
        </w:rPr>
        <w:lastRenderedPageBreak/>
        <w:t xml:space="preserve">משפטיות המופיעות בדוחות האלה, שאינן מהוות נורמות משפטיות מחייבות בפני עצמן, יכולות </w:t>
      </w:r>
      <w:r w:rsidR="00BE07E8" w:rsidRPr="0004711E">
        <w:rPr>
          <w:rFonts w:cs="David" w:hint="cs"/>
          <w:sz w:val="28"/>
          <w:szCs w:val="28"/>
          <w:rtl/>
        </w:rPr>
        <w:t xml:space="preserve">לייצר </w:t>
      </w:r>
      <w:r w:rsidRPr="0004711E">
        <w:rPr>
          <w:rFonts w:cs="David" w:hint="cs"/>
          <w:sz w:val="28"/>
          <w:szCs w:val="28"/>
          <w:rtl/>
        </w:rPr>
        <w:t xml:space="preserve">עם הזמן נורמות כאלה בשל </w:t>
      </w:r>
      <w:r w:rsidR="002258B6" w:rsidRPr="0004711E">
        <w:rPr>
          <w:rFonts w:cs="David" w:hint="cs"/>
          <w:sz w:val="28"/>
          <w:szCs w:val="28"/>
          <w:rtl/>
        </w:rPr>
        <w:t xml:space="preserve">ריבוי </w:t>
      </w:r>
      <w:r w:rsidRPr="0004711E">
        <w:rPr>
          <w:rFonts w:cs="David" w:hint="cs"/>
          <w:sz w:val="28"/>
          <w:szCs w:val="28"/>
          <w:rtl/>
        </w:rPr>
        <w:t>ההפניות אליהן בכתיבה המשפטית.</w:t>
      </w:r>
    </w:p>
    <w:p w:rsidR="002258B6" w:rsidRPr="0004711E" w:rsidRDefault="002258B6" w:rsidP="008B316C">
      <w:pPr>
        <w:spacing w:after="0" w:line="360" w:lineRule="auto"/>
        <w:jc w:val="both"/>
        <w:rPr>
          <w:rFonts w:cs="David"/>
          <w:sz w:val="28"/>
          <w:szCs w:val="28"/>
          <w:rtl/>
        </w:rPr>
      </w:pPr>
    </w:p>
    <w:p w:rsidR="0003277F" w:rsidRPr="0004711E" w:rsidRDefault="009C039C" w:rsidP="00F376DA">
      <w:pPr>
        <w:spacing w:after="0" w:line="360" w:lineRule="auto"/>
        <w:jc w:val="both"/>
        <w:rPr>
          <w:rFonts w:cs="David"/>
          <w:sz w:val="28"/>
          <w:szCs w:val="28"/>
          <w:rtl/>
        </w:rPr>
      </w:pPr>
      <w:r>
        <w:rPr>
          <w:rFonts w:cs="David" w:hint="cs"/>
          <w:sz w:val="28"/>
          <w:szCs w:val="28"/>
          <w:rtl/>
        </w:rPr>
        <w:t>ועדות החקירה</w:t>
      </w:r>
      <w:r w:rsidR="007B32AF">
        <w:rPr>
          <w:rFonts w:cs="David" w:hint="cs"/>
          <w:sz w:val="28"/>
          <w:szCs w:val="28"/>
          <w:rtl/>
        </w:rPr>
        <w:t xml:space="preserve"> קובעות</w:t>
      </w:r>
      <w:r w:rsidR="0049287D" w:rsidRPr="0004711E">
        <w:rPr>
          <w:rFonts w:cs="David" w:hint="cs"/>
          <w:sz w:val="28"/>
          <w:szCs w:val="28"/>
          <w:rtl/>
        </w:rPr>
        <w:t xml:space="preserve"> לעיתים </w:t>
      </w:r>
      <w:r w:rsidR="00EA401A" w:rsidRPr="0004711E">
        <w:rPr>
          <w:rFonts w:cs="David" w:hint="cs"/>
          <w:sz w:val="28"/>
          <w:szCs w:val="28"/>
          <w:rtl/>
        </w:rPr>
        <w:t xml:space="preserve">קביעות משפטיות שגויות </w:t>
      </w:r>
      <w:r w:rsidR="00580F18" w:rsidRPr="0004711E">
        <w:rPr>
          <w:rFonts w:cs="David" w:hint="cs"/>
          <w:sz w:val="28"/>
          <w:szCs w:val="28"/>
          <w:rtl/>
        </w:rPr>
        <w:t xml:space="preserve">באשר </w:t>
      </w:r>
      <w:r w:rsidR="00EA401A" w:rsidRPr="0004711E">
        <w:rPr>
          <w:rFonts w:cs="David" w:hint="cs"/>
          <w:sz w:val="28"/>
          <w:szCs w:val="28"/>
          <w:rtl/>
        </w:rPr>
        <w:t>לאסור ולמותר במהלך פעילות מבצעית, באופן שיקשה על הפעילות של צה"ל ושל צבאות מערביים אחרים לנהל מבצעים המאופיינים באתגרים דומים בעתיד, או שימנע אותה לחלוטין</w:t>
      </w:r>
      <w:r w:rsidR="00580F18" w:rsidRPr="0004711E">
        <w:rPr>
          <w:rFonts w:cs="David" w:hint="cs"/>
          <w:sz w:val="28"/>
          <w:szCs w:val="28"/>
          <w:rtl/>
        </w:rPr>
        <w:t xml:space="preserve">. כך, לדוגמה, קבע דוח ועדת לבנון השנייה כי צה"ל השתמש בפצצות </w:t>
      </w:r>
      <w:r w:rsidR="00EA401A" w:rsidRPr="0004711E">
        <w:rPr>
          <w:rFonts w:cs="David" w:hint="cs"/>
          <w:sz w:val="28"/>
          <w:szCs w:val="28"/>
          <w:rtl/>
        </w:rPr>
        <w:t>מצרר</w:t>
      </w:r>
      <w:r w:rsidR="00580F18" w:rsidRPr="0004711E">
        <w:rPr>
          <w:rFonts w:cs="David" w:hint="cs"/>
          <w:sz w:val="28"/>
          <w:szCs w:val="28"/>
          <w:rtl/>
        </w:rPr>
        <w:t xml:space="preserve"> באופן </w:t>
      </w:r>
      <w:r w:rsidR="0060044D" w:rsidRPr="0004711E">
        <w:rPr>
          <w:rFonts w:cs="David" w:hint="cs"/>
          <w:sz w:val="28"/>
          <w:szCs w:val="28"/>
          <w:rtl/>
        </w:rPr>
        <w:t xml:space="preserve">בלתי מבחין ובלתי </w:t>
      </w:r>
      <w:r w:rsidR="00580F18" w:rsidRPr="0004711E">
        <w:rPr>
          <w:rFonts w:cs="David" w:hint="cs"/>
          <w:sz w:val="28"/>
          <w:szCs w:val="28"/>
          <w:rtl/>
        </w:rPr>
        <w:t>מוצדק מב</w:t>
      </w:r>
      <w:r w:rsidR="0060044D" w:rsidRPr="0004711E">
        <w:rPr>
          <w:rFonts w:cs="David" w:hint="cs"/>
          <w:sz w:val="28"/>
          <w:szCs w:val="28"/>
          <w:rtl/>
        </w:rPr>
        <w:t>ח</w:t>
      </w:r>
      <w:r w:rsidR="00580F18" w:rsidRPr="0004711E">
        <w:rPr>
          <w:rFonts w:cs="David" w:hint="cs"/>
          <w:sz w:val="28"/>
          <w:szCs w:val="28"/>
          <w:rtl/>
        </w:rPr>
        <w:t>ינה צבאית</w:t>
      </w:r>
      <w:r w:rsidR="00EA401A" w:rsidRPr="0004711E">
        <w:rPr>
          <w:rFonts w:cs="David" w:hint="cs"/>
          <w:sz w:val="28"/>
          <w:szCs w:val="28"/>
          <w:rtl/>
        </w:rPr>
        <w:t xml:space="preserve">, </w:t>
      </w:r>
      <w:r w:rsidR="00580F18" w:rsidRPr="0004711E">
        <w:rPr>
          <w:rFonts w:cs="David" w:hint="cs"/>
          <w:sz w:val="28"/>
          <w:szCs w:val="28"/>
          <w:rtl/>
        </w:rPr>
        <w:t>ועל מנת למנוע את הגישה לאזורים חקלאיים נרחבים</w:t>
      </w:r>
      <w:r w:rsidR="00580F18" w:rsidRPr="0004711E">
        <w:rPr>
          <w:rStyle w:val="a7"/>
          <w:rFonts w:cs="David"/>
          <w:sz w:val="28"/>
          <w:szCs w:val="28"/>
          <w:rtl/>
        </w:rPr>
        <w:footnoteReference w:id="123"/>
      </w:r>
      <w:r w:rsidR="00580F18" w:rsidRPr="0004711E">
        <w:rPr>
          <w:rFonts w:cs="David" w:hint="cs"/>
          <w:sz w:val="28"/>
          <w:szCs w:val="28"/>
          <w:rtl/>
        </w:rPr>
        <w:t>. הוועדה המליצה לנקוט יוזמה בינלאומית שתכניס את פצצות המצרר לרשימת כלי הנשק האסורים בשימוש לפי המשפט הבינלאומי</w:t>
      </w:r>
      <w:r w:rsidR="0060044D" w:rsidRPr="0004711E">
        <w:rPr>
          <w:rStyle w:val="a7"/>
          <w:rFonts w:cs="David"/>
          <w:sz w:val="28"/>
          <w:szCs w:val="28"/>
          <w:rtl/>
        </w:rPr>
        <w:footnoteReference w:id="124"/>
      </w:r>
      <w:r w:rsidR="0060044D" w:rsidRPr="0004711E">
        <w:rPr>
          <w:rFonts w:cs="David" w:hint="cs"/>
          <w:sz w:val="28"/>
          <w:szCs w:val="28"/>
          <w:rtl/>
        </w:rPr>
        <w:t>.</w:t>
      </w:r>
      <w:r w:rsidR="00580F18" w:rsidRPr="0004711E">
        <w:rPr>
          <w:rFonts w:cs="David" w:hint="cs"/>
          <w:sz w:val="28"/>
          <w:szCs w:val="28"/>
          <w:rtl/>
        </w:rPr>
        <w:t xml:space="preserve"> </w:t>
      </w:r>
      <w:r w:rsidR="00F376DA">
        <w:rPr>
          <w:rFonts w:cs="David" w:hint="cs"/>
          <w:sz w:val="28"/>
          <w:szCs w:val="28"/>
          <w:rtl/>
        </w:rPr>
        <w:t xml:space="preserve">מאוחר יותר </w:t>
      </w:r>
      <w:r w:rsidR="00134651" w:rsidRPr="0004711E">
        <w:rPr>
          <w:rFonts w:cs="David" w:hint="cs"/>
          <w:sz w:val="28"/>
          <w:szCs w:val="28"/>
          <w:rtl/>
        </w:rPr>
        <w:t>החל תהליך בינלאומי שהסתיים בחתימתה של אמנת המצרר באוסלו</w:t>
      </w:r>
      <w:r w:rsidR="00134651" w:rsidRPr="0004711E">
        <w:rPr>
          <w:rStyle w:val="a7"/>
          <w:rFonts w:cs="David"/>
          <w:sz w:val="28"/>
          <w:szCs w:val="28"/>
          <w:rtl/>
        </w:rPr>
        <w:footnoteReference w:id="125"/>
      </w:r>
      <w:r w:rsidR="00134651" w:rsidRPr="0004711E">
        <w:rPr>
          <w:rFonts w:cs="David" w:hint="cs"/>
          <w:sz w:val="28"/>
          <w:szCs w:val="28"/>
          <w:rtl/>
        </w:rPr>
        <w:t xml:space="preserve">. דוח גולדסטון התייחס לשימוש של צה"ל בתחמושת המכילה </w:t>
      </w:r>
      <w:r w:rsidR="00EA401A" w:rsidRPr="0004711E">
        <w:rPr>
          <w:rFonts w:cs="David" w:hint="cs"/>
          <w:sz w:val="28"/>
          <w:szCs w:val="28"/>
          <w:rtl/>
        </w:rPr>
        <w:t>זרחן</w:t>
      </w:r>
      <w:r w:rsidR="00134651" w:rsidRPr="0004711E">
        <w:rPr>
          <w:rFonts w:cs="David" w:hint="cs"/>
          <w:sz w:val="28"/>
          <w:szCs w:val="28"/>
          <w:rtl/>
        </w:rPr>
        <w:t xml:space="preserve"> לבן במהלך מבצע "עופרת יצוקה"</w:t>
      </w:r>
      <w:r w:rsidR="00EA401A" w:rsidRPr="0004711E">
        <w:rPr>
          <w:rFonts w:cs="David" w:hint="cs"/>
          <w:sz w:val="28"/>
          <w:szCs w:val="28"/>
          <w:rtl/>
        </w:rPr>
        <w:t xml:space="preserve">, </w:t>
      </w:r>
      <w:r w:rsidR="00134651" w:rsidRPr="0004711E">
        <w:rPr>
          <w:rFonts w:cs="David" w:hint="cs"/>
          <w:sz w:val="28"/>
          <w:szCs w:val="28"/>
          <w:rtl/>
        </w:rPr>
        <w:t>וקבע כי הדבר נעשה בשטחים מאוכלסים</w:t>
      </w:r>
      <w:r w:rsidR="009638ED" w:rsidRPr="0004711E">
        <w:rPr>
          <w:rFonts w:cs="David" w:hint="cs"/>
          <w:sz w:val="28"/>
          <w:szCs w:val="28"/>
          <w:rtl/>
        </w:rPr>
        <w:t xml:space="preserve"> ו</w:t>
      </w:r>
      <w:r w:rsidR="00134651" w:rsidRPr="0004711E">
        <w:rPr>
          <w:rFonts w:cs="David" w:hint="cs"/>
          <w:sz w:val="28"/>
          <w:szCs w:val="28"/>
          <w:rtl/>
        </w:rPr>
        <w:t xml:space="preserve">באופן רשלני </w:t>
      </w:r>
      <w:r w:rsidR="009638ED" w:rsidRPr="0004711E">
        <w:rPr>
          <w:rFonts w:cs="David" w:hint="cs"/>
          <w:sz w:val="28"/>
          <w:szCs w:val="28"/>
          <w:rtl/>
        </w:rPr>
        <w:t xml:space="preserve">שגרם לפגיעות גופניות קשות לאזרחים. הוועדה הכירה בכך שהשימוש בחימוש המכיל זרחן לבן אינו אסור לפי המשפט הבינלאומי, אך המליצה להימנע מהשימוש בו או להשתמש בו באופן מבוקר יותר לאור ההשלכות הקשות הנובעות מהשימוש. בפועל, הוועדה מציינת כי מדינת ישראל אכן הודיעה כי תפסיק את השימוש בחימושים המכילים זרחן לבן בשל הדאגה הבינלאומית שהדבר </w:t>
      </w:r>
      <w:r w:rsidR="009638ED" w:rsidRPr="0004711E">
        <w:rPr>
          <w:rFonts w:cs="David" w:hint="cs"/>
          <w:sz w:val="28"/>
          <w:szCs w:val="28"/>
          <w:rtl/>
        </w:rPr>
        <w:lastRenderedPageBreak/>
        <w:t>עורר</w:t>
      </w:r>
      <w:r w:rsidR="009638ED" w:rsidRPr="0004711E">
        <w:rPr>
          <w:rStyle w:val="a7"/>
          <w:rFonts w:cs="David"/>
          <w:sz w:val="28"/>
          <w:szCs w:val="28"/>
          <w:rtl/>
        </w:rPr>
        <w:footnoteReference w:id="126"/>
      </w:r>
      <w:r w:rsidR="009638ED" w:rsidRPr="0004711E">
        <w:rPr>
          <w:rFonts w:cs="David" w:hint="cs"/>
          <w:sz w:val="28"/>
          <w:szCs w:val="28"/>
          <w:rtl/>
        </w:rPr>
        <w:t xml:space="preserve">. </w:t>
      </w:r>
      <w:r w:rsidR="008B2D7F" w:rsidRPr="0004711E">
        <w:rPr>
          <w:rFonts w:cs="David" w:hint="cs"/>
          <w:sz w:val="28"/>
          <w:szCs w:val="28"/>
          <w:rtl/>
        </w:rPr>
        <w:t>דוח ועדת צוק איתן התייחס לשימוש הנרחב שעשה צה"ל בפגזי טנקים ו</w:t>
      </w:r>
      <w:r w:rsidR="00EA401A" w:rsidRPr="0004711E">
        <w:rPr>
          <w:rFonts w:cs="David" w:hint="cs"/>
          <w:sz w:val="28"/>
          <w:szCs w:val="28"/>
          <w:rtl/>
        </w:rPr>
        <w:t>ארטילריה</w:t>
      </w:r>
      <w:r w:rsidR="008B2D7F" w:rsidRPr="0004711E">
        <w:rPr>
          <w:rFonts w:cs="David" w:hint="cs"/>
          <w:sz w:val="28"/>
          <w:szCs w:val="28"/>
          <w:rtl/>
        </w:rPr>
        <w:t xml:space="preserve"> בשטחים מאוכלסים, באופן שמעורר חשש לחריגה מעקרונות ההבחנה, הזהירות והמידתיות</w:t>
      </w:r>
      <w:r w:rsidR="00EA401A" w:rsidRPr="0004711E">
        <w:rPr>
          <w:rFonts w:cs="David" w:hint="cs"/>
          <w:sz w:val="28"/>
          <w:szCs w:val="28"/>
          <w:rtl/>
        </w:rPr>
        <w:t>.</w:t>
      </w:r>
      <w:r w:rsidR="008B2D7F" w:rsidRPr="0004711E">
        <w:rPr>
          <w:rFonts w:cs="David" w:hint="cs"/>
          <w:sz w:val="28"/>
          <w:szCs w:val="28"/>
          <w:rtl/>
        </w:rPr>
        <w:t xml:space="preserve"> הדוח ממשיך וקובע, כי העובדה שגם לאחר מקרים בהם שימוש בחימושים כאלה הוביל לפגיעות קשות באזרחים, </w:t>
      </w:r>
      <w:r w:rsidR="00F62BE3" w:rsidRPr="0004711E">
        <w:rPr>
          <w:rFonts w:cs="David" w:hint="cs"/>
          <w:sz w:val="28"/>
          <w:szCs w:val="28"/>
          <w:rtl/>
        </w:rPr>
        <w:t xml:space="preserve">לא שינה </w:t>
      </w:r>
      <w:r w:rsidR="008B2D7F" w:rsidRPr="0004711E">
        <w:rPr>
          <w:rFonts w:cs="David" w:hint="cs"/>
          <w:sz w:val="28"/>
          <w:szCs w:val="28"/>
          <w:rtl/>
        </w:rPr>
        <w:t>צה"ל את דרך התנהלותו והמשיך בשימוש</w:t>
      </w:r>
      <w:r w:rsidR="00F62BE3">
        <w:rPr>
          <w:rFonts w:cs="David" w:hint="cs"/>
          <w:sz w:val="28"/>
          <w:szCs w:val="28"/>
          <w:rtl/>
        </w:rPr>
        <w:t xml:space="preserve"> בהם</w:t>
      </w:r>
      <w:r w:rsidR="008B2D7F" w:rsidRPr="0004711E">
        <w:rPr>
          <w:rFonts w:cs="David" w:hint="cs"/>
          <w:sz w:val="28"/>
          <w:szCs w:val="28"/>
          <w:rtl/>
        </w:rPr>
        <w:t>, מעידה על כך שהנהלים של צה"ל בעניין אינם עולים בקנה אחד עם דיני הלחימה</w:t>
      </w:r>
      <w:r w:rsidR="008B2D7F" w:rsidRPr="0004711E">
        <w:rPr>
          <w:rStyle w:val="a7"/>
          <w:rFonts w:cs="David"/>
          <w:sz w:val="28"/>
          <w:szCs w:val="28"/>
          <w:rtl/>
        </w:rPr>
        <w:footnoteReference w:id="127"/>
      </w:r>
      <w:r w:rsidR="0003277F" w:rsidRPr="0004711E">
        <w:rPr>
          <w:rFonts w:cs="David" w:hint="cs"/>
          <w:sz w:val="28"/>
          <w:szCs w:val="28"/>
          <w:rtl/>
        </w:rPr>
        <w:t>.</w:t>
      </w:r>
    </w:p>
    <w:p w:rsidR="0003277F" w:rsidRPr="0004711E" w:rsidRDefault="0003277F" w:rsidP="008B316C">
      <w:pPr>
        <w:spacing w:after="0" w:line="360" w:lineRule="auto"/>
        <w:jc w:val="both"/>
        <w:rPr>
          <w:rFonts w:cs="David"/>
          <w:sz w:val="28"/>
          <w:szCs w:val="28"/>
          <w:rtl/>
        </w:rPr>
      </w:pPr>
    </w:p>
    <w:p w:rsidR="00C66D83" w:rsidRPr="0004711E" w:rsidRDefault="0003277F" w:rsidP="00BD055C">
      <w:pPr>
        <w:spacing w:after="0" w:line="360" w:lineRule="auto"/>
        <w:jc w:val="both"/>
        <w:rPr>
          <w:rFonts w:cs="David"/>
          <w:sz w:val="28"/>
          <w:szCs w:val="28"/>
          <w:rtl/>
        </w:rPr>
      </w:pPr>
      <w:r w:rsidRPr="0004711E">
        <w:rPr>
          <w:rFonts w:cs="David" w:hint="cs"/>
          <w:sz w:val="28"/>
          <w:szCs w:val="28"/>
          <w:rtl/>
        </w:rPr>
        <w:t xml:space="preserve">לקביעות שיש בדוחות הללו יש השפעה על </w:t>
      </w:r>
      <w:r w:rsidR="00C66D83" w:rsidRPr="0004711E">
        <w:rPr>
          <w:rFonts w:cs="David" w:hint="cs"/>
          <w:sz w:val="28"/>
          <w:szCs w:val="28"/>
          <w:rtl/>
        </w:rPr>
        <w:t xml:space="preserve">פעילותו של </w:t>
      </w:r>
      <w:r w:rsidRPr="0004711E">
        <w:rPr>
          <w:rFonts w:cs="David" w:hint="cs"/>
          <w:sz w:val="28"/>
          <w:szCs w:val="28"/>
          <w:rtl/>
        </w:rPr>
        <w:t xml:space="preserve">צה"ל. </w:t>
      </w:r>
      <w:r w:rsidR="00EA401A" w:rsidRPr="0004711E">
        <w:rPr>
          <w:rFonts w:cs="David" w:hint="cs"/>
          <w:sz w:val="28"/>
          <w:szCs w:val="28"/>
          <w:rtl/>
        </w:rPr>
        <w:t xml:space="preserve">צה"ל </w:t>
      </w:r>
      <w:r w:rsidR="00BD055C">
        <w:rPr>
          <w:rFonts w:cs="David" w:hint="cs"/>
          <w:sz w:val="28"/>
          <w:szCs w:val="28"/>
          <w:rtl/>
        </w:rPr>
        <w:t xml:space="preserve">בוודאי אינו מתעלם מהאמור בדוחות והוא בוחן את האמור בהם ומתקן את הפרקטיקות שלו במידת הצורך. </w:t>
      </w:r>
      <w:r w:rsidR="00EA401A" w:rsidRPr="0004711E">
        <w:rPr>
          <w:rFonts w:cs="David" w:hint="cs"/>
          <w:sz w:val="28"/>
          <w:szCs w:val="28"/>
          <w:rtl/>
        </w:rPr>
        <w:t xml:space="preserve">בניגוד לרוב צבאות המערב, </w:t>
      </w:r>
      <w:r w:rsidR="00F62BE3" w:rsidRPr="0004711E">
        <w:rPr>
          <w:rFonts w:cs="David" w:hint="cs"/>
          <w:sz w:val="28"/>
          <w:szCs w:val="28"/>
          <w:rtl/>
        </w:rPr>
        <w:t xml:space="preserve">לא נלחם </w:t>
      </w:r>
      <w:r w:rsidR="00EA401A" w:rsidRPr="0004711E">
        <w:rPr>
          <w:rFonts w:cs="David" w:hint="cs"/>
          <w:sz w:val="28"/>
          <w:szCs w:val="28"/>
          <w:rtl/>
        </w:rPr>
        <w:t>צה"ל במסגרת קואליציות ו</w:t>
      </w:r>
      <w:r w:rsidR="00F62BE3">
        <w:rPr>
          <w:rFonts w:cs="David" w:hint="cs"/>
          <w:sz w:val="28"/>
          <w:szCs w:val="28"/>
          <w:rtl/>
        </w:rPr>
        <w:t xml:space="preserve">הוא </w:t>
      </w:r>
      <w:r w:rsidR="00EA401A" w:rsidRPr="0004711E">
        <w:rPr>
          <w:rFonts w:cs="David" w:hint="cs"/>
          <w:sz w:val="28"/>
          <w:szCs w:val="28"/>
          <w:rtl/>
        </w:rPr>
        <w:t xml:space="preserve">תמיד נושא באחריות לבדו. </w:t>
      </w:r>
      <w:r w:rsidR="00BD055C">
        <w:rPr>
          <w:rFonts w:cs="David" w:hint="cs"/>
          <w:sz w:val="28"/>
          <w:szCs w:val="28"/>
          <w:rtl/>
        </w:rPr>
        <w:t xml:space="preserve">לפיכך, צה"ל מקפיד ביישום דווקני של דיני הלחימה, ולא אחת אף מעבר לנדרש על פיהם. </w:t>
      </w:r>
      <w:r w:rsidR="00EA401A" w:rsidRPr="0004711E">
        <w:rPr>
          <w:rFonts w:cs="David" w:hint="cs"/>
          <w:sz w:val="28"/>
          <w:szCs w:val="28"/>
          <w:rtl/>
        </w:rPr>
        <w:t xml:space="preserve">לאורך זמן, </w:t>
      </w:r>
      <w:r w:rsidR="00F62BE3" w:rsidRPr="0004711E">
        <w:rPr>
          <w:rFonts w:cs="David" w:hint="cs"/>
          <w:sz w:val="28"/>
          <w:szCs w:val="28"/>
          <w:rtl/>
        </w:rPr>
        <w:t xml:space="preserve">עלולה </w:t>
      </w:r>
      <w:r w:rsidR="00EA401A" w:rsidRPr="0004711E">
        <w:rPr>
          <w:rFonts w:cs="David" w:hint="cs"/>
          <w:sz w:val="28"/>
          <w:szCs w:val="28"/>
          <w:rtl/>
        </w:rPr>
        <w:t>התנהגות זו ליצור פרקטיקה שמשפיעה גם על צבאות אחרים באופן שמגביל את פעילותם, והיא מעוררת ביקורת מצדם</w:t>
      </w:r>
      <w:r w:rsidR="00B12FCE" w:rsidRPr="0004711E">
        <w:rPr>
          <w:rFonts w:cs="David" w:hint="cs"/>
          <w:sz w:val="28"/>
          <w:szCs w:val="28"/>
          <w:rtl/>
        </w:rPr>
        <w:t>. כך, ועדה צבאית בדרג גבוה</w:t>
      </w:r>
      <w:r w:rsidR="00ED5F9C">
        <w:rPr>
          <w:rFonts w:cs="David" w:hint="cs"/>
          <w:sz w:val="28"/>
          <w:szCs w:val="28"/>
          <w:rtl/>
        </w:rPr>
        <w:t xml:space="preserve"> (</w:t>
      </w:r>
      <w:r w:rsidR="00ED5F9C">
        <w:rPr>
          <w:rFonts w:cs="David"/>
          <w:sz w:val="28"/>
          <w:szCs w:val="28"/>
        </w:rPr>
        <w:t>High Level Military Group</w:t>
      </w:r>
      <w:r w:rsidR="00ED5F9C">
        <w:rPr>
          <w:rFonts w:cs="David" w:hint="cs"/>
          <w:sz w:val="28"/>
          <w:szCs w:val="28"/>
          <w:rtl/>
        </w:rPr>
        <w:t xml:space="preserve">, להלן </w:t>
      </w:r>
      <w:r w:rsidR="00ED5F9C">
        <w:rPr>
          <w:rFonts w:cs="David"/>
          <w:sz w:val="28"/>
          <w:szCs w:val="28"/>
          <w:rtl/>
        </w:rPr>
        <w:t>–</w:t>
      </w:r>
      <w:r w:rsidR="00ED5F9C">
        <w:rPr>
          <w:rFonts w:cs="David" w:hint="cs"/>
          <w:sz w:val="28"/>
          <w:szCs w:val="28"/>
          <w:rtl/>
        </w:rPr>
        <w:t xml:space="preserve"> </w:t>
      </w:r>
      <w:r w:rsidR="00ED5F9C">
        <w:rPr>
          <w:rFonts w:cs="David" w:hint="cs"/>
          <w:sz w:val="28"/>
          <w:szCs w:val="28"/>
        </w:rPr>
        <w:t>HLMG</w:t>
      </w:r>
      <w:r w:rsidR="00ED5F9C">
        <w:rPr>
          <w:rFonts w:cs="David" w:hint="cs"/>
          <w:sz w:val="28"/>
          <w:szCs w:val="28"/>
          <w:rtl/>
        </w:rPr>
        <w:t>)</w:t>
      </w:r>
      <w:r w:rsidR="00B12FCE" w:rsidRPr="0004711E">
        <w:rPr>
          <w:rFonts w:cs="David" w:hint="cs"/>
          <w:sz w:val="28"/>
          <w:szCs w:val="28"/>
          <w:rtl/>
        </w:rPr>
        <w:t>, שהורכבה בעיקרה מקציני צבא בכירים ממדינות שונות, ואשר הגיעה לישראל כדי להעריך את התנהגותו של צה"ל במבצע "צוק איתן", קבעה שלא רק שהתנהגותו של צה"ל עמדה בסטנדרטים המחמירים ביותר של המשפט הבינלאומי, אלא שהיא אף החמירה עליהם הרבה מעבר לנדרש, באופן שעלו</w:t>
      </w:r>
      <w:r w:rsidR="00BA4510">
        <w:rPr>
          <w:rFonts w:cs="David" w:hint="cs"/>
          <w:sz w:val="28"/>
          <w:szCs w:val="28"/>
          <w:rtl/>
        </w:rPr>
        <w:t>ל</w:t>
      </w:r>
      <w:r w:rsidR="00B12FCE" w:rsidRPr="0004711E">
        <w:rPr>
          <w:rFonts w:cs="David" w:hint="cs"/>
          <w:sz w:val="28"/>
          <w:szCs w:val="28"/>
          <w:rtl/>
        </w:rPr>
        <w:t xml:space="preserve"> לפגוע ביעילות הפרקטיקות של הצבאות הזרים </w:t>
      </w:r>
      <w:r w:rsidR="00BA4510">
        <w:rPr>
          <w:rFonts w:cs="David" w:hint="cs"/>
          <w:sz w:val="28"/>
          <w:szCs w:val="28"/>
          <w:rtl/>
        </w:rPr>
        <w:t>שהיו מיוצגים</w:t>
      </w:r>
      <w:r w:rsidR="008776E9" w:rsidRPr="0004711E">
        <w:rPr>
          <w:rFonts w:cs="David" w:hint="cs"/>
          <w:sz w:val="28"/>
          <w:szCs w:val="28"/>
          <w:rtl/>
        </w:rPr>
        <w:t xml:space="preserve"> בוועדה זו</w:t>
      </w:r>
      <w:bookmarkStart w:id="24" w:name="_Ref450922147"/>
      <w:r w:rsidR="00B12FCE" w:rsidRPr="0004711E">
        <w:rPr>
          <w:rStyle w:val="a7"/>
          <w:rFonts w:cs="David"/>
          <w:sz w:val="28"/>
          <w:szCs w:val="28"/>
          <w:rtl/>
        </w:rPr>
        <w:footnoteReference w:id="128"/>
      </w:r>
      <w:bookmarkEnd w:id="24"/>
      <w:r w:rsidR="008776E9" w:rsidRPr="0004711E">
        <w:rPr>
          <w:rFonts w:cs="David" w:hint="cs"/>
          <w:sz w:val="28"/>
          <w:szCs w:val="28"/>
          <w:rtl/>
        </w:rPr>
        <w:t xml:space="preserve">. </w:t>
      </w:r>
      <w:r w:rsidR="00C66D83" w:rsidRPr="0004711E">
        <w:rPr>
          <w:rFonts w:cs="David" w:hint="cs"/>
          <w:sz w:val="28"/>
          <w:szCs w:val="28"/>
          <w:rtl/>
        </w:rPr>
        <w:t>גם כוח משימה של גנרלים אמריקאים שהגיע לישראל כדי להעריך את התנהגות צה"ל במבצע קבע שצה"ל החמיר מעבר לנדרש במשפט הבינלאומי ושאין מקום שהצבא האמריקאי ייטול על עצמו החמרות דומות</w:t>
      </w:r>
      <w:r w:rsidR="00C66D83" w:rsidRPr="0004711E">
        <w:rPr>
          <w:rStyle w:val="a7"/>
          <w:rFonts w:cs="David"/>
          <w:sz w:val="28"/>
          <w:szCs w:val="28"/>
          <w:rtl/>
        </w:rPr>
        <w:footnoteReference w:id="129"/>
      </w:r>
      <w:r w:rsidR="00C66D83" w:rsidRPr="0004711E">
        <w:rPr>
          <w:rFonts w:cs="David" w:hint="cs"/>
          <w:sz w:val="28"/>
          <w:szCs w:val="28"/>
          <w:rtl/>
        </w:rPr>
        <w:t xml:space="preserve">. </w:t>
      </w:r>
    </w:p>
    <w:p w:rsidR="0049287D" w:rsidRPr="0004711E" w:rsidRDefault="0049287D" w:rsidP="008B316C">
      <w:pPr>
        <w:spacing w:after="0" w:line="360" w:lineRule="auto"/>
        <w:jc w:val="both"/>
        <w:rPr>
          <w:rFonts w:cs="David"/>
          <w:sz w:val="28"/>
          <w:szCs w:val="28"/>
          <w:rtl/>
        </w:rPr>
      </w:pPr>
    </w:p>
    <w:p w:rsidR="00BC29B2" w:rsidRPr="0004711E" w:rsidRDefault="002258B6" w:rsidP="008B316C">
      <w:pPr>
        <w:spacing w:after="0" w:line="360" w:lineRule="auto"/>
        <w:jc w:val="both"/>
        <w:rPr>
          <w:rFonts w:cs="David"/>
          <w:sz w:val="28"/>
          <w:szCs w:val="28"/>
          <w:rtl/>
        </w:rPr>
      </w:pPr>
      <w:r w:rsidRPr="0004711E">
        <w:rPr>
          <w:rFonts w:cs="David" w:hint="cs"/>
          <w:sz w:val="28"/>
          <w:szCs w:val="28"/>
          <w:rtl/>
        </w:rPr>
        <w:t>מדינת ישראל אינה יכולה להישאר פסיבית</w:t>
      </w:r>
      <w:r w:rsidR="00BC29B2" w:rsidRPr="0004711E">
        <w:rPr>
          <w:rFonts w:cs="David" w:hint="cs"/>
          <w:sz w:val="28"/>
          <w:szCs w:val="28"/>
          <w:rtl/>
        </w:rPr>
        <w:t xml:space="preserve"> בעניין זה</w:t>
      </w:r>
      <w:r w:rsidRPr="0004711E">
        <w:rPr>
          <w:rFonts w:cs="David" w:hint="cs"/>
          <w:sz w:val="28"/>
          <w:szCs w:val="28"/>
          <w:rtl/>
        </w:rPr>
        <w:t xml:space="preserve">. עליה ליטול יוזמה ולהשפיע על התפתחות המשפט הבינלאומי באופן שתואם את האתגרים הייחודיים שלה. </w:t>
      </w:r>
      <w:r w:rsidR="00BC29B2" w:rsidRPr="0004711E">
        <w:rPr>
          <w:rFonts w:cs="David" w:hint="cs"/>
          <w:sz w:val="28"/>
          <w:szCs w:val="28"/>
          <w:rtl/>
        </w:rPr>
        <w:t>בוודאי ש</w:t>
      </w:r>
      <w:r w:rsidR="00B97654">
        <w:rPr>
          <w:rFonts w:cs="David" w:hint="cs"/>
          <w:sz w:val="28"/>
          <w:szCs w:val="28"/>
          <w:rtl/>
        </w:rPr>
        <w:t xml:space="preserve">ככלל </w:t>
      </w:r>
      <w:r w:rsidR="00BC29B2" w:rsidRPr="0004711E">
        <w:rPr>
          <w:rFonts w:cs="David" w:hint="cs"/>
          <w:sz w:val="28"/>
          <w:szCs w:val="28"/>
          <w:rtl/>
        </w:rPr>
        <w:t xml:space="preserve">עליה </w:t>
      </w:r>
      <w:r w:rsidR="00B97654">
        <w:rPr>
          <w:rFonts w:cs="David" w:hint="cs"/>
          <w:sz w:val="28"/>
          <w:szCs w:val="28"/>
          <w:rtl/>
        </w:rPr>
        <w:t xml:space="preserve">לשאוף </w:t>
      </w:r>
      <w:r w:rsidR="00BC29B2" w:rsidRPr="0004711E">
        <w:rPr>
          <w:rFonts w:cs="David" w:hint="cs"/>
          <w:sz w:val="28"/>
          <w:szCs w:val="28"/>
          <w:rtl/>
        </w:rPr>
        <w:t>לעשות כן בכל פורום</w:t>
      </w:r>
      <w:r w:rsidR="00F62BE3">
        <w:rPr>
          <w:rFonts w:cs="David" w:hint="cs"/>
          <w:sz w:val="28"/>
          <w:szCs w:val="28"/>
          <w:rtl/>
        </w:rPr>
        <w:t>,</w:t>
      </w:r>
      <w:r w:rsidR="00BC29B2" w:rsidRPr="0004711E">
        <w:rPr>
          <w:rFonts w:cs="David" w:hint="cs"/>
          <w:sz w:val="28"/>
          <w:szCs w:val="28"/>
          <w:rtl/>
        </w:rPr>
        <w:t xml:space="preserve"> שבו היא יכולה להציג את </w:t>
      </w:r>
      <w:r w:rsidR="00BC29B2" w:rsidRPr="0004711E">
        <w:rPr>
          <w:rFonts w:cs="David" w:hint="cs"/>
          <w:sz w:val="28"/>
          <w:szCs w:val="28"/>
          <w:rtl/>
        </w:rPr>
        <w:lastRenderedPageBreak/>
        <w:t xml:space="preserve">עמדותיה, ובדיקות שמקוימות </w:t>
      </w:r>
      <w:r w:rsidR="00692192">
        <w:rPr>
          <w:rFonts w:cs="David" w:hint="cs"/>
          <w:sz w:val="28"/>
          <w:szCs w:val="28"/>
          <w:rtl/>
        </w:rPr>
        <w:t>על ידי</w:t>
      </w:r>
      <w:r w:rsidR="00BC29B2" w:rsidRPr="0004711E">
        <w:rPr>
          <w:rFonts w:cs="David" w:hint="cs"/>
          <w:sz w:val="28"/>
          <w:szCs w:val="28"/>
          <w:rtl/>
        </w:rPr>
        <w:t xml:space="preserve"> </w:t>
      </w:r>
      <w:r w:rsidR="0074404A">
        <w:rPr>
          <w:rFonts w:cs="David" w:hint="cs"/>
          <w:sz w:val="28"/>
          <w:szCs w:val="28"/>
          <w:rtl/>
        </w:rPr>
        <w:t>ועדות</w:t>
      </w:r>
      <w:r w:rsidR="00BC29B2" w:rsidRPr="0004711E">
        <w:rPr>
          <w:rFonts w:cs="David" w:hint="cs"/>
          <w:sz w:val="28"/>
          <w:szCs w:val="28"/>
          <w:rtl/>
        </w:rPr>
        <w:t xml:space="preserve"> בינלאומיים אינן שונות לעניין זה. </w:t>
      </w:r>
      <w:r w:rsidRPr="0004711E">
        <w:rPr>
          <w:rFonts w:cs="David" w:hint="cs"/>
          <w:sz w:val="28"/>
          <w:szCs w:val="28"/>
          <w:rtl/>
        </w:rPr>
        <w:t>מאחר שמדינת ישראל היא אחת המדינות הבודדות בעולם</w:t>
      </w:r>
      <w:r w:rsidR="00F62BE3">
        <w:rPr>
          <w:rFonts w:cs="David" w:hint="cs"/>
          <w:sz w:val="28"/>
          <w:szCs w:val="28"/>
          <w:rtl/>
        </w:rPr>
        <w:t>,</w:t>
      </w:r>
      <w:r w:rsidRPr="0004711E">
        <w:rPr>
          <w:rFonts w:cs="David" w:hint="cs"/>
          <w:sz w:val="28"/>
          <w:szCs w:val="28"/>
          <w:rtl/>
        </w:rPr>
        <w:t xml:space="preserve"> שנמצאת כמעט תמיד בעימות מזוין וגם נלחמת לפי כללי המשפט הבינלאומי, יש </w:t>
      </w:r>
      <w:r w:rsidR="00B668D4" w:rsidRPr="0004711E">
        <w:rPr>
          <w:rFonts w:cs="David" w:hint="cs"/>
          <w:sz w:val="28"/>
          <w:szCs w:val="28"/>
          <w:rtl/>
        </w:rPr>
        <w:t xml:space="preserve">ערך מיוחד לפרקטיקות ולעמדות המשפטיות שלה בתחום דיני הלחימה, </w:t>
      </w:r>
      <w:r w:rsidR="00AD185B" w:rsidRPr="0004711E">
        <w:rPr>
          <w:rFonts w:cs="David" w:hint="cs"/>
          <w:sz w:val="28"/>
          <w:szCs w:val="28"/>
          <w:rtl/>
        </w:rPr>
        <w:t xml:space="preserve">ויש </w:t>
      </w:r>
      <w:r w:rsidRPr="0004711E">
        <w:rPr>
          <w:rFonts w:cs="David" w:hint="cs"/>
          <w:sz w:val="28"/>
          <w:szCs w:val="28"/>
          <w:rtl/>
        </w:rPr>
        <w:t xml:space="preserve">חשיבות מיוחדת לכך שהיא תיתן </w:t>
      </w:r>
      <w:r w:rsidR="00AD185B" w:rsidRPr="0004711E">
        <w:rPr>
          <w:rFonts w:cs="David" w:hint="cs"/>
          <w:sz w:val="28"/>
          <w:szCs w:val="28"/>
          <w:rtl/>
        </w:rPr>
        <w:t xml:space="preserve">להן </w:t>
      </w:r>
      <w:r w:rsidRPr="0004711E">
        <w:rPr>
          <w:rFonts w:cs="David" w:hint="cs"/>
          <w:sz w:val="28"/>
          <w:szCs w:val="28"/>
          <w:rtl/>
        </w:rPr>
        <w:t>פומבי, גם כאשר פרשנות</w:t>
      </w:r>
      <w:r w:rsidR="00AD185B" w:rsidRPr="0004711E">
        <w:rPr>
          <w:rFonts w:cs="David" w:hint="cs"/>
          <w:sz w:val="28"/>
          <w:szCs w:val="28"/>
          <w:rtl/>
        </w:rPr>
        <w:t>ה</w:t>
      </w:r>
      <w:r w:rsidRPr="0004711E">
        <w:rPr>
          <w:rFonts w:cs="David" w:hint="cs"/>
          <w:sz w:val="28"/>
          <w:szCs w:val="28"/>
          <w:rtl/>
        </w:rPr>
        <w:t xml:space="preserve"> </w:t>
      </w:r>
      <w:r w:rsidR="00AD185B" w:rsidRPr="0004711E">
        <w:rPr>
          <w:rFonts w:cs="David" w:hint="cs"/>
          <w:sz w:val="28"/>
          <w:szCs w:val="28"/>
          <w:rtl/>
        </w:rPr>
        <w:t xml:space="preserve">למשפט הבינלאומי בהקשרים אלה </w:t>
      </w:r>
      <w:r w:rsidRPr="0004711E">
        <w:rPr>
          <w:rFonts w:cs="David" w:hint="cs"/>
          <w:sz w:val="28"/>
          <w:szCs w:val="28"/>
          <w:rtl/>
        </w:rPr>
        <w:t xml:space="preserve">שונה מהמקובל בשאר העולם. הוכח לא אחת בעבר, </w:t>
      </w:r>
      <w:r w:rsidR="00BC29B2" w:rsidRPr="0004711E">
        <w:rPr>
          <w:rFonts w:cs="David" w:hint="cs"/>
          <w:sz w:val="28"/>
          <w:szCs w:val="28"/>
          <w:rtl/>
        </w:rPr>
        <w:t xml:space="preserve">שהצגת העמדה הישראלית באופן מנומק ומשכנע </w:t>
      </w:r>
      <w:r w:rsidRPr="0004711E">
        <w:rPr>
          <w:rFonts w:cs="David" w:hint="cs"/>
          <w:sz w:val="28"/>
          <w:szCs w:val="28"/>
          <w:rtl/>
        </w:rPr>
        <w:t>לאורך</w:t>
      </w:r>
      <w:r w:rsidR="00BC29B2" w:rsidRPr="0004711E">
        <w:rPr>
          <w:rFonts w:cs="David" w:hint="cs"/>
          <w:sz w:val="28"/>
          <w:szCs w:val="28"/>
          <w:rtl/>
        </w:rPr>
        <w:t xml:space="preserve"> זמן מקנה לה לגיטימציה ואף זוכה לחיקוי </w:t>
      </w:r>
      <w:r w:rsidR="00692192">
        <w:rPr>
          <w:rFonts w:cs="David" w:hint="cs"/>
          <w:sz w:val="28"/>
          <w:szCs w:val="28"/>
          <w:rtl/>
        </w:rPr>
        <w:t>על ידי</w:t>
      </w:r>
      <w:r w:rsidR="00BC29B2" w:rsidRPr="0004711E">
        <w:rPr>
          <w:rFonts w:cs="David" w:hint="cs"/>
          <w:sz w:val="28"/>
          <w:szCs w:val="28"/>
          <w:rtl/>
        </w:rPr>
        <w:t xml:space="preserve"> מדינות מובילות אחרות. </w:t>
      </w:r>
    </w:p>
    <w:p w:rsidR="00BC29B2" w:rsidRPr="0004711E" w:rsidRDefault="00BC29B2" w:rsidP="008B316C">
      <w:pPr>
        <w:spacing w:after="0" w:line="360" w:lineRule="auto"/>
        <w:jc w:val="both"/>
        <w:rPr>
          <w:rFonts w:cs="David"/>
          <w:sz w:val="28"/>
          <w:szCs w:val="28"/>
          <w:rtl/>
        </w:rPr>
      </w:pPr>
    </w:p>
    <w:p w:rsidR="002258B6" w:rsidRPr="0004711E" w:rsidRDefault="002011E9" w:rsidP="002011E9">
      <w:pPr>
        <w:spacing w:after="0" w:line="360" w:lineRule="auto"/>
        <w:jc w:val="both"/>
        <w:rPr>
          <w:rFonts w:cs="David"/>
          <w:sz w:val="28"/>
          <w:szCs w:val="28"/>
          <w:rtl/>
        </w:rPr>
      </w:pPr>
      <w:r>
        <w:rPr>
          <w:rFonts w:cs="David" w:hint="cs"/>
          <w:sz w:val="28"/>
          <w:szCs w:val="28"/>
          <w:rtl/>
        </w:rPr>
        <w:t>דוגמה לאימוץ העמדה הישראלית, אפשר למצוא ב</w:t>
      </w:r>
      <w:r w:rsidR="00BC29B2" w:rsidRPr="0004711E">
        <w:rPr>
          <w:rFonts w:cs="David" w:hint="cs"/>
          <w:sz w:val="28"/>
          <w:szCs w:val="28"/>
          <w:rtl/>
        </w:rPr>
        <w:t>פרקטיקה של ישראל לביצוע סיכולים ממוקדים, שאף הובאה לפתחו של בית הדין הגבוה לצדק, שכתב את פסק הדין הראשון בעולם בסוגיה רגישה זו</w:t>
      </w:r>
      <w:r w:rsidR="00BC29B2" w:rsidRPr="0004711E">
        <w:rPr>
          <w:rStyle w:val="a7"/>
          <w:rFonts w:cs="David"/>
          <w:sz w:val="28"/>
          <w:szCs w:val="28"/>
          <w:rtl/>
        </w:rPr>
        <w:footnoteReference w:id="130"/>
      </w:r>
      <w:r w:rsidR="00BC29B2" w:rsidRPr="0004711E">
        <w:rPr>
          <w:rFonts w:cs="David" w:hint="cs"/>
          <w:sz w:val="28"/>
          <w:szCs w:val="28"/>
          <w:rtl/>
        </w:rPr>
        <w:t>. פסק דין זה היה חדשני וייחודי</w:t>
      </w:r>
      <w:r w:rsidR="00B668D4" w:rsidRPr="0004711E">
        <w:rPr>
          <w:rFonts w:cs="David" w:hint="cs"/>
          <w:sz w:val="28"/>
          <w:szCs w:val="28"/>
          <w:rtl/>
        </w:rPr>
        <w:t xml:space="preserve"> ו</w:t>
      </w:r>
      <w:r w:rsidR="00BC29B2" w:rsidRPr="0004711E">
        <w:rPr>
          <w:rFonts w:cs="David" w:hint="cs"/>
          <w:sz w:val="28"/>
          <w:szCs w:val="28"/>
          <w:rtl/>
        </w:rPr>
        <w:t xml:space="preserve">אישר את הפרקטיקה הנהוגה </w:t>
      </w:r>
      <w:r w:rsidR="00692192">
        <w:rPr>
          <w:rFonts w:cs="David" w:hint="cs"/>
          <w:sz w:val="28"/>
          <w:szCs w:val="28"/>
          <w:rtl/>
        </w:rPr>
        <w:t>על ידי</w:t>
      </w:r>
      <w:r w:rsidR="00BC29B2" w:rsidRPr="0004711E">
        <w:rPr>
          <w:rFonts w:cs="David" w:hint="cs"/>
          <w:sz w:val="28"/>
          <w:szCs w:val="28"/>
          <w:rtl/>
        </w:rPr>
        <w:t xml:space="preserve"> מדינת ישראל </w:t>
      </w:r>
      <w:r w:rsidR="00F62BE3">
        <w:rPr>
          <w:rFonts w:cs="David" w:hint="cs"/>
          <w:sz w:val="28"/>
          <w:szCs w:val="28"/>
          <w:rtl/>
        </w:rPr>
        <w:t>ב</w:t>
      </w:r>
      <w:r w:rsidR="00BC29B2" w:rsidRPr="0004711E">
        <w:rPr>
          <w:rFonts w:cs="David" w:hint="cs"/>
          <w:sz w:val="28"/>
          <w:szCs w:val="28"/>
          <w:rtl/>
        </w:rPr>
        <w:t>עניין זה</w:t>
      </w:r>
      <w:r w:rsidR="00B668D4" w:rsidRPr="0004711E">
        <w:rPr>
          <w:rFonts w:cs="David" w:hint="cs"/>
          <w:sz w:val="28"/>
          <w:szCs w:val="28"/>
          <w:rtl/>
        </w:rPr>
        <w:t>.</w:t>
      </w:r>
      <w:r w:rsidR="00BC29B2" w:rsidRPr="0004711E">
        <w:rPr>
          <w:rFonts w:cs="David" w:hint="cs"/>
          <w:sz w:val="28"/>
          <w:szCs w:val="28"/>
          <w:rtl/>
        </w:rPr>
        <w:t xml:space="preserve"> גם אם זכה </w:t>
      </w:r>
      <w:r w:rsidR="00B668D4" w:rsidRPr="0004711E">
        <w:rPr>
          <w:rFonts w:cs="David" w:hint="cs"/>
          <w:sz w:val="28"/>
          <w:szCs w:val="28"/>
          <w:rtl/>
        </w:rPr>
        <w:t xml:space="preserve">פסק הדין </w:t>
      </w:r>
      <w:r w:rsidR="00BC29B2" w:rsidRPr="0004711E">
        <w:rPr>
          <w:rFonts w:cs="David" w:hint="cs"/>
          <w:sz w:val="28"/>
          <w:szCs w:val="28"/>
          <w:rtl/>
        </w:rPr>
        <w:t>לביקורת בינלאומית בתחילת הדרך, הוא זוכה היום להכרה בינלאומית רחבה</w:t>
      </w:r>
      <w:r w:rsidR="00B668D4" w:rsidRPr="0004711E">
        <w:rPr>
          <w:rFonts w:cs="David" w:hint="cs"/>
          <w:sz w:val="28"/>
          <w:szCs w:val="28"/>
          <w:rtl/>
        </w:rPr>
        <w:t>,</w:t>
      </w:r>
      <w:r w:rsidR="00BC29B2" w:rsidRPr="0004711E">
        <w:rPr>
          <w:rFonts w:cs="David" w:hint="cs"/>
          <w:sz w:val="28"/>
          <w:szCs w:val="28"/>
          <w:rtl/>
        </w:rPr>
        <w:t xml:space="preserve"> שאף הובילה מדינות </w:t>
      </w:r>
      <w:r w:rsidR="00B668D4" w:rsidRPr="0004711E">
        <w:rPr>
          <w:rFonts w:cs="David" w:hint="cs"/>
          <w:sz w:val="28"/>
          <w:szCs w:val="28"/>
          <w:rtl/>
        </w:rPr>
        <w:t xml:space="preserve">מובילות </w:t>
      </w:r>
      <w:r w:rsidR="00BC29B2" w:rsidRPr="0004711E">
        <w:rPr>
          <w:rFonts w:cs="David" w:hint="cs"/>
          <w:sz w:val="28"/>
          <w:szCs w:val="28"/>
          <w:rtl/>
        </w:rPr>
        <w:t xml:space="preserve">אחרות כמו ארצות הברית ובריטניה לאמץ </w:t>
      </w:r>
      <w:r w:rsidR="00F62BE3">
        <w:rPr>
          <w:rFonts w:cs="David" w:hint="cs"/>
          <w:sz w:val="28"/>
          <w:szCs w:val="28"/>
          <w:rtl/>
        </w:rPr>
        <w:t>אותה</w:t>
      </w:r>
      <w:r w:rsidR="00BC29B2" w:rsidRPr="0004711E">
        <w:rPr>
          <w:rFonts w:cs="David" w:hint="cs"/>
          <w:sz w:val="28"/>
          <w:szCs w:val="28"/>
          <w:rtl/>
        </w:rPr>
        <w:t>. זו</w:t>
      </w:r>
      <w:r w:rsidR="00F62BE3">
        <w:rPr>
          <w:rFonts w:cs="David" w:hint="cs"/>
          <w:sz w:val="28"/>
          <w:szCs w:val="28"/>
          <w:rtl/>
        </w:rPr>
        <w:t>הי</w:t>
      </w:r>
      <w:r w:rsidR="00BC29B2" w:rsidRPr="0004711E">
        <w:rPr>
          <w:rFonts w:cs="David" w:hint="cs"/>
          <w:sz w:val="28"/>
          <w:szCs w:val="28"/>
          <w:rtl/>
        </w:rPr>
        <w:t xml:space="preserve"> הוכחה לכך שעמידה איתנה של מדינת ישראל על פרשנותה למשפט הבינלאומי ונכונות להביא את הסוגיה לבחינה של הערכאה השיפוטית הגבוהה ביותר במדינה מזכה את המדינה בלגיטימציה משפטית בינלאומית לפרקטיקה שזכתה לביקורת רבה בתחילת הדרך.</w:t>
      </w:r>
    </w:p>
    <w:p w:rsidR="00BC29B2" w:rsidRPr="0004711E" w:rsidRDefault="00BC29B2" w:rsidP="008B316C">
      <w:pPr>
        <w:spacing w:after="0" w:line="360" w:lineRule="auto"/>
        <w:jc w:val="both"/>
        <w:rPr>
          <w:rFonts w:cs="David"/>
          <w:sz w:val="28"/>
          <w:szCs w:val="28"/>
          <w:rtl/>
        </w:rPr>
      </w:pPr>
    </w:p>
    <w:p w:rsidR="00BC29B2" w:rsidRPr="0004711E" w:rsidRDefault="00BC29B2" w:rsidP="00F62BE3">
      <w:pPr>
        <w:spacing w:after="0" w:line="360" w:lineRule="auto"/>
        <w:jc w:val="both"/>
        <w:rPr>
          <w:rFonts w:cs="David"/>
          <w:sz w:val="28"/>
          <w:szCs w:val="28"/>
          <w:rtl/>
        </w:rPr>
      </w:pPr>
      <w:r w:rsidRPr="0004711E">
        <w:rPr>
          <w:rFonts w:cs="David" w:hint="cs"/>
          <w:sz w:val="28"/>
          <w:szCs w:val="28"/>
          <w:rtl/>
        </w:rPr>
        <w:t xml:space="preserve">דוגמה נוספת </w:t>
      </w:r>
      <w:r w:rsidR="002011E9">
        <w:rPr>
          <w:rFonts w:cs="David" w:hint="cs"/>
          <w:sz w:val="28"/>
          <w:szCs w:val="28"/>
          <w:rtl/>
        </w:rPr>
        <w:t xml:space="preserve">לכך </w:t>
      </w:r>
      <w:r w:rsidRPr="0004711E">
        <w:rPr>
          <w:rFonts w:cs="David" w:hint="cs"/>
          <w:sz w:val="28"/>
          <w:szCs w:val="28"/>
          <w:rtl/>
        </w:rPr>
        <w:t>היא הפרקטיקה של מדינת ישראל לנקוט אמצעי זהירות לפני תקיפה שעלולה לגרום לפגיעה באזרחים באמצעות הפרוצדורה שזכת</w:t>
      </w:r>
      <w:r w:rsidR="00B668D4" w:rsidRPr="0004711E">
        <w:rPr>
          <w:rFonts w:cs="David" w:hint="cs"/>
          <w:sz w:val="28"/>
          <w:szCs w:val="28"/>
          <w:rtl/>
        </w:rPr>
        <w:t>ה לשם "הקש בגג". גם פרוצדורה זו</w:t>
      </w:r>
      <w:r w:rsidRPr="0004711E">
        <w:rPr>
          <w:rFonts w:cs="David" w:hint="cs"/>
          <w:sz w:val="28"/>
          <w:szCs w:val="28"/>
          <w:rtl/>
        </w:rPr>
        <w:t xml:space="preserve"> זכתה לביקורת בינלאומית</w:t>
      </w:r>
      <w:r w:rsidR="00B668D4" w:rsidRPr="0004711E">
        <w:rPr>
          <w:rFonts w:cs="David" w:hint="cs"/>
          <w:sz w:val="28"/>
          <w:szCs w:val="28"/>
          <w:rtl/>
        </w:rPr>
        <w:t>, חרף העובדה שהיא נועדה להציל חיים</w:t>
      </w:r>
      <w:r w:rsidR="000D214A" w:rsidRPr="0004711E">
        <w:rPr>
          <w:rStyle w:val="a7"/>
          <w:rFonts w:cs="David"/>
          <w:sz w:val="28"/>
          <w:szCs w:val="28"/>
          <w:rtl/>
        </w:rPr>
        <w:footnoteReference w:id="131"/>
      </w:r>
      <w:r w:rsidR="000D214A" w:rsidRPr="0004711E">
        <w:rPr>
          <w:rFonts w:cs="David" w:hint="cs"/>
          <w:sz w:val="28"/>
          <w:szCs w:val="28"/>
          <w:rtl/>
        </w:rPr>
        <w:t xml:space="preserve">. לאחר שנים בהן הציגה מדינת ישראל את הפרקטיקה הזו בכל רחבי העולם, </w:t>
      </w:r>
      <w:r w:rsidR="00F62BE3">
        <w:rPr>
          <w:rFonts w:cs="David" w:hint="cs"/>
          <w:sz w:val="28"/>
          <w:szCs w:val="28"/>
          <w:rtl/>
        </w:rPr>
        <w:t>פורסם</w:t>
      </w:r>
      <w:r w:rsidR="00F62BE3" w:rsidRPr="0004711E">
        <w:rPr>
          <w:rFonts w:cs="David" w:hint="cs"/>
          <w:sz w:val="28"/>
          <w:szCs w:val="28"/>
          <w:rtl/>
        </w:rPr>
        <w:t xml:space="preserve"> </w:t>
      </w:r>
      <w:r w:rsidR="000D214A" w:rsidRPr="0004711E">
        <w:rPr>
          <w:rFonts w:cs="David" w:hint="cs"/>
          <w:sz w:val="28"/>
          <w:szCs w:val="28"/>
          <w:rtl/>
        </w:rPr>
        <w:t>לאחרונה בתקשורת שגם האמריקאים החלו לעשות שימוש באותה הפרקטיקה ממש, תוך ציון שלמדו א</w:t>
      </w:r>
      <w:r w:rsidR="00F62BE3">
        <w:rPr>
          <w:rFonts w:cs="David" w:hint="cs"/>
          <w:sz w:val="28"/>
          <w:szCs w:val="28"/>
          <w:rtl/>
        </w:rPr>
        <w:t>ו</w:t>
      </w:r>
      <w:r w:rsidR="000D214A" w:rsidRPr="0004711E">
        <w:rPr>
          <w:rFonts w:cs="David" w:hint="cs"/>
          <w:sz w:val="28"/>
          <w:szCs w:val="28"/>
          <w:rtl/>
        </w:rPr>
        <w:t>תה ממדינת ישראל</w:t>
      </w:r>
      <w:r w:rsidR="000D214A" w:rsidRPr="0004711E">
        <w:rPr>
          <w:rStyle w:val="a7"/>
          <w:rFonts w:cs="David"/>
          <w:sz w:val="28"/>
          <w:szCs w:val="28"/>
          <w:rtl/>
        </w:rPr>
        <w:footnoteReference w:id="132"/>
      </w:r>
      <w:r w:rsidR="000D214A" w:rsidRPr="0004711E">
        <w:rPr>
          <w:rFonts w:cs="David" w:hint="cs"/>
          <w:sz w:val="28"/>
          <w:szCs w:val="28"/>
          <w:rtl/>
        </w:rPr>
        <w:t>.</w:t>
      </w:r>
    </w:p>
    <w:p w:rsidR="00FB3837" w:rsidRPr="0004711E" w:rsidRDefault="00FB3837" w:rsidP="008B316C">
      <w:pPr>
        <w:spacing w:after="0" w:line="360" w:lineRule="auto"/>
        <w:jc w:val="both"/>
        <w:rPr>
          <w:rFonts w:cs="David"/>
          <w:sz w:val="28"/>
          <w:szCs w:val="28"/>
          <w:rtl/>
        </w:rPr>
      </w:pPr>
    </w:p>
    <w:p w:rsidR="00FB3837" w:rsidRPr="0004711E" w:rsidRDefault="00FB3837" w:rsidP="00B2066F">
      <w:pPr>
        <w:spacing w:after="0" w:line="360" w:lineRule="auto"/>
        <w:jc w:val="both"/>
        <w:rPr>
          <w:rFonts w:cs="David"/>
          <w:sz w:val="28"/>
          <w:szCs w:val="28"/>
          <w:rtl/>
        </w:rPr>
      </w:pPr>
      <w:r w:rsidRPr="0004711E">
        <w:rPr>
          <w:rFonts w:cs="David" w:hint="cs"/>
          <w:sz w:val="28"/>
          <w:szCs w:val="28"/>
          <w:rtl/>
        </w:rPr>
        <w:t xml:space="preserve">מחקר הצלב האדום על המשפט הבינלאומי ההומניטארי המנהגי, אשר סוקר פרקטיקות של מדינות העולם ביחס לכללים שונים בלחימה, מתייחס בהרחבה גם </w:t>
      </w:r>
      <w:r w:rsidRPr="0004711E">
        <w:rPr>
          <w:rFonts w:cs="David" w:hint="cs"/>
          <w:sz w:val="28"/>
          <w:szCs w:val="28"/>
          <w:rtl/>
        </w:rPr>
        <w:lastRenderedPageBreak/>
        <w:t>לפרקטיקות של מדינת ישראל</w:t>
      </w:r>
      <w:r w:rsidRPr="0004711E">
        <w:rPr>
          <w:rStyle w:val="a7"/>
          <w:rFonts w:cs="David"/>
          <w:sz w:val="28"/>
          <w:szCs w:val="28"/>
          <w:rtl/>
        </w:rPr>
        <w:footnoteReference w:id="133"/>
      </w:r>
      <w:r w:rsidRPr="0004711E">
        <w:rPr>
          <w:rFonts w:cs="David" w:hint="cs"/>
          <w:sz w:val="28"/>
          <w:szCs w:val="28"/>
          <w:rtl/>
        </w:rPr>
        <w:t xml:space="preserve">. במסגרת זו, ניתן למצוא הפניות למדריכים שמפרסם צה"ל, לפסיקה של בית המשפט העליון, לדוחות שפרסמה מדינת ישראל בעקבות המבצעים "עופרת יצוקה" ו"צוק איתן", לניירות עמדה שמפרסמת המדינה במסגרת </w:t>
      </w:r>
      <w:r w:rsidR="009F6ED1">
        <w:rPr>
          <w:rFonts w:cs="David" w:hint="cs"/>
          <w:sz w:val="28"/>
          <w:szCs w:val="28"/>
          <w:rtl/>
        </w:rPr>
        <w:t xml:space="preserve">ועדות חקירה </w:t>
      </w:r>
      <w:r w:rsidRPr="0004711E">
        <w:rPr>
          <w:rFonts w:cs="David" w:hint="cs"/>
          <w:sz w:val="28"/>
          <w:szCs w:val="28"/>
          <w:rtl/>
        </w:rPr>
        <w:t xml:space="preserve">ובתגובה לדוחות של </w:t>
      </w:r>
      <w:r w:rsidR="009F6ED1">
        <w:rPr>
          <w:rFonts w:cs="David" w:hint="cs"/>
          <w:sz w:val="28"/>
          <w:szCs w:val="28"/>
          <w:rtl/>
        </w:rPr>
        <w:t>ועדות חקירה</w:t>
      </w:r>
      <w:r w:rsidR="00090D56">
        <w:rPr>
          <w:rFonts w:cs="David" w:hint="cs"/>
          <w:sz w:val="28"/>
          <w:szCs w:val="28"/>
          <w:rtl/>
        </w:rPr>
        <w:t>,</w:t>
      </w:r>
      <w:r w:rsidRPr="0004711E">
        <w:rPr>
          <w:rFonts w:cs="David" w:hint="cs"/>
          <w:sz w:val="28"/>
          <w:szCs w:val="28"/>
          <w:rtl/>
        </w:rPr>
        <w:t xml:space="preserve"> להצהרות של נציגי הממשלה בכנסת, להודעות דיפלומטיות, לדוחות שמגישה המדינה לגופי אמנות זכויות אדם ועוד. ניתן לראות, כי יש ערך רב </w:t>
      </w:r>
      <w:r w:rsidR="00C56D9E" w:rsidRPr="0004711E">
        <w:rPr>
          <w:rFonts w:cs="David" w:hint="cs"/>
          <w:sz w:val="28"/>
          <w:szCs w:val="28"/>
          <w:rtl/>
        </w:rPr>
        <w:t>לעמדות פומביות של המדינה בדבר הפרשנות שלה לדין הבינלאומי והציות שלה לדין הבינלאומי. עמדות כאלה מתפרסמות באופן רחב ו</w:t>
      </w:r>
      <w:r w:rsidR="00B2066F" w:rsidRPr="0004711E">
        <w:rPr>
          <w:rFonts w:cs="David" w:hint="cs"/>
          <w:sz w:val="28"/>
          <w:szCs w:val="28"/>
          <w:rtl/>
        </w:rPr>
        <w:t xml:space="preserve">משפיעות </w:t>
      </w:r>
      <w:r w:rsidR="00C56D9E" w:rsidRPr="0004711E">
        <w:rPr>
          <w:rFonts w:cs="David" w:hint="cs"/>
          <w:sz w:val="28"/>
          <w:szCs w:val="28"/>
          <w:rtl/>
        </w:rPr>
        <w:t xml:space="preserve">לאורך זמן על התפתחות המשפט הבינלאומי באופן שמסייע בהתמודדות עם האתגרים המבצעיים המיוחדים </w:t>
      </w:r>
      <w:r w:rsidR="00B2066F">
        <w:rPr>
          <w:rFonts w:cs="David" w:hint="cs"/>
          <w:sz w:val="28"/>
          <w:szCs w:val="28"/>
          <w:rtl/>
        </w:rPr>
        <w:t xml:space="preserve">של </w:t>
      </w:r>
      <w:r w:rsidR="00C56D9E" w:rsidRPr="0004711E">
        <w:rPr>
          <w:rFonts w:cs="David" w:hint="cs"/>
          <w:sz w:val="28"/>
          <w:szCs w:val="28"/>
          <w:rtl/>
        </w:rPr>
        <w:t>המדינה מול אויביה.</w:t>
      </w:r>
    </w:p>
    <w:p w:rsidR="00635A0A" w:rsidRPr="0004711E" w:rsidRDefault="00635A0A" w:rsidP="008B316C">
      <w:pPr>
        <w:spacing w:after="0" w:line="360" w:lineRule="auto"/>
        <w:jc w:val="both"/>
        <w:rPr>
          <w:rFonts w:cs="David"/>
          <w:sz w:val="28"/>
          <w:szCs w:val="28"/>
          <w:rtl/>
        </w:rPr>
      </w:pPr>
    </w:p>
    <w:p w:rsidR="00635A0A" w:rsidRPr="0004711E" w:rsidRDefault="00B668D4" w:rsidP="009830FC">
      <w:pPr>
        <w:spacing w:after="0" w:line="360" w:lineRule="auto"/>
        <w:jc w:val="both"/>
        <w:rPr>
          <w:rFonts w:cs="David"/>
          <w:sz w:val="28"/>
          <w:szCs w:val="28"/>
          <w:rtl/>
        </w:rPr>
      </w:pPr>
      <w:r w:rsidRPr="0004711E">
        <w:rPr>
          <w:rFonts w:cs="David" w:hint="cs"/>
          <w:sz w:val="28"/>
          <w:szCs w:val="28"/>
          <w:rtl/>
        </w:rPr>
        <w:t xml:space="preserve">לסיכום חלק זה, ניתן לומר ששיתוף פעולה עם </w:t>
      </w:r>
      <w:r w:rsidR="009C039C">
        <w:rPr>
          <w:rFonts w:cs="David" w:hint="cs"/>
          <w:sz w:val="28"/>
          <w:szCs w:val="28"/>
          <w:rtl/>
        </w:rPr>
        <w:t>ועדות חקירה בינלאומיות</w:t>
      </w:r>
      <w:r w:rsidRPr="0004711E">
        <w:rPr>
          <w:rFonts w:cs="David" w:hint="cs"/>
          <w:sz w:val="28"/>
          <w:szCs w:val="28"/>
          <w:rtl/>
        </w:rPr>
        <w:t xml:space="preserve"> מאפשר למדינת ישראל לתת פומבי לעמדותיה המשפטיות ובכך להביא לפיתוחו של המשפט הבינלאומי באופן שתואם את עמדתה</w:t>
      </w:r>
      <w:r w:rsidR="00B2066F">
        <w:rPr>
          <w:rFonts w:cs="David" w:hint="cs"/>
          <w:sz w:val="28"/>
          <w:szCs w:val="28"/>
          <w:rtl/>
        </w:rPr>
        <w:t xml:space="preserve"> ואת צרכיה המבצעיים והאחרים</w:t>
      </w:r>
      <w:r w:rsidRPr="0004711E">
        <w:rPr>
          <w:rFonts w:cs="David" w:hint="cs"/>
          <w:sz w:val="28"/>
          <w:szCs w:val="28"/>
          <w:rtl/>
        </w:rPr>
        <w:t xml:space="preserve"> ואשר מסייע לה בהתמודדות עם אתגריה.</w:t>
      </w:r>
      <w:r w:rsidR="00AD185B" w:rsidRPr="0004711E">
        <w:rPr>
          <w:rFonts w:cs="David" w:hint="cs"/>
          <w:sz w:val="28"/>
          <w:szCs w:val="28"/>
          <w:rtl/>
        </w:rPr>
        <w:t xml:space="preserve"> הימנעות מעשות כן, "מפקירה" את הזירה לגורמים אחרים שמציגים את עמדתם בפני </w:t>
      </w:r>
      <w:r w:rsidR="009C039C">
        <w:rPr>
          <w:rFonts w:cs="David" w:hint="cs"/>
          <w:sz w:val="28"/>
          <w:szCs w:val="28"/>
          <w:rtl/>
        </w:rPr>
        <w:t>ועדות החקירה</w:t>
      </w:r>
      <w:r w:rsidR="00AD185B" w:rsidRPr="0004711E">
        <w:rPr>
          <w:rFonts w:cs="David" w:hint="cs"/>
          <w:sz w:val="28"/>
          <w:szCs w:val="28"/>
          <w:rtl/>
        </w:rPr>
        <w:t>, ושהאינטרסים שלהם ופרשנותם למשפט הבינלאומי שונים ובדרך כלל אף מנוגדים לאלה של מדינת ישראל</w:t>
      </w:r>
      <w:r w:rsidR="00AD185B" w:rsidRPr="0004711E">
        <w:rPr>
          <w:rStyle w:val="a7"/>
          <w:rFonts w:cs="David"/>
          <w:sz w:val="28"/>
          <w:szCs w:val="28"/>
          <w:rtl/>
        </w:rPr>
        <w:footnoteReference w:id="134"/>
      </w:r>
      <w:r w:rsidR="00AD185B" w:rsidRPr="0004711E">
        <w:rPr>
          <w:rFonts w:cs="David" w:hint="cs"/>
          <w:sz w:val="28"/>
          <w:szCs w:val="28"/>
          <w:rtl/>
        </w:rPr>
        <w:t>.</w:t>
      </w:r>
      <w:r w:rsidR="009830FC">
        <w:rPr>
          <w:rFonts w:cs="David" w:hint="cs"/>
          <w:sz w:val="28"/>
          <w:szCs w:val="28"/>
          <w:rtl/>
        </w:rPr>
        <w:t xml:space="preserve"> היא גם מונעת מהמומחים המעולים למשפט בינלאומי שיש במדינת ישראל להשפיע על עיצוב המשפט הבינלאומי בהתאם לתפיסותיהם, כפי שגובשו על פי הניסיון הישראלי.</w:t>
      </w:r>
      <w:r w:rsidR="004D2C90">
        <w:rPr>
          <w:rFonts w:cs="David" w:hint="cs"/>
          <w:sz w:val="28"/>
          <w:szCs w:val="28"/>
          <w:rtl/>
        </w:rPr>
        <w:t xml:space="preserve"> מובן, כי לא תמיד יקבלו ועדות החקירה את הפרשנות הישראלית למשפט הבינלאומי, אך אין משמעות הדבר כי יש להימנע מהצגתה רק בשל החשש שלא תתקבל. אדרבא, יש חשיבות רבה להצגת העמדה הישראלית לאורך זמן ונקיטת מאמץ שכנוע ארוך טווח בעניינה בקרב הקהילה הבינלאומית.</w:t>
      </w:r>
    </w:p>
    <w:p w:rsidR="00A43062" w:rsidRPr="0004711E" w:rsidRDefault="00A43062" w:rsidP="008B316C">
      <w:pPr>
        <w:spacing w:after="0" w:line="360" w:lineRule="auto"/>
        <w:jc w:val="both"/>
        <w:rPr>
          <w:rFonts w:cs="David"/>
          <w:sz w:val="28"/>
          <w:szCs w:val="28"/>
          <w:rtl/>
        </w:rPr>
      </w:pPr>
    </w:p>
    <w:p w:rsidR="004D4BB2" w:rsidRPr="003D0069" w:rsidRDefault="00282E12" w:rsidP="003D0069">
      <w:pPr>
        <w:pStyle w:val="a9"/>
        <w:numPr>
          <w:ilvl w:val="0"/>
          <w:numId w:val="21"/>
        </w:numPr>
        <w:spacing w:after="0" w:line="360" w:lineRule="auto"/>
        <w:jc w:val="both"/>
        <w:outlineLvl w:val="1"/>
        <w:rPr>
          <w:rFonts w:cs="David"/>
          <w:b/>
          <w:bCs/>
          <w:sz w:val="28"/>
          <w:szCs w:val="28"/>
          <w:rtl/>
        </w:rPr>
      </w:pPr>
      <w:bookmarkStart w:id="25" w:name="_Toc456027305"/>
      <w:r w:rsidRPr="003D0069">
        <w:rPr>
          <w:rFonts w:cs="David" w:hint="cs"/>
          <w:b/>
          <w:bCs/>
          <w:sz w:val="28"/>
          <w:szCs w:val="28"/>
          <w:rtl/>
        </w:rPr>
        <w:t xml:space="preserve">השפעת דוחות של </w:t>
      </w:r>
      <w:r w:rsidR="009C039C" w:rsidRPr="003D0069">
        <w:rPr>
          <w:rFonts w:cs="David" w:hint="cs"/>
          <w:b/>
          <w:bCs/>
          <w:sz w:val="28"/>
          <w:szCs w:val="28"/>
          <w:rtl/>
        </w:rPr>
        <w:t>ועדות חקירה בינלאומיות</w:t>
      </w:r>
      <w:r w:rsidR="004D4BB2" w:rsidRPr="003D0069">
        <w:rPr>
          <w:rFonts w:cs="David" w:hint="cs"/>
          <w:b/>
          <w:bCs/>
          <w:sz w:val="28"/>
          <w:szCs w:val="28"/>
          <w:rtl/>
        </w:rPr>
        <w:t xml:space="preserve"> על </w:t>
      </w:r>
      <w:r w:rsidR="00B07BC3" w:rsidRPr="003D0069">
        <w:rPr>
          <w:rFonts w:cs="David" w:hint="cs"/>
          <w:b/>
          <w:bCs/>
          <w:sz w:val="28"/>
          <w:szCs w:val="28"/>
          <w:rtl/>
        </w:rPr>
        <w:t>הליכים פליליים בינלאומיים</w:t>
      </w:r>
      <w:bookmarkEnd w:id="25"/>
    </w:p>
    <w:p w:rsidR="004D4BB2" w:rsidRPr="0004711E" w:rsidRDefault="004D4BB2" w:rsidP="008B316C">
      <w:pPr>
        <w:spacing w:after="0" w:line="360" w:lineRule="auto"/>
        <w:jc w:val="both"/>
        <w:rPr>
          <w:rFonts w:cs="David"/>
          <w:sz w:val="28"/>
          <w:szCs w:val="28"/>
          <w:rtl/>
        </w:rPr>
      </w:pPr>
    </w:p>
    <w:p w:rsidR="004D4BB2" w:rsidRPr="0004711E" w:rsidRDefault="004D4BB2" w:rsidP="008B316C">
      <w:pPr>
        <w:spacing w:after="0" w:line="360" w:lineRule="auto"/>
        <w:jc w:val="both"/>
        <w:rPr>
          <w:rFonts w:cs="David"/>
          <w:sz w:val="28"/>
          <w:szCs w:val="28"/>
          <w:rtl/>
        </w:rPr>
      </w:pPr>
      <w:r w:rsidRPr="0004711E">
        <w:rPr>
          <w:rFonts w:cs="David" w:hint="cs"/>
          <w:sz w:val="28"/>
          <w:szCs w:val="28"/>
          <w:rtl/>
        </w:rPr>
        <w:t xml:space="preserve">שיקול נוסף, שקשור באופן ישיר גם לשיקול של </w:t>
      </w:r>
      <w:r w:rsidR="00DF64B9" w:rsidRPr="0004711E">
        <w:rPr>
          <w:rFonts w:cs="David" w:hint="cs"/>
          <w:sz w:val="28"/>
          <w:szCs w:val="28"/>
          <w:rtl/>
        </w:rPr>
        <w:t xml:space="preserve">הצגת הנרטיב הישראלי </w:t>
      </w:r>
      <w:r w:rsidR="00B07BC3" w:rsidRPr="0004711E">
        <w:rPr>
          <w:rFonts w:cs="David" w:hint="cs"/>
          <w:sz w:val="28"/>
          <w:szCs w:val="28"/>
          <w:rtl/>
        </w:rPr>
        <w:t>שנדון לעיל</w:t>
      </w:r>
      <w:r w:rsidRPr="0004711E">
        <w:rPr>
          <w:rFonts w:cs="David" w:hint="cs"/>
          <w:sz w:val="28"/>
          <w:szCs w:val="28"/>
          <w:rtl/>
        </w:rPr>
        <w:t xml:space="preserve">, אך </w:t>
      </w:r>
      <w:r w:rsidR="00B07BC3" w:rsidRPr="0004711E">
        <w:rPr>
          <w:rFonts w:cs="David" w:hint="cs"/>
          <w:sz w:val="28"/>
          <w:szCs w:val="28"/>
          <w:rtl/>
        </w:rPr>
        <w:t xml:space="preserve">בעת הזו </w:t>
      </w:r>
      <w:r w:rsidRPr="0004711E">
        <w:rPr>
          <w:rFonts w:cs="David" w:hint="cs"/>
          <w:sz w:val="28"/>
          <w:szCs w:val="28"/>
          <w:rtl/>
        </w:rPr>
        <w:t xml:space="preserve">יש לו גם </w:t>
      </w:r>
      <w:r w:rsidR="00DF64B9" w:rsidRPr="0004711E">
        <w:rPr>
          <w:rFonts w:cs="David" w:hint="cs"/>
          <w:sz w:val="28"/>
          <w:szCs w:val="28"/>
          <w:rtl/>
        </w:rPr>
        <w:t>היבטים נפרדים</w:t>
      </w:r>
      <w:r w:rsidR="00B07BC3" w:rsidRPr="0004711E">
        <w:rPr>
          <w:rFonts w:cs="David" w:hint="cs"/>
          <w:sz w:val="28"/>
          <w:szCs w:val="28"/>
          <w:rtl/>
        </w:rPr>
        <w:t xml:space="preserve"> וחשיבות מיוחדת</w:t>
      </w:r>
      <w:r w:rsidR="00DF64B9" w:rsidRPr="0004711E">
        <w:rPr>
          <w:rFonts w:cs="David" w:hint="cs"/>
          <w:sz w:val="28"/>
          <w:szCs w:val="28"/>
          <w:rtl/>
        </w:rPr>
        <w:t xml:space="preserve">, הוא יכולת ההשפעה </w:t>
      </w:r>
      <w:r w:rsidR="00B07BC3" w:rsidRPr="0004711E">
        <w:rPr>
          <w:rFonts w:cs="David" w:hint="cs"/>
          <w:sz w:val="28"/>
          <w:szCs w:val="28"/>
          <w:rtl/>
        </w:rPr>
        <w:t xml:space="preserve">של </w:t>
      </w:r>
      <w:r w:rsidR="00B07BC3" w:rsidRPr="0004711E">
        <w:rPr>
          <w:rFonts w:cs="David" w:hint="cs"/>
          <w:sz w:val="28"/>
          <w:szCs w:val="28"/>
          <w:rtl/>
        </w:rPr>
        <w:lastRenderedPageBreak/>
        <w:t xml:space="preserve">דוחות </w:t>
      </w:r>
      <w:r w:rsidR="00310D3D">
        <w:rPr>
          <w:rFonts w:cs="David" w:hint="cs"/>
          <w:sz w:val="28"/>
          <w:szCs w:val="28"/>
          <w:rtl/>
        </w:rPr>
        <w:t>ועדות החקירה הבינלאומיות</w:t>
      </w:r>
      <w:r w:rsidR="00B07BC3" w:rsidRPr="0004711E">
        <w:rPr>
          <w:rFonts w:cs="David" w:hint="cs"/>
          <w:sz w:val="28"/>
          <w:szCs w:val="28"/>
          <w:rtl/>
        </w:rPr>
        <w:t xml:space="preserve"> </w:t>
      </w:r>
      <w:r w:rsidR="00DF64B9" w:rsidRPr="0004711E">
        <w:rPr>
          <w:rFonts w:cs="David" w:hint="cs"/>
          <w:sz w:val="28"/>
          <w:szCs w:val="28"/>
          <w:rtl/>
        </w:rPr>
        <w:t xml:space="preserve">על </w:t>
      </w:r>
      <w:r w:rsidR="00B07BC3" w:rsidRPr="0004711E">
        <w:rPr>
          <w:rFonts w:cs="David" w:hint="cs"/>
          <w:sz w:val="28"/>
          <w:szCs w:val="28"/>
          <w:rtl/>
        </w:rPr>
        <w:t>הליכים פליליים בינלאומיים, ובמיוחד על החלטות התביעה בבית הדין הפלילי הבינלאומי.</w:t>
      </w:r>
    </w:p>
    <w:p w:rsidR="00B07BC3" w:rsidRPr="0004711E" w:rsidRDefault="00B07BC3" w:rsidP="008B316C">
      <w:pPr>
        <w:spacing w:after="0" w:line="360" w:lineRule="auto"/>
        <w:jc w:val="both"/>
        <w:rPr>
          <w:rFonts w:cs="David"/>
          <w:sz w:val="28"/>
          <w:szCs w:val="28"/>
          <w:rtl/>
        </w:rPr>
      </w:pPr>
    </w:p>
    <w:p w:rsidR="004D4BB2" w:rsidRDefault="00B07BC3" w:rsidP="002011E9">
      <w:pPr>
        <w:spacing w:after="0" w:line="360" w:lineRule="auto"/>
        <w:jc w:val="both"/>
        <w:rPr>
          <w:rFonts w:cs="David"/>
          <w:sz w:val="28"/>
          <w:szCs w:val="28"/>
          <w:rtl/>
        </w:rPr>
      </w:pPr>
      <w:r w:rsidRPr="0004711E">
        <w:rPr>
          <w:rFonts w:cs="David" w:hint="cs"/>
          <w:sz w:val="28"/>
          <w:szCs w:val="28"/>
          <w:rtl/>
        </w:rPr>
        <w:t xml:space="preserve">לאחר </w:t>
      </w:r>
      <w:r w:rsidR="00E30133" w:rsidRPr="0004711E">
        <w:rPr>
          <w:rFonts w:cs="David" w:hint="cs"/>
          <w:sz w:val="28"/>
          <w:szCs w:val="28"/>
          <w:rtl/>
        </w:rPr>
        <w:t>הצטרפות הפלסטינים לאמנת רומא, החליטה תובעת בית הדין הפלילי לפתוח בבדיקה מקדמית לגבי "המצב בפלסטין"</w:t>
      </w:r>
      <w:r w:rsidR="00B97654">
        <w:rPr>
          <w:rStyle w:val="a7"/>
          <w:rFonts w:cs="David"/>
          <w:sz w:val="28"/>
          <w:szCs w:val="28"/>
          <w:rtl/>
        </w:rPr>
        <w:footnoteReference w:id="135"/>
      </w:r>
      <w:r w:rsidR="00E30133" w:rsidRPr="0004711E">
        <w:rPr>
          <w:rFonts w:cs="David" w:hint="cs"/>
          <w:sz w:val="28"/>
          <w:szCs w:val="28"/>
          <w:rtl/>
        </w:rPr>
        <w:t xml:space="preserve">. בבדיקה זו תעשה התובעת </w:t>
      </w:r>
      <w:r w:rsidR="003B0716" w:rsidRPr="0004711E">
        <w:rPr>
          <w:rFonts w:cs="David" w:hint="cs"/>
          <w:sz w:val="28"/>
          <w:szCs w:val="28"/>
          <w:rtl/>
        </w:rPr>
        <w:t xml:space="preserve">בוודאי </w:t>
      </w:r>
      <w:r w:rsidR="00E30133" w:rsidRPr="0004711E">
        <w:rPr>
          <w:rFonts w:cs="David" w:hint="cs"/>
          <w:sz w:val="28"/>
          <w:szCs w:val="28"/>
          <w:rtl/>
        </w:rPr>
        <w:t xml:space="preserve">שימוש בדוחות של </w:t>
      </w:r>
      <w:r w:rsidR="009C039C">
        <w:rPr>
          <w:rFonts w:cs="David" w:hint="cs"/>
          <w:sz w:val="28"/>
          <w:szCs w:val="28"/>
          <w:rtl/>
        </w:rPr>
        <w:t>ועדות החקירה</w:t>
      </w:r>
      <w:r w:rsidR="00E30133" w:rsidRPr="0004711E">
        <w:rPr>
          <w:rFonts w:cs="David" w:hint="cs"/>
          <w:sz w:val="28"/>
          <w:szCs w:val="28"/>
          <w:rtl/>
        </w:rPr>
        <w:t xml:space="preserve"> השונים, כגון דוח </w:t>
      </w:r>
      <w:r w:rsidR="00A51C2D" w:rsidRPr="0004711E">
        <w:rPr>
          <w:rFonts w:cs="David" w:hint="cs"/>
          <w:sz w:val="28"/>
          <w:szCs w:val="28"/>
          <w:rtl/>
        </w:rPr>
        <w:t xml:space="preserve">ועדת </w:t>
      </w:r>
      <w:r w:rsidR="00E30133" w:rsidRPr="0004711E">
        <w:rPr>
          <w:rFonts w:cs="David" w:hint="cs"/>
          <w:sz w:val="28"/>
          <w:szCs w:val="28"/>
          <w:rtl/>
        </w:rPr>
        <w:t>צוק איתן</w:t>
      </w:r>
      <w:r w:rsidR="008D5BDB" w:rsidRPr="0004711E">
        <w:rPr>
          <w:rStyle w:val="a7"/>
          <w:rFonts w:cs="David"/>
          <w:sz w:val="28"/>
          <w:szCs w:val="28"/>
          <w:rtl/>
        </w:rPr>
        <w:footnoteReference w:id="136"/>
      </w:r>
      <w:r w:rsidR="00E30133" w:rsidRPr="0004711E">
        <w:rPr>
          <w:rFonts w:cs="David" w:hint="cs"/>
          <w:sz w:val="28"/>
          <w:szCs w:val="28"/>
          <w:rtl/>
        </w:rPr>
        <w:t xml:space="preserve">. </w:t>
      </w:r>
      <w:r w:rsidR="00667B84" w:rsidRPr="0004711E">
        <w:rPr>
          <w:rFonts w:cs="David" w:hint="cs"/>
          <w:sz w:val="28"/>
          <w:szCs w:val="28"/>
          <w:rtl/>
        </w:rPr>
        <w:t>כך, לדוגמה, החלטה שפרסמה התובעת לגבי פניית קומורו לפתוח בחקירה בעקבות המשט</w:t>
      </w:r>
      <w:bookmarkStart w:id="26" w:name="_Ref454791013"/>
      <w:r w:rsidR="00667B84" w:rsidRPr="0004711E">
        <w:rPr>
          <w:rStyle w:val="a7"/>
          <w:rFonts w:cs="David"/>
          <w:sz w:val="28"/>
          <w:szCs w:val="28"/>
          <w:rtl/>
        </w:rPr>
        <w:footnoteReference w:id="137"/>
      </w:r>
      <w:bookmarkEnd w:id="26"/>
      <w:r w:rsidR="00667B84" w:rsidRPr="0004711E">
        <w:rPr>
          <w:rFonts w:cs="David" w:hint="cs"/>
          <w:sz w:val="28"/>
          <w:szCs w:val="28"/>
          <w:rtl/>
        </w:rPr>
        <w:t xml:space="preserve">, רצופה הפניות לדוח האדסון-פיליפס ולדוח פאלמר. לפיכך, בעידן שבו קונה בית הדין הפלילי הבינלאומי סמכות על הסכסוך הפלסטיני-ישראלי יש לדוחות של </w:t>
      </w:r>
      <w:r w:rsidR="00310D3D">
        <w:rPr>
          <w:rFonts w:cs="David" w:hint="cs"/>
          <w:sz w:val="28"/>
          <w:szCs w:val="28"/>
          <w:rtl/>
        </w:rPr>
        <w:t>ועדות החקירה הבינלאומיות</w:t>
      </w:r>
      <w:r w:rsidR="00667B84" w:rsidRPr="0004711E">
        <w:rPr>
          <w:rFonts w:cs="David" w:hint="cs"/>
          <w:sz w:val="28"/>
          <w:szCs w:val="28"/>
          <w:rtl/>
        </w:rPr>
        <w:t xml:space="preserve"> משקל הרבה יותר גדול, כי הם תמיד יכולים </w:t>
      </w:r>
      <w:r w:rsidR="002011E9">
        <w:rPr>
          <w:rFonts w:cs="David" w:hint="cs"/>
          <w:sz w:val="28"/>
          <w:szCs w:val="28"/>
          <w:rtl/>
        </w:rPr>
        <w:t>להגיע</w:t>
      </w:r>
      <w:r w:rsidR="00667B84" w:rsidRPr="0004711E">
        <w:rPr>
          <w:rFonts w:cs="David" w:hint="cs"/>
          <w:sz w:val="28"/>
          <w:szCs w:val="28"/>
          <w:rtl/>
        </w:rPr>
        <w:t xml:space="preserve"> לבית הדין כחומר ראייתי רלוונטי. במצב זה, כמובן שהימנעות ישראלית משיתוף פעולה עם </w:t>
      </w:r>
      <w:r w:rsidR="009C039C">
        <w:rPr>
          <w:rFonts w:cs="David" w:hint="cs"/>
          <w:sz w:val="28"/>
          <w:szCs w:val="28"/>
          <w:rtl/>
        </w:rPr>
        <w:t>ועדות החקירה</w:t>
      </w:r>
      <w:r w:rsidR="00667B84" w:rsidRPr="0004711E">
        <w:rPr>
          <w:rFonts w:cs="David" w:hint="cs"/>
          <w:sz w:val="28"/>
          <w:szCs w:val="28"/>
          <w:rtl/>
        </w:rPr>
        <w:t xml:space="preserve"> יכולה להוביל לפרסומם של </w:t>
      </w:r>
      <w:r w:rsidR="004D4BB2" w:rsidRPr="0004711E">
        <w:rPr>
          <w:rFonts w:cs="David" w:hint="cs"/>
          <w:sz w:val="28"/>
          <w:szCs w:val="28"/>
          <w:rtl/>
        </w:rPr>
        <w:t xml:space="preserve">דוחות רעים יותר </w:t>
      </w:r>
      <w:r w:rsidR="00667B84" w:rsidRPr="0004711E">
        <w:rPr>
          <w:rFonts w:cs="David" w:hint="cs"/>
          <w:sz w:val="28"/>
          <w:szCs w:val="28"/>
          <w:rtl/>
        </w:rPr>
        <w:t xml:space="preserve">מבחינתה </w:t>
      </w:r>
      <w:r w:rsidR="004D4BB2" w:rsidRPr="0004711E">
        <w:rPr>
          <w:rFonts w:cs="David" w:hint="cs"/>
          <w:sz w:val="28"/>
          <w:szCs w:val="28"/>
          <w:rtl/>
        </w:rPr>
        <w:t xml:space="preserve">ולהוביל </w:t>
      </w:r>
      <w:r w:rsidR="00667B84" w:rsidRPr="0004711E">
        <w:rPr>
          <w:rFonts w:cs="David" w:hint="cs"/>
          <w:sz w:val="28"/>
          <w:szCs w:val="28"/>
          <w:rtl/>
        </w:rPr>
        <w:t xml:space="preserve">במצבים מסוימים </w:t>
      </w:r>
      <w:r w:rsidR="004D4BB2" w:rsidRPr="0004711E">
        <w:rPr>
          <w:rFonts w:cs="David" w:hint="cs"/>
          <w:sz w:val="28"/>
          <w:szCs w:val="28"/>
          <w:rtl/>
        </w:rPr>
        <w:t>אפילו לפתיחת חקירה של ממש</w:t>
      </w:r>
      <w:r w:rsidR="00F42C60" w:rsidRPr="0004711E">
        <w:rPr>
          <w:rStyle w:val="a7"/>
          <w:rFonts w:cs="David"/>
          <w:sz w:val="28"/>
          <w:szCs w:val="28"/>
          <w:rtl/>
        </w:rPr>
        <w:footnoteReference w:id="138"/>
      </w:r>
      <w:r w:rsidR="00F42C60" w:rsidRPr="0004711E">
        <w:rPr>
          <w:rFonts w:cs="David" w:hint="cs"/>
          <w:sz w:val="28"/>
          <w:szCs w:val="28"/>
          <w:rtl/>
        </w:rPr>
        <w:t xml:space="preserve"> </w:t>
      </w:r>
      <w:r w:rsidR="004D4BB2" w:rsidRPr="0004711E">
        <w:rPr>
          <w:rFonts w:cs="David" w:hint="cs"/>
          <w:sz w:val="28"/>
          <w:szCs w:val="28"/>
          <w:rtl/>
        </w:rPr>
        <w:t xml:space="preserve">או </w:t>
      </w:r>
      <w:r w:rsidR="00667B84" w:rsidRPr="0004711E">
        <w:rPr>
          <w:rFonts w:cs="David" w:hint="cs"/>
          <w:sz w:val="28"/>
          <w:szCs w:val="28"/>
          <w:rtl/>
        </w:rPr>
        <w:t xml:space="preserve">במצב קיצוני להפניה של המקרה לבית הדין </w:t>
      </w:r>
      <w:r w:rsidR="00692192">
        <w:rPr>
          <w:rFonts w:cs="David" w:hint="cs"/>
          <w:sz w:val="28"/>
          <w:szCs w:val="28"/>
          <w:rtl/>
        </w:rPr>
        <w:t>על ידי</w:t>
      </w:r>
      <w:r w:rsidR="00667B84" w:rsidRPr="0004711E">
        <w:rPr>
          <w:rFonts w:cs="David" w:hint="cs"/>
          <w:sz w:val="28"/>
          <w:szCs w:val="28"/>
          <w:rtl/>
        </w:rPr>
        <w:t xml:space="preserve"> </w:t>
      </w:r>
      <w:r w:rsidR="004D4BB2" w:rsidRPr="0004711E">
        <w:rPr>
          <w:rFonts w:cs="David" w:hint="cs"/>
          <w:sz w:val="28"/>
          <w:szCs w:val="28"/>
          <w:rtl/>
        </w:rPr>
        <w:t>מועצת הביטחון של האו"ם</w:t>
      </w:r>
      <w:r w:rsidR="00667B84" w:rsidRPr="0004711E">
        <w:rPr>
          <w:rFonts w:cs="David" w:hint="cs"/>
          <w:sz w:val="28"/>
          <w:szCs w:val="28"/>
          <w:rtl/>
        </w:rPr>
        <w:t xml:space="preserve"> בעצמה</w:t>
      </w:r>
      <w:r w:rsidR="004D4BB2" w:rsidRPr="0004711E">
        <w:rPr>
          <w:rFonts w:cs="David" w:hint="cs"/>
          <w:sz w:val="28"/>
          <w:szCs w:val="28"/>
          <w:rtl/>
        </w:rPr>
        <w:t xml:space="preserve">. </w:t>
      </w:r>
      <w:r w:rsidR="003E43AD">
        <w:rPr>
          <w:rFonts w:cs="David" w:hint="cs"/>
          <w:sz w:val="28"/>
          <w:szCs w:val="28"/>
          <w:rtl/>
        </w:rPr>
        <w:t>בנסיבות שבהן מחליטה המדינה שלא לשתף פעולה, לאחר לקיחה בחשבון של השיקולים השונים, חשוב שתבהיר מדוע החליטה כך ומדוע אין לייחס משקל רב לדוח החקירה, על מנת שלא ישמש בסיס מוצק להליכים פליליים בינלאומיים בהמשך.</w:t>
      </w:r>
    </w:p>
    <w:p w:rsidR="003E43AD" w:rsidRPr="0004711E" w:rsidRDefault="003E43AD" w:rsidP="008B316C">
      <w:pPr>
        <w:spacing w:after="0" w:line="360" w:lineRule="auto"/>
        <w:jc w:val="both"/>
        <w:rPr>
          <w:rFonts w:cs="David"/>
          <w:sz w:val="28"/>
          <w:szCs w:val="28"/>
          <w:rtl/>
        </w:rPr>
      </w:pPr>
    </w:p>
    <w:p w:rsidR="004D4BB2" w:rsidRPr="0004711E" w:rsidRDefault="004D4BB2" w:rsidP="009830FC">
      <w:pPr>
        <w:spacing w:after="0" w:line="360" w:lineRule="auto"/>
        <w:jc w:val="both"/>
        <w:rPr>
          <w:rFonts w:cs="David"/>
          <w:sz w:val="28"/>
          <w:szCs w:val="28"/>
          <w:rtl/>
        </w:rPr>
      </w:pPr>
      <w:r w:rsidRPr="0004711E">
        <w:rPr>
          <w:rFonts w:cs="David" w:hint="cs"/>
          <w:sz w:val="28"/>
          <w:szCs w:val="28"/>
          <w:rtl/>
        </w:rPr>
        <w:lastRenderedPageBreak/>
        <w:t xml:space="preserve">בראיון </w:t>
      </w:r>
      <w:r w:rsidR="0047213B" w:rsidRPr="0004711E">
        <w:rPr>
          <w:rFonts w:cs="David" w:hint="cs"/>
          <w:sz w:val="28"/>
          <w:szCs w:val="28"/>
          <w:rtl/>
        </w:rPr>
        <w:t>עיתונאי שמסרה</w:t>
      </w:r>
      <w:r w:rsidR="0047213B" w:rsidRPr="0004711E">
        <w:rPr>
          <w:rStyle w:val="a7"/>
          <w:rFonts w:cs="David"/>
          <w:sz w:val="28"/>
          <w:szCs w:val="28"/>
          <w:rtl/>
        </w:rPr>
        <w:footnoteReference w:id="139"/>
      </w:r>
      <w:r w:rsidR="0047213B" w:rsidRPr="0004711E">
        <w:rPr>
          <w:rFonts w:cs="David" w:hint="cs"/>
          <w:sz w:val="28"/>
          <w:szCs w:val="28"/>
          <w:rtl/>
        </w:rPr>
        <w:t xml:space="preserve">, הקפידה תובעת בית הדין לציין שהחומר שמשרדה אוסף מדוחות של </w:t>
      </w:r>
      <w:r w:rsidR="0074404A">
        <w:rPr>
          <w:rFonts w:cs="David" w:hint="cs"/>
          <w:sz w:val="28"/>
          <w:szCs w:val="28"/>
          <w:rtl/>
        </w:rPr>
        <w:t>ועדות</w:t>
      </w:r>
      <w:r w:rsidR="0047213B" w:rsidRPr="0004711E">
        <w:rPr>
          <w:rFonts w:cs="David" w:hint="cs"/>
          <w:sz w:val="28"/>
          <w:szCs w:val="28"/>
          <w:rtl/>
        </w:rPr>
        <w:t xml:space="preserve"> בינלאומיים מהווה רק חלק מפסיפס רחב יותר של חומר ראייתי שנאסף, ושמוערך באופן עצמאי </w:t>
      </w:r>
      <w:r w:rsidR="00692192">
        <w:rPr>
          <w:rFonts w:cs="David" w:hint="cs"/>
          <w:sz w:val="28"/>
          <w:szCs w:val="28"/>
          <w:rtl/>
        </w:rPr>
        <w:t>על ידי</w:t>
      </w:r>
      <w:r w:rsidR="0047213B" w:rsidRPr="0004711E">
        <w:rPr>
          <w:rFonts w:cs="David" w:hint="cs"/>
          <w:sz w:val="28"/>
          <w:szCs w:val="28"/>
          <w:rtl/>
        </w:rPr>
        <w:t xml:space="preserve"> תובעי בית הדין. עם זאת, לא היה בדבריה כדי לשלול את האפשרות שדוחות אלה ישמשו, לדוגמה, לשם קבלת החלטה </w:t>
      </w:r>
      <w:r w:rsidRPr="0004711E">
        <w:rPr>
          <w:rFonts w:cs="David" w:hint="cs"/>
          <w:sz w:val="28"/>
          <w:szCs w:val="28"/>
          <w:rtl/>
        </w:rPr>
        <w:t>על פתיחה בחקירה</w:t>
      </w:r>
      <w:r w:rsidR="0047213B" w:rsidRPr="0004711E">
        <w:rPr>
          <w:rStyle w:val="a7"/>
          <w:rFonts w:cs="David"/>
          <w:sz w:val="28"/>
          <w:szCs w:val="28"/>
          <w:rtl/>
        </w:rPr>
        <w:footnoteReference w:id="140"/>
      </w:r>
      <w:r w:rsidRPr="0004711E">
        <w:rPr>
          <w:rFonts w:cs="David" w:hint="cs"/>
          <w:sz w:val="28"/>
          <w:szCs w:val="28"/>
          <w:rtl/>
        </w:rPr>
        <w:t>.</w:t>
      </w:r>
    </w:p>
    <w:p w:rsidR="004D4BB2" w:rsidRPr="0004711E" w:rsidRDefault="004D4BB2" w:rsidP="008B316C">
      <w:pPr>
        <w:spacing w:after="0" w:line="360" w:lineRule="auto"/>
        <w:jc w:val="both"/>
        <w:rPr>
          <w:rFonts w:cs="David"/>
          <w:sz w:val="28"/>
          <w:szCs w:val="28"/>
          <w:rtl/>
        </w:rPr>
      </w:pPr>
    </w:p>
    <w:p w:rsidR="008A7CDB" w:rsidRPr="003D0069" w:rsidRDefault="00DE294F" w:rsidP="003D0069">
      <w:pPr>
        <w:pStyle w:val="a9"/>
        <w:numPr>
          <w:ilvl w:val="0"/>
          <w:numId w:val="21"/>
        </w:numPr>
        <w:spacing w:after="0" w:line="360" w:lineRule="auto"/>
        <w:jc w:val="both"/>
        <w:outlineLvl w:val="1"/>
        <w:rPr>
          <w:rFonts w:cs="David"/>
          <w:sz w:val="28"/>
          <w:szCs w:val="28"/>
          <w:rtl/>
        </w:rPr>
      </w:pPr>
      <w:bookmarkStart w:id="27" w:name="_Toc456027306"/>
      <w:r w:rsidRPr="003D0069">
        <w:rPr>
          <w:rFonts w:cs="David" w:hint="cs"/>
          <w:b/>
          <w:bCs/>
          <w:sz w:val="28"/>
          <w:szCs w:val="28"/>
          <w:rtl/>
        </w:rPr>
        <w:t>המשאבים</w:t>
      </w:r>
      <w:r w:rsidR="008A7CDB" w:rsidRPr="003D0069">
        <w:rPr>
          <w:rFonts w:cs="David" w:hint="cs"/>
          <w:b/>
          <w:bCs/>
          <w:sz w:val="28"/>
          <w:szCs w:val="28"/>
          <w:rtl/>
        </w:rPr>
        <w:t xml:space="preserve"> הנדרשים לשם שיתוף הפעולה עם </w:t>
      </w:r>
      <w:r w:rsidR="009C039C" w:rsidRPr="003D0069">
        <w:rPr>
          <w:rFonts w:cs="David" w:hint="cs"/>
          <w:b/>
          <w:bCs/>
          <w:sz w:val="28"/>
          <w:szCs w:val="28"/>
          <w:rtl/>
        </w:rPr>
        <w:t>ועדות החקירה</w:t>
      </w:r>
      <w:bookmarkEnd w:id="27"/>
    </w:p>
    <w:p w:rsidR="008A7CDB" w:rsidRPr="0004711E" w:rsidRDefault="008A7CDB" w:rsidP="008B316C">
      <w:pPr>
        <w:spacing w:after="0" w:line="360" w:lineRule="auto"/>
        <w:jc w:val="both"/>
        <w:rPr>
          <w:rFonts w:cs="David"/>
          <w:sz w:val="28"/>
          <w:szCs w:val="28"/>
          <w:rtl/>
        </w:rPr>
      </w:pPr>
    </w:p>
    <w:p w:rsidR="00DE294F" w:rsidRPr="0004711E" w:rsidRDefault="00AB093E" w:rsidP="00AB093E">
      <w:pPr>
        <w:spacing w:after="0" w:line="360" w:lineRule="auto"/>
        <w:jc w:val="both"/>
        <w:rPr>
          <w:rFonts w:cs="David"/>
          <w:sz w:val="28"/>
          <w:szCs w:val="28"/>
          <w:rtl/>
        </w:rPr>
      </w:pPr>
      <w:r>
        <w:rPr>
          <w:rFonts w:cs="David" w:hint="cs"/>
          <w:sz w:val="28"/>
          <w:szCs w:val="28"/>
          <w:rtl/>
        </w:rPr>
        <w:t xml:space="preserve">האם הקצאת המשאבים המשמעותית הנדרשת לשם שיתוף פעולה עם ועדות חקירה בינלאומיות היא שיקול כללי שצריך להוביל להחלטה שלא לשתף פעולה? </w:t>
      </w:r>
      <w:r w:rsidR="008A7CDB" w:rsidRPr="0004711E">
        <w:rPr>
          <w:rFonts w:cs="David" w:hint="cs"/>
          <w:sz w:val="28"/>
          <w:szCs w:val="28"/>
          <w:rtl/>
        </w:rPr>
        <w:t xml:space="preserve">במהלך הראיונות לעבודה ציינו חלק מהמרואיינים, ששיקול המשאבים הנדרשים לשם שיתוף הפעולה עם </w:t>
      </w:r>
      <w:r w:rsidR="009C039C">
        <w:rPr>
          <w:rFonts w:cs="David" w:hint="cs"/>
          <w:sz w:val="28"/>
          <w:szCs w:val="28"/>
          <w:rtl/>
        </w:rPr>
        <w:t>ועדות החקירה</w:t>
      </w:r>
      <w:r w:rsidR="008A7CDB" w:rsidRPr="0004711E">
        <w:rPr>
          <w:rFonts w:cs="David" w:hint="cs"/>
          <w:sz w:val="28"/>
          <w:szCs w:val="28"/>
          <w:rtl/>
        </w:rPr>
        <w:t xml:space="preserve"> אינו אמור להשפיע על ההחלטה אם לשתף פעולה או לא. הטעם העיקרי לכך הוא שהחלטה בעלת השלכות כה רבות ומרחיקות לכת צריכה להתקבל לגופו של עניין ומתוך ראייה מערכתית רחבה ולא על בסיס שיקול המשאבים, שהוא שיקול משני לכל הדעות. טעם נוסף נוגע לכך שמדינת ישראל </w:t>
      </w:r>
      <w:r w:rsidR="00DE294F" w:rsidRPr="0004711E">
        <w:rPr>
          <w:rFonts w:cs="David" w:hint="cs"/>
          <w:sz w:val="28"/>
          <w:szCs w:val="28"/>
          <w:rtl/>
        </w:rPr>
        <w:t xml:space="preserve">ממילא </w:t>
      </w:r>
      <w:r w:rsidR="009830FC">
        <w:rPr>
          <w:rFonts w:cs="David" w:hint="cs"/>
          <w:sz w:val="28"/>
          <w:szCs w:val="28"/>
          <w:rtl/>
        </w:rPr>
        <w:t>אינה</w:t>
      </w:r>
      <w:r w:rsidR="009830FC" w:rsidRPr="0004711E">
        <w:rPr>
          <w:rFonts w:cs="David" w:hint="cs"/>
          <w:sz w:val="28"/>
          <w:szCs w:val="28"/>
          <w:rtl/>
        </w:rPr>
        <w:t xml:space="preserve"> </w:t>
      </w:r>
      <w:r w:rsidR="008A7CDB" w:rsidRPr="0004711E">
        <w:rPr>
          <w:rFonts w:cs="David" w:hint="cs"/>
          <w:sz w:val="28"/>
          <w:szCs w:val="28"/>
          <w:rtl/>
        </w:rPr>
        <w:t xml:space="preserve">מתעלמת בדרך כלל </w:t>
      </w:r>
      <w:r w:rsidR="00DE294F" w:rsidRPr="0004711E">
        <w:rPr>
          <w:rFonts w:cs="David" w:hint="cs"/>
          <w:sz w:val="28"/>
          <w:szCs w:val="28"/>
          <w:rtl/>
        </w:rPr>
        <w:t>מ</w:t>
      </w:r>
      <w:r>
        <w:rPr>
          <w:rFonts w:cs="David" w:hint="cs"/>
          <w:sz w:val="28"/>
          <w:szCs w:val="28"/>
          <w:rtl/>
        </w:rPr>
        <w:t>עבודתן</w:t>
      </w:r>
      <w:r w:rsidR="008A7CDB" w:rsidRPr="0004711E">
        <w:rPr>
          <w:rFonts w:cs="David" w:hint="cs"/>
          <w:sz w:val="28"/>
          <w:szCs w:val="28"/>
          <w:rtl/>
        </w:rPr>
        <w:t xml:space="preserve"> של </w:t>
      </w:r>
      <w:r w:rsidR="009C039C">
        <w:rPr>
          <w:rFonts w:cs="David" w:hint="cs"/>
          <w:sz w:val="28"/>
          <w:szCs w:val="28"/>
          <w:rtl/>
        </w:rPr>
        <w:t>ועדות החקירה</w:t>
      </w:r>
      <w:r>
        <w:rPr>
          <w:rFonts w:cs="David" w:hint="cs"/>
          <w:sz w:val="28"/>
          <w:szCs w:val="28"/>
          <w:rtl/>
        </w:rPr>
        <w:t xml:space="preserve"> שמוקמות</w:t>
      </w:r>
      <w:r w:rsidR="008A7CDB" w:rsidRPr="0004711E">
        <w:rPr>
          <w:rFonts w:cs="David" w:hint="cs"/>
          <w:sz w:val="28"/>
          <w:szCs w:val="28"/>
          <w:rtl/>
        </w:rPr>
        <w:t xml:space="preserve"> ומשקיעה</w:t>
      </w:r>
      <w:r w:rsidR="00DE294F" w:rsidRPr="0004711E">
        <w:rPr>
          <w:rFonts w:cs="David" w:hint="cs"/>
          <w:sz w:val="28"/>
          <w:szCs w:val="28"/>
          <w:rtl/>
        </w:rPr>
        <w:t xml:space="preserve"> משאבים רבים </w:t>
      </w:r>
      <w:r w:rsidR="008A7CDB" w:rsidRPr="0004711E">
        <w:rPr>
          <w:rFonts w:cs="David" w:hint="cs"/>
          <w:sz w:val="28"/>
          <w:szCs w:val="28"/>
          <w:rtl/>
        </w:rPr>
        <w:t>על מנת לספק לציבור בארץ ובעולם מידע מגוון הנוגע לתחומי הבדיקה של הוועדות</w:t>
      </w:r>
      <w:r w:rsidR="00DE294F" w:rsidRPr="0004711E">
        <w:rPr>
          <w:rFonts w:cs="David" w:hint="cs"/>
          <w:sz w:val="28"/>
          <w:szCs w:val="28"/>
          <w:rtl/>
        </w:rPr>
        <w:t xml:space="preserve">, </w:t>
      </w:r>
      <w:r w:rsidR="008A7CDB" w:rsidRPr="0004711E">
        <w:rPr>
          <w:rFonts w:cs="David" w:hint="cs"/>
          <w:sz w:val="28"/>
          <w:szCs w:val="28"/>
          <w:rtl/>
        </w:rPr>
        <w:t xml:space="preserve">כך שהמשאבים שהיו נדרשים לשם העברת המידע האמור </w:t>
      </w:r>
      <w:r w:rsidR="00014821">
        <w:rPr>
          <w:rFonts w:cs="David" w:hint="cs"/>
          <w:sz w:val="28"/>
          <w:szCs w:val="28"/>
          <w:rtl/>
        </w:rPr>
        <w:t>לוועדות</w:t>
      </w:r>
      <w:r w:rsidR="009C039C">
        <w:rPr>
          <w:rFonts w:cs="David" w:hint="cs"/>
          <w:sz w:val="28"/>
          <w:szCs w:val="28"/>
          <w:rtl/>
        </w:rPr>
        <w:t xml:space="preserve"> החקירה</w:t>
      </w:r>
      <w:r w:rsidR="008A7CDB" w:rsidRPr="0004711E">
        <w:rPr>
          <w:rFonts w:cs="David" w:hint="cs"/>
          <w:sz w:val="28"/>
          <w:szCs w:val="28"/>
          <w:rtl/>
        </w:rPr>
        <w:t xml:space="preserve"> מושקעים ממילא</w:t>
      </w:r>
      <w:r w:rsidR="00FC3B05" w:rsidRPr="0004711E">
        <w:rPr>
          <w:rFonts w:cs="David" w:hint="cs"/>
          <w:sz w:val="28"/>
          <w:szCs w:val="28"/>
          <w:rtl/>
        </w:rPr>
        <w:t>, וכך גם ראוי שייעשה</w:t>
      </w:r>
      <w:r w:rsidR="00DE294F" w:rsidRPr="0004711E">
        <w:rPr>
          <w:rFonts w:cs="David" w:hint="cs"/>
          <w:sz w:val="28"/>
          <w:szCs w:val="28"/>
          <w:rtl/>
        </w:rPr>
        <w:t>.</w:t>
      </w:r>
      <w:r w:rsidR="008A7CDB" w:rsidRPr="0004711E">
        <w:rPr>
          <w:rFonts w:cs="David" w:hint="cs"/>
          <w:sz w:val="28"/>
          <w:szCs w:val="28"/>
          <w:rtl/>
        </w:rPr>
        <w:t xml:space="preserve"> עם זאת, ריבוי </w:t>
      </w:r>
      <w:r w:rsidR="009F6ED1">
        <w:rPr>
          <w:rFonts w:cs="David" w:hint="cs"/>
          <w:sz w:val="28"/>
          <w:szCs w:val="28"/>
          <w:rtl/>
        </w:rPr>
        <w:t xml:space="preserve">ועדות חקירה </w:t>
      </w:r>
      <w:r w:rsidR="008A7CDB" w:rsidRPr="0004711E">
        <w:rPr>
          <w:rFonts w:cs="David" w:hint="cs"/>
          <w:sz w:val="28"/>
          <w:szCs w:val="28"/>
          <w:rtl/>
        </w:rPr>
        <w:t>שפועל</w:t>
      </w:r>
      <w:r>
        <w:rPr>
          <w:rFonts w:cs="David" w:hint="cs"/>
          <w:sz w:val="28"/>
          <w:szCs w:val="28"/>
          <w:rtl/>
        </w:rPr>
        <w:t>ות</w:t>
      </w:r>
      <w:r w:rsidR="008A7CDB" w:rsidRPr="0004711E">
        <w:rPr>
          <w:rFonts w:cs="David" w:hint="cs"/>
          <w:sz w:val="28"/>
          <w:szCs w:val="28"/>
          <w:rtl/>
        </w:rPr>
        <w:t xml:space="preserve"> בו זמנית, ולעיתים בודק</w:t>
      </w:r>
      <w:r>
        <w:rPr>
          <w:rFonts w:cs="David" w:hint="cs"/>
          <w:sz w:val="28"/>
          <w:szCs w:val="28"/>
          <w:rtl/>
        </w:rPr>
        <w:t>ות</w:t>
      </w:r>
      <w:r w:rsidR="008A7CDB" w:rsidRPr="0004711E">
        <w:rPr>
          <w:rFonts w:cs="David" w:hint="cs"/>
          <w:sz w:val="28"/>
          <w:szCs w:val="28"/>
          <w:rtl/>
        </w:rPr>
        <w:t xml:space="preserve"> אותו עניין בדיוק, יכול לשמש טיעון לגיטימי להחלטה שלא להשקיע משאבים בשיתוף הפעולה עם כל ה</w:t>
      </w:r>
      <w:r>
        <w:rPr>
          <w:rFonts w:cs="David" w:hint="cs"/>
          <w:sz w:val="28"/>
          <w:szCs w:val="28"/>
          <w:rtl/>
        </w:rPr>
        <w:t>ו</w:t>
      </w:r>
      <w:r w:rsidR="0074404A">
        <w:rPr>
          <w:rFonts w:cs="David" w:hint="cs"/>
          <w:sz w:val="28"/>
          <w:szCs w:val="28"/>
          <w:rtl/>
        </w:rPr>
        <w:t>ועדות</w:t>
      </w:r>
      <w:r w:rsidR="008A7CDB" w:rsidRPr="0004711E">
        <w:rPr>
          <w:rFonts w:cs="David" w:hint="cs"/>
          <w:sz w:val="28"/>
          <w:szCs w:val="28"/>
          <w:rtl/>
        </w:rPr>
        <w:t xml:space="preserve"> בו זמנית. זה היה אחד הטיעונים כנגד שיתוף הפעולה עם ועדת האדסון-פיליפס</w:t>
      </w:r>
      <w:r w:rsidR="001C5C6C" w:rsidRPr="0004711E">
        <w:rPr>
          <w:rStyle w:val="a7"/>
          <w:rFonts w:cs="David"/>
          <w:sz w:val="28"/>
          <w:szCs w:val="28"/>
          <w:rtl/>
        </w:rPr>
        <w:footnoteReference w:id="141"/>
      </w:r>
      <w:r w:rsidR="008A7CDB" w:rsidRPr="0004711E">
        <w:rPr>
          <w:rFonts w:cs="David" w:hint="cs"/>
          <w:sz w:val="28"/>
          <w:szCs w:val="28"/>
          <w:rtl/>
        </w:rPr>
        <w:t xml:space="preserve">, שבחנה את אירוע המשט במקביל לעבודתן של ועדת טירקל הישראלית </w:t>
      </w:r>
      <w:r>
        <w:rPr>
          <w:rFonts w:cs="David" w:hint="cs"/>
          <w:sz w:val="28"/>
          <w:szCs w:val="28"/>
          <w:rtl/>
        </w:rPr>
        <w:t>ו-</w:t>
      </w:r>
      <w:r w:rsidR="008A7CDB" w:rsidRPr="0004711E">
        <w:rPr>
          <w:rFonts w:cs="David" w:hint="cs"/>
          <w:sz w:val="28"/>
          <w:szCs w:val="28"/>
          <w:rtl/>
        </w:rPr>
        <w:t xml:space="preserve">וועדת פאלמר שמונתה </w:t>
      </w:r>
      <w:r w:rsidR="00692192">
        <w:rPr>
          <w:rFonts w:cs="David" w:hint="cs"/>
          <w:sz w:val="28"/>
          <w:szCs w:val="28"/>
          <w:rtl/>
        </w:rPr>
        <w:t>על ידי</w:t>
      </w:r>
      <w:r w:rsidR="008A7CDB" w:rsidRPr="0004711E">
        <w:rPr>
          <w:rFonts w:cs="David" w:hint="cs"/>
          <w:sz w:val="28"/>
          <w:szCs w:val="28"/>
          <w:rtl/>
        </w:rPr>
        <w:t xml:space="preserve"> מזכ"ל האו"ם.</w:t>
      </w:r>
      <w:r w:rsidR="001C5C6C" w:rsidRPr="0004711E">
        <w:rPr>
          <w:rFonts w:cs="David" w:hint="cs"/>
          <w:sz w:val="28"/>
          <w:szCs w:val="28"/>
          <w:rtl/>
        </w:rPr>
        <w:t xml:space="preserve"> ישראל ביקשה כי האדסון</w:t>
      </w:r>
      <w:r w:rsidR="007340F2" w:rsidRPr="0004711E">
        <w:rPr>
          <w:rFonts w:cs="David" w:hint="cs"/>
          <w:sz w:val="28"/>
          <w:szCs w:val="28"/>
          <w:rtl/>
        </w:rPr>
        <w:t>-</w:t>
      </w:r>
      <w:r w:rsidR="001C5C6C" w:rsidRPr="0004711E">
        <w:rPr>
          <w:rFonts w:cs="David" w:hint="cs"/>
          <w:sz w:val="28"/>
          <w:szCs w:val="28"/>
          <w:rtl/>
        </w:rPr>
        <w:t xml:space="preserve">פיליפס יעכב את פרסום הדוח שלו עד לפרסום ממצאי הוועדות האחרות, אך הוא מסר כי בעניין זה עליה לפנות למועצת זכויות האדם שמינתה אותו. </w:t>
      </w:r>
    </w:p>
    <w:p w:rsidR="008A7CDB" w:rsidRPr="0004711E" w:rsidRDefault="008A7CDB" w:rsidP="008B316C">
      <w:pPr>
        <w:spacing w:after="0" w:line="360" w:lineRule="auto"/>
        <w:jc w:val="both"/>
        <w:rPr>
          <w:rFonts w:cs="David"/>
          <w:sz w:val="28"/>
          <w:szCs w:val="28"/>
          <w:rtl/>
        </w:rPr>
      </w:pPr>
    </w:p>
    <w:p w:rsidR="00E506E4" w:rsidRPr="003D0069" w:rsidRDefault="00E506E4" w:rsidP="003D0069">
      <w:pPr>
        <w:pStyle w:val="a9"/>
        <w:numPr>
          <w:ilvl w:val="0"/>
          <w:numId w:val="21"/>
        </w:numPr>
        <w:spacing w:after="0" w:line="360" w:lineRule="auto"/>
        <w:jc w:val="both"/>
        <w:outlineLvl w:val="1"/>
        <w:rPr>
          <w:rFonts w:cs="David"/>
          <w:b/>
          <w:bCs/>
          <w:sz w:val="28"/>
          <w:szCs w:val="28"/>
          <w:rtl/>
        </w:rPr>
      </w:pPr>
      <w:bookmarkStart w:id="28" w:name="_Toc456027307"/>
      <w:r w:rsidRPr="003D0069">
        <w:rPr>
          <w:rFonts w:cs="David" w:hint="cs"/>
          <w:b/>
          <w:bCs/>
          <w:sz w:val="28"/>
          <w:szCs w:val="28"/>
          <w:rtl/>
        </w:rPr>
        <w:lastRenderedPageBreak/>
        <w:t xml:space="preserve">חשיבות </w:t>
      </w:r>
      <w:r w:rsidR="00172FD3" w:rsidRPr="003D0069">
        <w:rPr>
          <w:rFonts w:cs="David" w:hint="cs"/>
          <w:b/>
          <w:bCs/>
          <w:sz w:val="28"/>
          <w:szCs w:val="28"/>
          <w:rtl/>
        </w:rPr>
        <w:t>הקשר</w:t>
      </w:r>
      <w:r w:rsidRPr="003D0069">
        <w:rPr>
          <w:rFonts w:cs="David" w:hint="cs"/>
          <w:b/>
          <w:bCs/>
          <w:sz w:val="28"/>
          <w:szCs w:val="28"/>
          <w:rtl/>
        </w:rPr>
        <w:t xml:space="preserve"> האישי</w:t>
      </w:r>
      <w:r w:rsidR="00172FD3" w:rsidRPr="003D0069">
        <w:rPr>
          <w:rFonts w:cs="David" w:hint="cs"/>
          <w:b/>
          <w:bCs/>
          <w:sz w:val="28"/>
          <w:szCs w:val="28"/>
          <w:rtl/>
        </w:rPr>
        <w:t xml:space="preserve"> בשיתוף פעולה עם </w:t>
      </w:r>
      <w:r w:rsidR="009C039C" w:rsidRPr="003D0069">
        <w:rPr>
          <w:rFonts w:cs="David" w:hint="cs"/>
          <w:b/>
          <w:bCs/>
          <w:sz w:val="28"/>
          <w:szCs w:val="28"/>
          <w:rtl/>
        </w:rPr>
        <w:t>ועדות חקירה בינלאומיות</w:t>
      </w:r>
      <w:bookmarkEnd w:id="28"/>
    </w:p>
    <w:p w:rsidR="00E506E4" w:rsidRPr="0004711E" w:rsidRDefault="00E506E4" w:rsidP="008B316C">
      <w:pPr>
        <w:spacing w:after="0" w:line="360" w:lineRule="auto"/>
        <w:jc w:val="both"/>
        <w:rPr>
          <w:rFonts w:cs="David"/>
          <w:sz w:val="28"/>
          <w:szCs w:val="28"/>
          <w:rtl/>
        </w:rPr>
      </w:pPr>
    </w:p>
    <w:p w:rsidR="008278A9" w:rsidRPr="0004711E" w:rsidRDefault="00172FD3" w:rsidP="002011E9">
      <w:pPr>
        <w:spacing w:after="0" w:line="360" w:lineRule="auto"/>
        <w:jc w:val="both"/>
        <w:rPr>
          <w:rFonts w:cs="David"/>
          <w:sz w:val="28"/>
          <w:szCs w:val="28"/>
          <w:rtl/>
        </w:rPr>
      </w:pPr>
      <w:r w:rsidRPr="0004711E">
        <w:rPr>
          <w:rFonts w:cs="David" w:hint="cs"/>
          <w:sz w:val="28"/>
          <w:szCs w:val="28"/>
          <w:rtl/>
        </w:rPr>
        <w:t xml:space="preserve">בניגוד לשיקולים האחרים, הנוגעים להיבטים רחבים יותר, שיקול המימד האישי בשאלת שיתוף הפעולה הוא שיקול צר יותר, המתייחס באופן ממוקד לחברי </w:t>
      </w:r>
      <w:r w:rsidR="001165FD">
        <w:rPr>
          <w:rFonts w:cs="David" w:hint="cs"/>
          <w:sz w:val="28"/>
          <w:szCs w:val="28"/>
          <w:rtl/>
        </w:rPr>
        <w:t>הוועדה</w:t>
      </w:r>
      <w:r w:rsidRPr="0004711E">
        <w:rPr>
          <w:rFonts w:cs="David" w:hint="cs"/>
          <w:sz w:val="28"/>
          <w:szCs w:val="28"/>
          <w:rtl/>
        </w:rPr>
        <w:t xml:space="preserve"> והצוות של</w:t>
      </w:r>
      <w:r w:rsidR="002011E9">
        <w:rPr>
          <w:rFonts w:cs="David" w:hint="cs"/>
          <w:sz w:val="28"/>
          <w:szCs w:val="28"/>
          <w:rtl/>
        </w:rPr>
        <w:t>ה</w:t>
      </w:r>
      <w:r w:rsidRPr="0004711E">
        <w:rPr>
          <w:rFonts w:cs="David" w:hint="cs"/>
          <w:sz w:val="28"/>
          <w:szCs w:val="28"/>
          <w:rtl/>
        </w:rPr>
        <w:t xml:space="preserve"> כפרסונות. בסופו של דבר, כמו כל אופרציה אחרת, מאחורי כל </w:t>
      </w:r>
      <w:r w:rsidR="009C039C">
        <w:rPr>
          <w:rFonts w:cs="David" w:hint="cs"/>
          <w:sz w:val="28"/>
          <w:szCs w:val="28"/>
          <w:rtl/>
        </w:rPr>
        <w:t>ועדת חקירה</w:t>
      </w:r>
      <w:r w:rsidRPr="0004711E">
        <w:rPr>
          <w:rFonts w:cs="David" w:hint="cs"/>
          <w:sz w:val="28"/>
          <w:szCs w:val="28"/>
          <w:rtl/>
        </w:rPr>
        <w:t xml:space="preserve"> עומדים בני אדם, הנתונים למערכת שיקולים אנושית בקבלת החלטות</w:t>
      </w:r>
      <w:r w:rsidR="002011E9">
        <w:rPr>
          <w:rFonts w:cs="David" w:hint="cs"/>
          <w:sz w:val="28"/>
          <w:szCs w:val="28"/>
          <w:rtl/>
        </w:rPr>
        <w:t>י</w:t>
      </w:r>
      <w:r w:rsidRPr="0004711E">
        <w:rPr>
          <w:rFonts w:cs="David" w:hint="cs"/>
          <w:sz w:val="28"/>
          <w:szCs w:val="28"/>
          <w:rtl/>
        </w:rPr>
        <w:t xml:space="preserve">הם. </w:t>
      </w:r>
      <w:r w:rsidR="008278A9" w:rsidRPr="0004711E">
        <w:rPr>
          <w:rFonts w:cs="David" w:hint="cs"/>
          <w:sz w:val="28"/>
          <w:szCs w:val="28"/>
          <w:rtl/>
        </w:rPr>
        <w:t xml:space="preserve">מספר מרואיינים לעבודה ציינו, כי </w:t>
      </w:r>
      <w:r w:rsidR="00A336FD" w:rsidRPr="0004711E">
        <w:rPr>
          <w:rFonts w:cs="David" w:hint="cs"/>
          <w:sz w:val="28"/>
          <w:szCs w:val="28"/>
          <w:rtl/>
        </w:rPr>
        <w:t>ניסיון העבר מלמד, ש</w:t>
      </w:r>
      <w:r w:rsidR="00DE294F" w:rsidRPr="0004711E">
        <w:rPr>
          <w:rFonts w:cs="David" w:hint="cs"/>
          <w:sz w:val="28"/>
          <w:szCs w:val="28"/>
          <w:rtl/>
        </w:rPr>
        <w:t xml:space="preserve">שיתוף פעולה מאפשר להשפיע </w:t>
      </w:r>
      <w:r w:rsidR="008278A9" w:rsidRPr="0004711E">
        <w:rPr>
          <w:rFonts w:cs="David" w:hint="cs"/>
          <w:sz w:val="28"/>
          <w:szCs w:val="28"/>
          <w:rtl/>
        </w:rPr>
        <w:t xml:space="preserve">באופן חיובי </w:t>
      </w:r>
      <w:r w:rsidR="00DE294F" w:rsidRPr="0004711E">
        <w:rPr>
          <w:rFonts w:cs="David" w:hint="cs"/>
          <w:sz w:val="28"/>
          <w:szCs w:val="28"/>
          <w:rtl/>
        </w:rPr>
        <w:t xml:space="preserve">על </w:t>
      </w:r>
      <w:r w:rsidRPr="0004711E">
        <w:rPr>
          <w:rFonts w:cs="David" w:hint="cs"/>
          <w:sz w:val="28"/>
          <w:szCs w:val="28"/>
          <w:rtl/>
        </w:rPr>
        <w:t xml:space="preserve">אותם בני אדם </w:t>
      </w:r>
      <w:r w:rsidRPr="0004711E">
        <w:rPr>
          <w:rFonts w:cs="David"/>
          <w:sz w:val="28"/>
          <w:szCs w:val="28"/>
          <w:rtl/>
        </w:rPr>
        <w:t>–</w:t>
      </w:r>
      <w:r w:rsidRPr="0004711E">
        <w:rPr>
          <w:rFonts w:cs="David" w:hint="cs"/>
          <w:sz w:val="28"/>
          <w:szCs w:val="28"/>
          <w:rtl/>
        </w:rPr>
        <w:t xml:space="preserve"> ובאמצעותם גם על </w:t>
      </w:r>
      <w:r w:rsidR="00DE294F" w:rsidRPr="0004711E">
        <w:rPr>
          <w:rFonts w:cs="David" w:hint="cs"/>
          <w:sz w:val="28"/>
          <w:szCs w:val="28"/>
          <w:rtl/>
        </w:rPr>
        <w:t xml:space="preserve">הדוחות </w:t>
      </w:r>
      <w:r w:rsidRPr="0004711E">
        <w:rPr>
          <w:rFonts w:cs="David" w:hint="cs"/>
          <w:sz w:val="28"/>
          <w:szCs w:val="28"/>
          <w:rtl/>
        </w:rPr>
        <w:t xml:space="preserve">שהם מפרסמים - </w:t>
      </w:r>
      <w:r w:rsidR="00DE294F" w:rsidRPr="0004711E">
        <w:rPr>
          <w:rFonts w:cs="David" w:hint="cs"/>
          <w:sz w:val="28"/>
          <w:szCs w:val="28"/>
          <w:rtl/>
        </w:rPr>
        <w:t>באופן שלא מתאפשר אם נמנעים משיח עם ה</w:t>
      </w:r>
      <w:r w:rsidR="0074404A">
        <w:rPr>
          <w:rFonts w:cs="David" w:hint="cs"/>
          <w:sz w:val="28"/>
          <w:szCs w:val="28"/>
          <w:rtl/>
        </w:rPr>
        <w:t>ו</w:t>
      </w:r>
      <w:r w:rsidR="001165FD">
        <w:rPr>
          <w:rFonts w:cs="David" w:hint="cs"/>
          <w:sz w:val="28"/>
          <w:szCs w:val="28"/>
          <w:rtl/>
        </w:rPr>
        <w:t>ו</w:t>
      </w:r>
      <w:r w:rsidR="0074404A">
        <w:rPr>
          <w:rFonts w:cs="David" w:hint="cs"/>
          <w:sz w:val="28"/>
          <w:szCs w:val="28"/>
          <w:rtl/>
        </w:rPr>
        <w:t>עדות</w:t>
      </w:r>
      <w:r w:rsidR="00DE294F" w:rsidRPr="0004711E">
        <w:rPr>
          <w:rFonts w:cs="David" w:hint="cs"/>
          <w:sz w:val="28"/>
          <w:szCs w:val="28"/>
          <w:rtl/>
        </w:rPr>
        <w:t xml:space="preserve">. </w:t>
      </w:r>
    </w:p>
    <w:p w:rsidR="008278A9" w:rsidRPr="0004711E" w:rsidRDefault="008278A9" w:rsidP="008B316C">
      <w:pPr>
        <w:spacing w:after="0" w:line="360" w:lineRule="auto"/>
        <w:jc w:val="both"/>
        <w:rPr>
          <w:rFonts w:cs="David"/>
          <w:sz w:val="28"/>
          <w:szCs w:val="28"/>
          <w:rtl/>
        </w:rPr>
      </w:pPr>
    </w:p>
    <w:p w:rsidR="008278A9" w:rsidRPr="0004711E" w:rsidRDefault="00DE294F" w:rsidP="009464EE">
      <w:pPr>
        <w:spacing w:after="0" w:line="360" w:lineRule="auto"/>
        <w:jc w:val="both"/>
        <w:rPr>
          <w:rFonts w:cs="David"/>
          <w:sz w:val="28"/>
          <w:szCs w:val="28"/>
          <w:rtl/>
        </w:rPr>
      </w:pPr>
      <w:r w:rsidRPr="0004711E">
        <w:rPr>
          <w:rFonts w:cs="David" w:hint="cs"/>
          <w:sz w:val="28"/>
          <w:szCs w:val="28"/>
          <w:rtl/>
        </w:rPr>
        <w:t xml:space="preserve">שיתוף פעולה </w:t>
      </w:r>
      <w:r w:rsidR="008278A9" w:rsidRPr="0004711E">
        <w:rPr>
          <w:rFonts w:cs="David" w:hint="cs"/>
          <w:sz w:val="28"/>
          <w:szCs w:val="28"/>
          <w:rtl/>
        </w:rPr>
        <w:t>בין נציגי המדינה לחברי ה</w:t>
      </w:r>
      <w:r w:rsidR="0074404A">
        <w:rPr>
          <w:rFonts w:cs="David" w:hint="cs"/>
          <w:sz w:val="28"/>
          <w:szCs w:val="28"/>
          <w:rtl/>
        </w:rPr>
        <w:t>ו</w:t>
      </w:r>
      <w:r w:rsidR="001165FD">
        <w:rPr>
          <w:rFonts w:cs="David" w:hint="cs"/>
          <w:sz w:val="28"/>
          <w:szCs w:val="28"/>
          <w:rtl/>
        </w:rPr>
        <w:t>ו</w:t>
      </w:r>
      <w:r w:rsidR="0074404A">
        <w:rPr>
          <w:rFonts w:cs="David" w:hint="cs"/>
          <w:sz w:val="28"/>
          <w:szCs w:val="28"/>
          <w:rtl/>
        </w:rPr>
        <w:t>עדה</w:t>
      </w:r>
      <w:r w:rsidR="008278A9" w:rsidRPr="0004711E">
        <w:rPr>
          <w:rFonts w:cs="David" w:hint="cs"/>
          <w:sz w:val="28"/>
          <w:szCs w:val="28"/>
          <w:rtl/>
        </w:rPr>
        <w:t xml:space="preserve"> </w:t>
      </w:r>
      <w:r w:rsidRPr="0004711E">
        <w:rPr>
          <w:rFonts w:cs="David" w:hint="cs"/>
          <w:sz w:val="28"/>
          <w:szCs w:val="28"/>
          <w:rtl/>
        </w:rPr>
        <w:t xml:space="preserve">מאפשר לייצר דינאמיקה אישית וכימיה </w:t>
      </w:r>
      <w:r w:rsidR="00A336FD" w:rsidRPr="0004711E">
        <w:rPr>
          <w:rFonts w:cs="David" w:hint="cs"/>
          <w:sz w:val="28"/>
          <w:szCs w:val="28"/>
          <w:rtl/>
        </w:rPr>
        <w:t>ביניהם</w:t>
      </w:r>
      <w:r w:rsidR="008278A9" w:rsidRPr="0004711E">
        <w:rPr>
          <w:rFonts w:cs="David" w:hint="cs"/>
          <w:sz w:val="28"/>
          <w:szCs w:val="28"/>
          <w:rtl/>
        </w:rPr>
        <w:t>.</w:t>
      </w:r>
      <w:r w:rsidRPr="0004711E">
        <w:rPr>
          <w:rFonts w:cs="David" w:hint="cs"/>
          <w:sz w:val="28"/>
          <w:szCs w:val="28"/>
          <w:rtl/>
        </w:rPr>
        <w:t xml:space="preserve"> </w:t>
      </w:r>
      <w:r w:rsidR="008278A9" w:rsidRPr="0004711E">
        <w:rPr>
          <w:rFonts w:cs="David" w:hint="cs"/>
          <w:sz w:val="28"/>
          <w:szCs w:val="28"/>
          <w:rtl/>
        </w:rPr>
        <w:t>הקשר הזה מאפשר ל</w:t>
      </w:r>
      <w:r w:rsidRPr="0004711E">
        <w:rPr>
          <w:rFonts w:cs="David" w:hint="cs"/>
          <w:sz w:val="28"/>
          <w:szCs w:val="28"/>
          <w:rtl/>
        </w:rPr>
        <w:t xml:space="preserve">חברי </w:t>
      </w:r>
      <w:r w:rsidR="008278A9" w:rsidRPr="0004711E">
        <w:rPr>
          <w:rFonts w:cs="David" w:hint="cs"/>
          <w:sz w:val="28"/>
          <w:szCs w:val="28"/>
          <w:rtl/>
        </w:rPr>
        <w:t>ה</w:t>
      </w:r>
      <w:r w:rsidR="0074404A">
        <w:rPr>
          <w:rFonts w:cs="David" w:hint="cs"/>
          <w:sz w:val="28"/>
          <w:szCs w:val="28"/>
          <w:rtl/>
        </w:rPr>
        <w:t>ו</w:t>
      </w:r>
      <w:r w:rsidR="001165FD">
        <w:rPr>
          <w:rFonts w:cs="David" w:hint="cs"/>
          <w:sz w:val="28"/>
          <w:szCs w:val="28"/>
          <w:rtl/>
        </w:rPr>
        <w:t>ו</w:t>
      </w:r>
      <w:r w:rsidR="0074404A">
        <w:rPr>
          <w:rFonts w:cs="David" w:hint="cs"/>
          <w:sz w:val="28"/>
          <w:szCs w:val="28"/>
          <w:rtl/>
        </w:rPr>
        <w:t>עדה</w:t>
      </w:r>
      <w:r w:rsidRPr="0004711E">
        <w:rPr>
          <w:rFonts w:cs="David" w:hint="cs"/>
          <w:sz w:val="28"/>
          <w:szCs w:val="28"/>
          <w:rtl/>
        </w:rPr>
        <w:t xml:space="preserve"> להתרשם מרצינותם הרבה, מתפיסות עולמם המערביות המתקדמות (שבדרך כלל יהיו דומות לאלה של חברי ה</w:t>
      </w:r>
      <w:r w:rsidR="0074404A">
        <w:rPr>
          <w:rFonts w:cs="David" w:hint="cs"/>
          <w:sz w:val="28"/>
          <w:szCs w:val="28"/>
          <w:rtl/>
        </w:rPr>
        <w:t>ו</w:t>
      </w:r>
      <w:r w:rsidR="001165FD">
        <w:rPr>
          <w:rFonts w:cs="David" w:hint="cs"/>
          <w:sz w:val="28"/>
          <w:szCs w:val="28"/>
          <w:rtl/>
        </w:rPr>
        <w:t>ו</w:t>
      </w:r>
      <w:r w:rsidR="0074404A">
        <w:rPr>
          <w:rFonts w:cs="David" w:hint="cs"/>
          <w:sz w:val="28"/>
          <w:szCs w:val="28"/>
          <w:rtl/>
        </w:rPr>
        <w:t>עדה</w:t>
      </w:r>
      <w:r w:rsidRPr="0004711E">
        <w:rPr>
          <w:rFonts w:cs="David" w:hint="cs"/>
          <w:sz w:val="28"/>
          <w:szCs w:val="28"/>
          <w:rtl/>
        </w:rPr>
        <w:t xml:space="preserve">) ומרמתם האישית הגבוהה של הנציגים הישראלים. </w:t>
      </w:r>
      <w:r w:rsidR="008278A9" w:rsidRPr="0004711E">
        <w:rPr>
          <w:rFonts w:cs="David" w:hint="cs"/>
          <w:sz w:val="28"/>
          <w:szCs w:val="28"/>
          <w:rtl/>
        </w:rPr>
        <w:t xml:space="preserve">העובדה שמדינת ישראל התברכה במשפטנים מומחים למשפט הבינלאומי מהמעלה הראשונה בעולם </w:t>
      </w:r>
      <w:r w:rsidR="009830FC" w:rsidRPr="0004711E">
        <w:rPr>
          <w:rFonts w:cs="David" w:hint="cs"/>
          <w:sz w:val="28"/>
          <w:szCs w:val="28"/>
          <w:rtl/>
        </w:rPr>
        <w:t xml:space="preserve">יכולה </w:t>
      </w:r>
      <w:r w:rsidR="008278A9" w:rsidRPr="0004711E">
        <w:rPr>
          <w:rFonts w:cs="David" w:hint="cs"/>
          <w:sz w:val="28"/>
          <w:szCs w:val="28"/>
          <w:rtl/>
        </w:rPr>
        <w:t xml:space="preserve">בוודאי להוביל להערכה רבה </w:t>
      </w:r>
      <w:r w:rsidR="006E412B" w:rsidRPr="0004711E">
        <w:rPr>
          <w:rFonts w:cs="David" w:hint="cs"/>
          <w:sz w:val="28"/>
          <w:szCs w:val="28"/>
          <w:rtl/>
        </w:rPr>
        <w:t>כלפיהם וכלפי מה שהם מייצגים</w:t>
      </w:r>
      <w:r w:rsidR="008278A9" w:rsidRPr="0004711E">
        <w:rPr>
          <w:rFonts w:cs="David" w:hint="cs"/>
          <w:sz w:val="28"/>
          <w:szCs w:val="28"/>
          <w:rtl/>
        </w:rPr>
        <w:t>.</w:t>
      </w:r>
      <w:r w:rsidR="00654158" w:rsidRPr="0004711E">
        <w:rPr>
          <w:rFonts w:cs="David" w:hint="cs"/>
          <w:sz w:val="28"/>
          <w:szCs w:val="28"/>
          <w:rtl/>
        </w:rPr>
        <w:t xml:space="preserve"> שיתוף פעולה מעין זה מייצר אצל חברי ה</w:t>
      </w:r>
      <w:r w:rsidR="001165FD">
        <w:rPr>
          <w:rFonts w:cs="David" w:hint="cs"/>
          <w:sz w:val="28"/>
          <w:szCs w:val="28"/>
          <w:rtl/>
        </w:rPr>
        <w:t>ו</w:t>
      </w:r>
      <w:r w:rsidR="0074404A">
        <w:rPr>
          <w:rFonts w:cs="David" w:hint="cs"/>
          <w:sz w:val="28"/>
          <w:szCs w:val="28"/>
          <w:rtl/>
        </w:rPr>
        <w:t>ועדה</w:t>
      </w:r>
      <w:r w:rsidR="00654158" w:rsidRPr="0004711E">
        <w:rPr>
          <w:rFonts w:cs="David" w:hint="cs"/>
          <w:sz w:val="28"/>
          <w:szCs w:val="28"/>
          <w:rtl/>
        </w:rPr>
        <w:t xml:space="preserve"> את תחושת המחויבות הגבוהה של המדינה לתהליך הבדיקה ולנורמות בכלל. לכן הוא גם יכול ללמד על הלך הרוח הכללי של המדינה ביחס לכיבוד הנורמות, ועל כך שהלך רוח כזה גם הכתיב את קבלת ההחלטות בעת </w:t>
      </w:r>
      <w:r w:rsidR="004418B3">
        <w:rPr>
          <w:rFonts w:cs="David" w:hint="cs"/>
          <w:sz w:val="28"/>
          <w:szCs w:val="28"/>
          <w:rtl/>
        </w:rPr>
        <w:t xml:space="preserve">התרחשות </w:t>
      </w:r>
      <w:r w:rsidR="00654158" w:rsidRPr="0004711E">
        <w:rPr>
          <w:rFonts w:cs="David" w:hint="cs"/>
          <w:sz w:val="28"/>
          <w:szCs w:val="28"/>
          <w:rtl/>
        </w:rPr>
        <w:t>האירועים הנבדקים</w:t>
      </w:r>
      <w:r w:rsidR="00692192">
        <w:rPr>
          <w:rFonts w:cs="David" w:hint="cs"/>
          <w:sz w:val="28"/>
          <w:szCs w:val="28"/>
          <w:rtl/>
        </w:rPr>
        <w:t xml:space="preserve"> על ידי </w:t>
      </w:r>
      <w:r w:rsidR="001165FD">
        <w:rPr>
          <w:rFonts w:cs="David" w:hint="cs"/>
          <w:sz w:val="28"/>
          <w:szCs w:val="28"/>
          <w:rtl/>
        </w:rPr>
        <w:t>הוועדה</w:t>
      </w:r>
      <w:r w:rsidR="00654158" w:rsidRPr="0004711E">
        <w:rPr>
          <w:rFonts w:cs="David" w:hint="cs"/>
          <w:sz w:val="28"/>
          <w:szCs w:val="28"/>
          <w:rtl/>
        </w:rPr>
        <w:t>.</w:t>
      </w:r>
      <w:r w:rsidR="008278A9" w:rsidRPr="0004711E">
        <w:rPr>
          <w:rFonts w:cs="David" w:hint="cs"/>
          <w:sz w:val="28"/>
          <w:szCs w:val="28"/>
          <w:rtl/>
        </w:rPr>
        <w:t xml:space="preserve"> </w:t>
      </w:r>
      <w:r w:rsidR="00654158" w:rsidRPr="0004711E">
        <w:rPr>
          <w:rFonts w:cs="David" w:hint="cs"/>
          <w:sz w:val="28"/>
          <w:szCs w:val="28"/>
          <w:rtl/>
        </w:rPr>
        <w:t xml:space="preserve">לפיכך, </w:t>
      </w:r>
      <w:r w:rsidRPr="0004711E">
        <w:rPr>
          <w:rFonts w:cs="David" w:hint="cs"/>
          <w:sz w:val="28"/>
          <w:szCs w:val="28"/>
          <w:rtl/>
        </w:rPr>
        <w:t xml:space="preserve">קשר אישי כזה בדרך כלל ישפיע גם על האופן שבו ייכתב הדוח </w:t>
      </w:r>
      <w:r w:rsidRPr="0004711E">
        <w:rPr>
          <w:rFonts w:cs="David"/>
          <w:sz w:val="28"/>
          <w:szCs w:val="28"/>
          <w:rtl/>
        </w:rPr>
        <w:t>–</w:t>
      </w:r>
      <w:r w:rsidRPr="0004711E">
        <w:rPr>
          <w:rFonts w:cs="David" w:hint="cs"/>
          <w:sz w:val="28"/>
          <w:szCs w:val="28"/>
          <w:rtl/>
        </w:rPr>
        <w:t xml:space="preserve"> במקום שבו תהיה הערכה גבוהה לדרך שבה הוצגה עמדתה של ישראל בפני </w:t>
      </w:r>
      <w:r w:rsidR="001165FD">
        <w:rPr>
          <w:rFonts w:cs="David" w:hint="cs"/>
          <w:sz w:val="28"/>
          <w:szCs w:val="28"/>
          <w:rtl/>
        </w:rPr>
        <w:t>הוועדה</w:t>
      </w:r>
      <w:r w:rsidR="00654158" w:rsidRPr="0004711E">
        <w:rPr>
          <w:rFonts w:cs="David" w:hint="cs"/>
          <w:sz w:val="28"/>
          <w:szCs w:val="28"/>
          <w:rtl/>
        </w:rPr>
        <w:t xml:space="preserve"> ולמחויבותה כלפי התהליך</w:t>
      </w:r>
      <w:r w:rsidRPr="0004711E">
        <w:rPr>
          <w:rFonts w:cs="David" w:hint="cs"/>
          <w:sz w:val="28"/>
          <w:szCs w:val="28"/>
          <w:rtl/>
        </w:rPr>
        <w:t xml:space="preserve">, ייכתב דוח טוב יותר מבחינת ישראל. </w:t>
      </w:r>
    </w:p>
    <w:p w:rsidR="008278A9" w:rsidRPr="0004711E" w:rsidRDefault="008278A9" w:rsidP="008B316C">
      <w:pPr>
        <w:spacing w:after="0" w:line="360" w:lineRule="auto"/>
        <w:jc w:val="both"/>
        <w:rPr>
          <w:rFonts w:cs="David"/>
          <w:sz w:val="28"/>
          <w:szCs w:val="28"/>
          <w:rtl/>
        </w:rPr>
      </w:pPr>
    </w:p>
    <w:p w:rsidR="00C902F6" w:rsidRPr="0004711E" w:rsidRDefault="00DE294F" w:rsidP="001165FD">
      <w:pPr>
        <w:spacing w:after="0" w:line="360" w:lineRule="auto"/>
        <w:jc w:val="both"/>
        <w:rPr>
          <w:rFonts w:cs="David"/>
          <w:sz w:val="28"/>
          <w:szCs w:val="28"/>
          <w:rtl/>
        </w:rPr>
      </w:pPr>
      <w:r w:rsidRPr="0004711E">
        <w:rPr>
          <w:rFonts w:cs="David" w:hint="cs"/>
          <w:sz w:val="28"/>
          <w:szCs w:val="28"/>
          <w:rtl/>
        </w:rPr>
        <w:t>השיח הישיר בין הנציגים הישראל</w:t>
      </w:r>
      <w:r w:rsidR="004418B3">
        <w:rPr>
          <w:rFonts w:cs="David" w:hint="cs"/>
          <w:sz w:val="28"/>
          <w:szCs w:val="28"/>
          <w:rtl/>
        </w:rPr>
        <w:t xml:space="preserve">ים לחברי </w:t>
      </w:r>
      <w:r w:rsidR="001165FD">
        <w:rPr>
          <w:rFonts w:cs="David" w:hint="cs"/>
          <w:sz w:val="28"/>
          <w:szCs w:val="28"/>
          <w:rtl/>
        </w:rPr>
        <w:t>הוועדה</w:t>
      </w:r>
      <w:r w:rsidR="004418B3">
        <w:rPr>
          <w:rFonts w:cs="David" w:hint="cs"/>
          <w:sz w:val="28"/>
          <w:szCs w:val="28"/>
          <w:rtl/>
        </w:rPr>
        <w:t xml:space="preserve"> מאפשר גם לתת לאחרוני</w:t>
      </w:r>
      <w:r w:rsidRPr="0004711E">
        <w:rPr>
          <w:rFonts w:cs="David" w:hint="cs"/>
          <w:sz w:val="28"/>
          <w:szCs w:val="28"/>
          <w:rtl/>
        </w:rPr>
        <w:t xml:space="preserve">ם את התחושה שהם משפיעים ומניעים תהליכים שיוצגו בפניהם (בסופו של דבר, ישראל בחנה ויישמה גם המלצות מתוך דוחות </w:t>
      </w:r>
      <w:r w:rsidR="008278A9" w:rsidRPr="0004711E">
        <w:rPr>
          <w:rFonts w:cs="David" w:hint="cs"/>
          <w:sz w:val="28"/>
          <w:szCs w:val="28"/>
          <w:rtl/>
        </w:rPr>
        <w:t xml:space="preserve">שהיו </w:t>
      </w:r>
      <w:r w:rsidRPr="0004711E">
        <w:rPr>
          <w:rFonts w:cs="David" w:hint="cs"/>
          <w:sz w:val="28"/>
          <w:szCs w:val="28"/>
          <w:rtl/>
        </w:rPr>
        <w:t>רעים מבחינתה, ו</w:t>
      </w:r>
      <w:r w:rsidR="008278A9" w:rsidRPr="0004711E">
        <w:rPr>
          <w:rFonts w:cs="David" w:hint="cs"/>
          <w:sz w:val="28"/>
          <w:szCs w:val="28"/>
          <w:rtl/>
        </w:rPr>
        <w:t>לו הייתה משתפת פעולה עם אות</w:t>
      </w:r>
      <w:r w:rsidR="001165FD">
        <w:rPr>
          <w:rFonts w:cs="David" w:hint="cs"/>
          <w:sz w:val="28"/>
          <w:szCs w:val="28"/>
          <w:rtl/>
        </w:rPr>
        <w:t>ן</w:t>
      </w:r>
      <w:r w:rsidR="008278A9" w:rsidRPr="0004711E">
        <w:rPr>
          <w:rFonts w:cs="David" w:hint="cs"/>
          <w:sz w:val="28"/>
          <w:szCs w:val="28"/>
          <w:rtl/>
        </w:rPr>
        <w:t xml:space="preserve"> </w:t>
      </w:r>
      <w:r w:rsidR="0074404A">
        <w:rPr>
          <w:rFonts w:cs="David" w:hint="cs"/>
          <w:sz w:val="28"/>
          <w:szCs w:val="28"/>
          <w:rtl/>
        </w:rPr>
        <w:t>ועדות</w:t>
      </w:r>
      <w:r w:rsidR="008278A9" w:rsidRPr="0004711E">
        <w:rPr>
          <w:rFonts w:cs="David" w:hint="cs"/>
          <w:sz w:val="28"/>
          <w:szCs w:val="28"/>
          <w:rtl/>
        </w:rPr>
        <w:t xml:space="preserve"> שכתבו את הדוחות, </w:t>
      </w:r>
      <w:r w:rsidRPr="0004711E">
        <w:rPr>
          <w:rFonts w:cs="David" w:hint="cs"/>
          <w:sz w:val="28"/>
          <w:szCs w:val="28"/>
          <w:rtl/>
        </w:rPr>
        <w:t>אפשר היה לעשות ב</w:t>
      </w:r>
      <w:r w:rsidR="008278A9" w:rsidRPr="0004711E">
        <w:rPr>
          <w:rFonts w:cs="David" w:hint="cs"/>
          <w:sz w:val="28"/>
          <w:szCs w:val="28"/>
          <w:rtl/>
        </w:rPr>
        <w:t>עובד</w:t>
      </w:r>
      <w:r w:rsidRPr="0004711E">
        <w:rPr>
          <w:rFonts w:cs="David" w:hint="cs"/>
          <w:sz w:val="28"/>
          <w:szCs w:val="28"/>
          <w:rtl/>
        </w:rPr>
        <w:t xml:space="preserve">ה </w:t>
      </w:r>
      <w:r w:rsidR="008278A9" w:rsidRPr="0004711E">
        <w:rPr>
          <w:rFonts w:cs="David" w:hint="cs"/>
          <w:sz w:val="28"/>
          <w:szCs w:val="28"/>
          <w:rtl/>
        </w:rPr>
        <w:t xml:space="preserve">זו </w:t>
      </w:r>
      <w:r w:rsidRPr="0004711E">
        <w:rPr>
          <w:rFonts w:cs="David" w:hint="cs"/>
          <w:sz w:val="28"/>
          <w:szCs w:val="28"/>
          <w:rtl/>
        </w:rPr>
        <w:t xml:space="preserve">שימוש כדי להשפיע על חברי </w:t>
      </w:r>
      <w:r w:rsidR="001165FD">
        <w:rPr>
          <w:rFonts w:cs="David" w:hint="cs"/>
          <w:sz w:val="28"/>
          <w:szCs w:val="28"/>
          <w:rtl/>
        </w:rPr>
        <w:t>הוועדה</w:t>
      </w:r>
      <w:r w:rsidRPr="0004711E">
        <w:rPr>
          <w:rFonts w:cs="David" w:hint="cs"/>
          <w:sz w:val="28"/>
          <w:szCs w:val="28"/>
          <w:rtl/>
        </w:rPr>
        <w:t xml:space="preserve">). שיח </w:t>
      </w:r>
      <w:r w:rsidR="008278A9" w:rsidRPr="0004711E">
        <w:rPr>
          <w:rFonts w:cs="David" w:hint="cs"/>
          <w:sz w:val="28"/>
          <w:szCs w:val="28"/>
          <w:rtl/>
        </w:rPr>
        <w:t xml:space="preserve">כזה מייצר </w:t>
      </w:r>
      <w:r w:rsidRPr="0004711E">
        <w:rPr>
          <w:rFonts w:cs="David" w:hint="cs"/>
          <w:sz w:val="28"/>
          <w:szCs w:val="28"/>
          <w:rtl/>
        </w:rPr>
        <w:t xml:space="preserve">תחושה שהצד הישראלי </w:t>
      </w:r>
      <w:r w:rsidR="00C902F6" w:rsidRPr="0004711E">
        <w:rPr>
          <w:rFonts w:cs="David" w:hint="cs"/>
          <w:sz w:val="28"/>
          <w:szCs w:val="28"/>
          <w:rtl/>
        </w:rPr>
        <w:t xml:space="preserve">מסייע </w:t>
      </w:r>
      <w:r w:rsidRPr="0004711E">
        <w:rPr>
          <w:rFonts w:cs="David" w:hint="cs"/>
          <w:sz w:val="28"/>
          <w:szCs w:val="28"/>
          <w:rtl/>
        </w:rPr>
        <w:t xml:space="preserve">לחברי </w:t>
      </w:r>
      <w:r w:rsidR="001165FD">
        <w:rPr>
          <w:rFonts w:cs="David" w:hint="cs"/>
          <w:sz w:val="28"/>
          <w:szCs w:val="28"/>
          <w:rtl/>
        </w:rPr>
        <w:t>הוועדה</w:t>
      </w:r>
      <w:r w:rsidRPr="0004711E">
        <w:rPr>
          <w:rFonts w:cs="David" w:hint="cs"/>
          <w:sz w:val="28"/>
          <w:szCs w:val="28"/>
          <w:rtl/>
        </w:rPr>
        <w:t xml:space="preserve"> לראות את הצד </w:t>
      </w:r>
      <w:r w:rsidR="00C902F6" w:rsidRPr="0004711E">
        <w:rPr>
          <w:rFonts w:cs="David" w:hint="cs"/>
          <w:sz w:val="28"/>
          <w:szCs w:val="28"/>
          <w:rtl/>
        </w:rPr>
        <w:t>הישראלי של התמונה המורכבת.</w:t>
      </w:r>
    </w:p>
    <w:p w:rsidR="00C902F6" w:rsidRPr="0004711E" w:rsidRDefault="00C902F6" w:rsidP="008B316C">
      <w:pPr>
        <w:spacing w:after="0" w:line="360" w:lineRule="auto"/>
        <w:jc w:val="both"/>
        <w:rPr>
          <w:rFonts w:cs="David"/>
          <w:sz w:val="28"/>
          <w:szCs w:val="28"/>
          <w:rtl/>
        </w:rPr>
      </w:pPr>
    </w:p>
    <w:p w:rsidR="00514764" w:rsidRPr="0004711E" w:rsidRDefault="004418B3" w:rsidP="009464EE">
      <w:pPr>
        <w:spacing w:after="0" w:line="360" w:lineRule="auto"/>
        <w:jc w:val="both"/>
        <w:rPr>
          <w:rFonts w:cs="David"/>
          <w:sz w:val="28"/>
          <w:szCs w:val="28"/>
          <w:rtl/>
        </w:rPr>
      </w:pPr>
      <w:r>
        <w:rPr>
          <w:rFonts w:cs="David" w:hint="cs"/>
          <w:sz w:val="28"/>
          <w:szCs w:val="28"/>
          <w:rtl/>
        </w:rPr>
        <w:lastRenderedPageBreak/>
        <w:t>בספרו של פרופסור</w:t>
      </w:r>
      <w:r w:rsidR="00514764" w:rsidRPr="0004711E">
        <w:rPr>
          <w:rFonts w:cs="David" w:hint="cs"/>
          <w:sz w:val="28"/>
          <w:szCs w:val="28"/>
          <w:rtl/>
        </w:rPr>
        <w:t xml:space="preserve"> דניאל כהנמן, חתן פרס נובל לכלכלה, </w:t>
      </w:r>
      <w:r w:rsidR="00514764" w:rsidRPr="0004711E">
        <w:rPr>
          <w:rFonts w:cs="David"/>
          <w:sz w:val="28"/>
          <w:szCs w:val="28"/>
        </w:rPr>
        <w:t>Thinking Fast and Slow</w:t>
      </w:r>
      <w:r w:rsidR="00514764" w:rsidRPr="0004711E">
        <w:rPr>
          <w:rStyle w:val="a7"/>
          <w:rFonts w:cs="David"/>
          <w:sz w:val="28"/>
          <w:szCs w:val="28"/>
          <w:rtl/>
        </w:rPr>
        <w:footnoteReference w:id="142"/>
      </w:r>
      <w:r w:rsidR="00514764" w:rsidRPr="0004711E">
        <w:rPr>
          <w:rFonts w:cs="David" w:hint="cs"/>
          <w:sz w:val="28"/>
          <w:szCs w:val="28"/>
          <w:rtl/>
        </w:rPr>
        <w:t xml:space="preserve">, </w:t>
      </w:r>
      <w:r w:rsidR="00C709E5" w:rsidRPr="0004711E">
        <w:rPr>
          <w:rFonts w:cs="David" w:hint="cs"/>
          <w:sz w:val="28"/>
          <w:szCs w:val="28"/>
          <w:rtl/>
        </w:rPr>
        <w:t>ניתן למצוא התייחסות לנטייה של אנשים לייחס משקל רב להתרשמותם החיובית מאנשים אחרים ולרגש חיובי שיש להם כלפי דברים או אנשים, בעת שהם עושים שיפוטים או מקבלים החלטות לגבי עניינים הקשורים לאותם אנשים, ואשר התרשמותם או הרגש שלהם אינם קשורים אליהם. כך, לדוגמה, מדבר כהנמן על "</w:t>
      </w:r>
      <w:r w:rsidR="00C709E5" w:rsidRPr="0004711E">
        <w:rPr>
          <w:rFonts w:cs="David"/>
          <w:sz w:val="28"/>
          <w:szCs w:val="28"/>
        </w:rPr>
        <w:t>halo effect</w:t>
      </w:r>
      <w:r w:rsidR="00C709E5" w:rsidRPr="0004711E">
        <w:rPr>
          <w:rFonts w:cs="David" w:hint="cs"/>
          <w:sz w:val="28"/>
          <w:szCs w:val="28"/>
          <w:rtl/>
        </w:rPr>
        <w:t>" (אפקט ההילה), שגורם לכך שהתרשמות ראשונה חיובית משפיעה על שיפוט מאוחר יותר. כן מדבר כהנמן על "</w:t>
      </w:r>
      <w:r w:rsidR="00C709E5" w:rsidRPr="0004711E">
        <w:rPr>
          <w:rFonts w:cs="David"/>
          <w:sz w:val="28"/>
          <w:szCs w:val="28"/>
        </w:rPr>
        <w:t>affect heuristic</w:t>
      </w:r>
      <w:r w:rsidR="00C709E5" w:rsidRPr="0004711E">
        <w:rPr>
          <w:rFonts w:cs="David" w:hint="cs"/>
          <w:sz w:val="28"/>
          <w:szCs w:val="28"/>
          <w:rtl/>
        </w:rPr>
        <w:t xml:space="preserve">" (יוריסטיקת הרגש), מצב שבו שיפוטים והחלטות מוּנְחים באופן ישיר מרגשות של אהדה או סלידה, ומעט שיקול דעת או היגיון. נראה שלדברים יש רלוונטיות גם לשיקול דנן, של יכולת ההשפעה האנושית על תהליך קבלת ההחלטות והשיפוט בתוך </w:t>
      </w:r>
      <w:r w:rsidR="001165FD">
        <w:rPr>
          <w:rFonts w:cs="David" w:hint="cs"/>
          <w:sz w:val="28"/>
          <w:szCs w:val="28"/>
          <w:rtl/>
        </w:rPr>
        <w:t>הוועדה</w:t>
      </w:r>
      <w:r w:rsidR="00C709E5" w:rsidRPr="0004711E">
        <w:rPr>
          <w:rFonts w:cs="David" w:hint="cs"/>
          <w:sz w:val="28"/>
          <w:szCs w:val="28"/>
          <w:rtl/>
        </w:rPr>
        <w:t>. לעניין זה היו מרואיינים שטענו, ששימוש ב"מתקפת קסם" (</w:t>
      </w:r>
      <w:r w:rsidR="00C709E5" w:rsidRPr="0004711E">
        <w:rPr>
          <w:rFonts w:cs="David"/>
          <w:sz w:val="28"/>
          <w:szCs w:val="28"/>
        </w:rPr>
        <w:t>charm offensive</w:t>
      </w:r>
      <w:r w:rsidR="0012219A" w:rsidRPr="0004711E">
        <w:rPr>
          <w:rFonts w:cs="David" w:hint="cs"/>
          <w:sz w:val="28"/>
          <w:szCs w:val="28"/>
          <w:rtl/>
        </w:rPr>
        <w:t xml:space="preserve"> או </w:t>
      </w:r>
      <w:r w:rsidR="0012219A" w:rsidRPr="0004711E">
        <w:rPr>
          <w:rFonts w:cs="David"/>
          <w:sz w:val="28"/>
          <w:szCs w:val="28"/>
        </w:rPr>
        <w:t>charm campaign</w:t>
      </w:r>
      <w:r w:rsidR="00C709E5" w:rsidRPr="0004711E">
        <w:rPr>
          <w:rFonts w:cs="David" w:hint="cs"/>
          <w:sz w:val="28"/>
          <w:szCs w:val="28"/>
          <w:rtl/>
        </w:rPr>
        <w:t xml:space="preserve">) לגיטימי ורצוי בהחלט. נטען, שגם אם מתקפה מעין זו לא תשנה את אופי הדוח </w:t>
      </w:r>
      <w:r w:rsidR="0057724A" w:rsidRPr="0004711E">
        <w:rPr>
          <w:rFonts w:cs="David" w:hint="cs"/>
          <w:sz w:val="28"/>
          <w:szCs w:val="28"/>
          <w:rtl/>
        </w:rPr>
        <w:t xml:space="preserve">שייכתב </w:t>
      </w:r>
      <w:r w:rsidR="00C709E5" w:rsidRPr="0004711E">
        <w:rPr>
          <w:rFonts w:cs="David" w:hint="cs"/>
          <w:sz w:val="28"/>
          <w:szCs w:val="28"/>
          <w:rtl/>
        </w:rPr>
        <w:t xml:space="preserve">לחלוטין, </w:t>
      </w:r>
      <w:r w:rsidR="0057724A" w:rsidRPr="0004711E">
        <w:rPr>
          <w:rFonts w:cs="David" w:hint="cs"/>
          <w:sz w:val="28"/>
          <w:szCs w:val="28"/>
          <w:rtl/>
        </w:rPr>
        <w:t xml:space="preserve">היא </w:t>
      </w:r>
      <w:r w:rsidR="00C709E5" w:rsidRPr="0004711E">
        <w:rPr>
          <w:rFonts w:cs="David" w:hint="cs"/>
          <w:sz w:val="28"/>
          <w:szCs w:val="28"/>
          <w:rtl/>
        </w:rPr>
        <w:t>בהחלט יכול</w:t>
      </w:r>
      <w:r w:rsidR="0057724A" w:rsidRPr="0004711E">
        <w:rPr>
          <w:rFonts w:cs="David" w:hint="cs"/>
          <w:sz w:val="28"/>
          <w:szCs w:val="28"/>
          <w:rtl/>
        </w:rPr>
        <w:t>ה</w:t>
      </w:r>
      <w:r w:rsidR="00C709E5" w:rsidRPr="0004711E">
        <w:rPr>
          <w:rFonts w:cs="David" w:hint="cs"/>
          <w:sz w:val="28"/>
          <w:szCs w:val="28"/>
          <w:rtl/>
        </w:rPr>
        <w:t xml:space="preserve"> לשנ</w:t>
      </w:r>
      <w:r w:rsidR="0057724A" w:rsidRPr="0004711E">
        <w:rPr>
          <w:rFonts w:cs="David" w:hint="cs"/>
          <w:sz w:val="28"/>
          <w:szCs w:val="28"/>
          <w:rtl/>
        </w:rPr>
        <w:t xml:space="preserve">ות את הטון ואת הפרטים הכלולים בדוח, ובאופן כללי </w:t>
      </w:r>
      <w:r w:rsidR="001165FD">
        <w:rPr>
          <w:rFonts w:cs="David" w:hint="cs"/>
          <w:sz w:val="28"/>
          <w:szCs w:val="28"/>
          <w:rtl/>
        </w:rPr>
        <w:t>לצמצם</w:t>
      </w:r>
      <w:r w:rsidR="0057724A" w:rsidRPr="0004711E">
        <w:rPr>
          <w:rFonts w:cs="David" w:hint="cs"/>
          <w:sz w:val="28"/>
          <w:szCs w:val="28"/>
          <w:rtl/>
        </w:rPr>
        <w:t xml:space="preserve"> את הנזק מהדוח</w:t>
      </w:r>
      <w:r w:rsidR="00C709E5" w:rsidRPr="0004711E">
        <w:rPr>
          <w:rFonts w:cs="David" w:hint="cs"/>
          <w:sz w:val="28"/>
          <w:szCs w:val="28"/>
          <w:rtl/>
        </w:rPr>
        <w:t>.</w:t>
      </w:r>
    </w:p>
    <w:p w:rsidR="0057724A" w:rsidRPr="0004711E" w:rsidRDefault="0057724A" w:rsidP="008B316C">
      <w:pPr>
        <w:spacing w:after="0" w:line="360" w:lineRule="auto"/>
        <w:jc w:val="both"/>
        <w:rPr>
          <w:rFonts w:cs="David"/>
          <w:sz w:val="28"/>
          <w:szCs w:val="28"/>
          <w:rtl/>
        </w:rPr>
      </w:pPr>
    </w:p>
    <w:p w:rsidR="00A51C2D" w:rsidRPr="0004711E" w:rsidRDefault="00A51C2D" w:rsidP="00BD055C">
      <w:pPr>
        <w:spacing w:after="0" w:line="360" w:lineRule="auto"/>
        <w:jc w:val="both"/>
        <w:rPr>
          <w:rFonts w:cs="David"/>
          <w:sz w:val="28"/>
          <w:szCs w:val="28"/>
          <w:rtl/>
        </w:rPr>
      </w:pPr>
      <w:r w:rsidRPr="0004711E">
        <w:rPr>
          <w:rFonts w:cs="David" w:hint="cs"/>
          <w:sz w:val="28"/>
          <w:szCs w:val="28"/>
          <w:rtl/>
        </w:rPr>
        <w:t xml:space="preserve">נראה גם, שקשר ישיר עם חברי </w:t>
      </w:r>
      <w:r w:rsidR="001165FD">
        <w:rPr>
          <w:rFonts w:cs="David" w:hint="cs"/>
          <w:sz w:val="28"/>
          <w:szCs w:val="28"/>
          <w:rtl/>
        </w:rPr>
        <w:t>הוועדה</w:t>
      </w:r>
      <w:r w:rsidRPr="0004711E">
        <w:rPr>
          <w:rFonts w:cs="David" w:hint="cs"/>
          <w:sz w:val="28"/>
          <w:szCs w:val="28"/>
          <w:rtl/>
        </w:rPr>
        <w:t xml:space="preserve"> יכול לעיתים למנוע אמירות קשות במיוחד שמייחסים דוחות </w:t>
      </w:r>
      <w:r w:rsidR="001165FD">
        <w:rPr>
          <w:rFonts w:cs="David" w:hint="cs"/>
          <w:sz w:val="28"/>
          <w:szCs w:val="28"/>
          <w:rtl/>
        </w:rPr>
        <w:t>הוועדות</w:t>
      </w:r>
      <w:r w:rsidRPr="0004711E">
        <w:rPr>
          <w:rFonts w:cs="David" w:hint="cs"/>
          <w:sz w:val="28"/>
          <w:szCs w:val="28"/>
          <w:rtl/>
        </w:rPr>
        <w:t xml:space="preserve"> לישראל. </w:t>
      </w:r>
      <w:r w:rsidR="00BD055C">
        <w:rPr>
          <w:rFonts w:cs="David" w:hint="cs"/>
          <w:sz w:val="28"/>
          <w:szCs w:val="28"/>
          <w:rtl/>
        </w:rPr>
        <w:t xml:space="preserve">כך, לדוגמה, </w:t>
      </w:r>
      <w:r w:rsidRPr="0004711E">
        <w:rPr>
          <w:rFonts w:cs="David" w:hint="cs"/>
          <w:sz w:val="28"/>
          <w:szCs w:val="28"/>
          <w:rtl/>
        </w:rPr>
        <w:t>בדוח גולדסטון צוטטו אמירות של פוליטיקאים ישראלים בניסיון להוכיח שצה"ל פעל במכוון כנגד אוכלוסייה אזרחית על פי מדיניות שהוכתבה</w:t>
      </w:r>
      <w:r w:rsidR="00692192">
        <w:rPr>
          <w:rFonts w:cs="David" w:hint="cs"/>
          <w:sz w:val="28"/>
          <w:szCs w:val="28"/>
          <w:rtl/>
        </w:rPr>
        <w:t xml:space="preserve"> על ידי </w:t>
      </w:r>
      <w:r w:rsidRPr="0004711E">
        <w:rPr>
          <w:rFonts w:cs="David" w:hint="cs"/>
          <w:sz w:val="28"/>
          <w:szCs w:val="28"/>
          <w:rtl/>
        </w:rPr>
        <w:t>הדרג המדיני</w:t>
      </w:r>
      <w:r w:rsidRPr="0004711E">
        <w:rPr>
          <w:rStyle w:val="a7"/>
          <w:rFonts w:cs="David"/>
          <w:sz w:val="28"/>
          <w:szCs w:val="28"/>
          <w:rtl/>
        </w:rPr>
        <w:footnoteReference w:id="143"/>
      </w:r>
      <w:r w:rsidRPr="0004711E">
        <w:rPr>
          <w:rFonts w:cs="David" w:hint="cs"/>
          <w:sz w:val="28"/>
          <w:szCs w:val="28"/>
          <w:rtl/>
        </w:rPr>
        <w:t xml:space="preserve">. נראה כי קשר ישיר בין נציגים ישראלים לחברי </w:t>
      </w:r>
      <w:r w:rsidR="001165FD">
        <w:rPr>
          <w:rFonts w:cs="David" w:hint="cs"/>
          <w:sz w:val="28"/>
          <w:szCs w:val="28"/>
          <w:rtl/>
        </w:rPr>
        <w:t>הוועדה</w:t>
      </w:r>
      <w:r w:rsidRPr="0004711E">
        <w:rPr>
          <w:rFonts w:cs="David" w:hint="cs"/>
          <w:sz w:val="28"/>
          <w:szCs w:val="28"/>
          <w:rtl/>
        </w:rPr>
        <w:t xml:space="preserve"> היה יכול במקרים מסוימים למנוע אמירות משוללות יסוד מעין אלה, או לפחות לעדן אותן.</w:t>
      </w:r>
    </w:p>
    <w:p w:rsidR="00A51C2D" w:rsidRPr="0004711E" w:rsidRDefault="00A51C2D" w:rsidP="008B316C">
      <w:pPr>
        <w:spacing w:after="0" w:line="360" w:lineRule="auto"/>
        <w:jc w:val="both"/>
        <w:rPr>
          <w:rFonts w:cs="David"/>
          <w:sz w:val="28"/>
          <w:szCs w:val="28"/>
          <w:rtl/>
        </w:rPr>
      </w:pPr>
    </w:p>
    <w:p w:rsidR="006E412B" w:rsidRPr="0004711E" w:rsidRDefault="006E412B" w:rsidP="00BD055C">
      <w:pPr>
        <w:spacing w:after="0" w:line="360" w:lineRule="auto"/>
        <w:jc w:val="both"/>
        <w:rPr>
          <w:rFonts w:cs="David"/>
          <w:sz w:val="28"/>
          <w:szCs w:val="28"/>
          <w:rtl/>
        </w:rPr>
      </w:pPr>
      <w:r w:rsidRPr="0004711E">
        <w:rPr>
          <w:rFonts w:cs="David" w:hint="cs"/>
          <w:sz w:val="28"/>
          <w:szCs w:val="28"/>
          <w:rtl/>
        </w:rPr>
        <w:t xml:space="preserve">קשר ישיר של נציגים ישראלים עם חברי </w:t>
      </w:r>
      <w:r w:rsidR="001165FD">
        <w:rPr>
          <w:rFonts w:cs="David" w:hint="cs"/>
          <w:sz w:val="28"/>
          <w:szCs w:val="28"/>
          <w:rtl/>
        </w:rPr>
        <w:t>הוועדה</w:t>
      </w:r>
      <w:r w:rsidRPr="0004711E">
        <w:rPr>
          <w:rFonts w:cs="David" w:hint="cs"/>
          <w:sz w:val="28"/>
          <w:szCs w:val="28"/>
          <w:rtl/>
        </w:rPr>
        <w:t xml:space="preserve"> גם מאפשר לנציגים לעקוב מקרוב אחר דרך עבודת </w:t>
      </w:r>
      <w:r w:rsidR="001165FD">
        <w:rPr>
          <w:rFonts w:cs="David" w:hint="cs"/>
          <w:sz w:val="28"/>
          <w:szCs w:val="28"/>
          <w:rtl/>
        </w:rPr>
        <w:t>הוועדה</w:t>
      </w:r>
      <w:r w:rsidRPr="0004711E">
        <w:rPr>
          <w:rFonts w:cs="David" w:hint="cs"/>
          <w:sz w:val="28"/>
          <w:szCs w:val="28"/>
          <w:rtl/>
        </w:rPr>
        <w:t xml:space="preserve"> ולהקפיד על מילוי הדרישות לעצמאות ולמקצועיות של חברי </w:t>
      </w:r>
      <w:r w:rsidR="001165FD">
        <w:rPr>
          <w:rFonts w:cs="David" w:hint="cs"/>
          <w:sz w:val="28"/>
          <w:szCs w:val="28"/>
          <w:rtl/>
        </w:rPr>
        <w:t>הוועדה</w:t>
      </w:r>
      <w:r w:rsidRPr="0004711E">
        <w:rPr>
          <w:rFonts w:cs="David" w:hint="cs"/>
          <w:sz w:val="28"/>
          <w:szCs w:val="28"/>
          <w:rtl/>
        </w:rPr>
        <w:t xml:space="preserve"> והצוות. הוא מאפשר להם לבקש הארכות זמן כשהן נחוצות, ומגדיל את הסיכוי שיתייחסו אליהן באהדה. </w:t>
      </w:r>
    </w:p>
    <w:p w:rsidR="00BD055C" w:rsidRDefault="00BD055C" w:rsidP="008B316C">
      <w:pPr>
        <w:spacing w:after="0" w:line="360" w:lineRule="auto"/>
        <w:jc w:val="both"/>
        <w:rPr>
          <w:rFonts w:cs="David"/>
          <w:sz w:val="28"/>
          <w:szCs w:val="28"/>
          <w:rtl/>
        </w:rPr>
      </w:pPr>
    </w:p>
    <w:p w:rsidR="0057724A" w:rsidRPr="0004711E" w:rsidRDefault="0057724A" w:rsidP="001165FD">
      <w:pPr>
        <w:spacing w:after="0" w:line="360" w:lineRule="auto"/>
        <w:jc w:val="both"/>
        <w:rPr>
          <w:rFonts w:cs="David"/>
          <w:sz w:val="28"/>
          <w:szCs w:val="28"/>
          <w:rtl/>
        </w:rPr>
      </w:pPr>
      <w:r w:rsidRPr="0004711E">
        <w:rPr>
          <w:rFonts w:cs="David" w:hint="cs"/>
          <w:sz w:val="28"/>
          <w:szCs w:val="28"/>
          <w:rtl/>
        </w:rPr>
        <w:t xml:space="preserve">מנגד, היה מרואיין שטען כי </w:t>
      </w:r>
      <w:r w:rsidR="009F6ED1">
        <w:rPr>
          <w:rFonts w:cs="David" w:hint="cs"/>
          <w:sz w:val="28"/>
          <w:szCs w:val="28"/>
          <w:rtl/>
        </w:rPr>
        <w:t xml:space="preserve">ועדות חקירה </w:t>
      </w:r>
      <w:r w:rsidRPr="0004711E">
        <w:rPr>
          <w:rFonts w:cs="David" w:hint="cs"/>
          <w:sz w:val="28"/>
          <w:szCs w:val="28"/>
          <w:rtl/>
        </w:rPr>
        <w:t>פועל</w:t>
      </w:r>
      <w:r w:rsidR="001165FD">
        <w:rPr>
          <w:rFonts w:cs="David" w:hint="cs"/>
          <w:sz w:val="28"/>
          <w:szCs w:val="28"/>
          <w:rtl/>
        </w:rPr>
        <w:t>ות</w:t>
      </w:r>
      <w:r w:rsidRPr="0004711E">
        <w:rPr>
          <w:rFonts w:cs="David" w:hint="cs"/>
          <w:sz w:val="28"/>
          <w:szCs w:val="28"/>
          <w:rtl/>
        </w:rPr>
        <w:t xml:space="preserve"> מתוך גישה ריאליסטית, וה</w:t>
      </w:r>
      <w:r w:rsidR="001165FD">
        <w:rPr>
          <w:rFonts w:cs="David" w:hint="cs"/>
          <w:sz w:val="28"/>
          <w:szCs w:val="28"/>
          <w:rtl/>
        </w:rPr>
        <w:t>ן</w:t>
      </w:r>
      <w:r w:rsidRPr="0004711E">
        <w:rPr>
          <w:rFonts w:cs="David" w:hint="cs"/>
          <w:sz w:val="28"/>
          <w:szCs w:val="28"/>
          <w:rtl/>
        </w:rPr>
        <w:t xml:space="preserve"> בדרך כלל מתמנ</w:t>
      </w:r>
      <w:r w:rsidR="001165FD">
        <w:rPr>
          <w:rFonts w:cs="David" w:hint="cs"/>
          <w:sz w:val="28"/>
          <w:szCs w:val="28"/>
          <w:rtl/>
        </w:rPr>
        <w:t>ות</w:t>
      </w:r>
      <w:r w:rsidR="00692192">
        <w:rPr>
          <w:rFonts w:cs="David" w:hint="cs"/>
          <w:sz w:val="28"/>
          <w:szCs w:val="28"/>
          <w:rtl/>
        </w:rPr>
        <w:t xml:space="preserve"> על ידי </w:t>
      </w:r>
      <w:r w:rsidRPr="0004711E">
        <w:rPr>
          <w:rFonts w:cs="David" w:hint="cs"/>
          <w:sz w:val="28"/>
          <w:szCs w:val="28"/>
          <w:rtl/>
        </w:rPr>
        <w:t>ארגונים בעלי אידיאולוגיה אנטי-ישראלית</w:t>
      </w:r>
      <w:r w:rsidR="001165FD">
        <w:rPr>
          <w:rFonts w:cs="David" w:hint="cs"/>
          <w:sz w:val="28"/>
          <w:szCs w:val="28"/>
          <w:rtl/>
        </w:rPr>
        <w:t>,</w:t>
      </w:r>
      <w:r w:rsidRPr="0004711E">
        <w:rPr>
          <w:rFonts w:cs="David" w:hint="cs"/>
          <w:sz w:val="28"/>
          <w:szCs w:val="28"/>
          <w:rtl/>
        </w:rPr>
        <w:t xml:space="preserve"> שעליה</w:t>
      </w:r>
      <w:r w:rsidR="001165FD">
        <w:rPr>
          <w:rFonts w:cs="David" w:hint="cs"/>
          <w:sz w:val="28"/>
          <w:szCs w:val="28"/>
          <w:rtl/>
        </w:rPr>
        <w:t>ן</w:t>
      </w:r>
      <w:r w:rsidRPr="0004711E">
        <w:rPr>
          <w:rFonts w:cs="David" w:hint="cs"/>
          <w:sz w:val="28"/>
          <w:szCs w:val="28"/>
          <w:rtl/>
        </w:rPr>
        <w:t xml:space="preserve"> לשרת. בנסיבות כאלה, הקשר האישי הישיר לא יוביל לשינוי הדוחות שיכתבו אות</w:t>
      </w:r>
      <w:r w:rsidR="001165FD">
        <w:rPr>
          <w:rFonts w:cs="David" w:hint="cs"/>
          <w:sz w:val="28"/>
          <w:szCs w:val="28"/>
          <w:rtl/>
        </w:rPr>
        <w:t>ן</w:t>
      </w:r>
      <w:r w:rsidRPr="0004711E">
        <w:rPr>
          <w:rFonts w:cs="David" w:hint="cs"/>
          <w:sz w:val="28"/>
          <w:szCs w:val="28"/>
          <w:rtl/>
        </w:rPr>
        <w:t xml:space="preserve"> </w:t>
      </w:r>
      <w:r w:rsidR="0074404A">
        <w:rPr>
          <w:rFonts w:cs="David" w:hint="cs"/>
          <w:sz w:val="28"/>
          <w:szCs w:val="28"/>
          <w:rtl/>
        </w:rPr>
        <w:lastRenderedPageBreak/>
        <w:t>ועדות</w:t>
      </w:r>
      <w:r w:rsidRPr="0004711E">
        <w:rPr>
          <w:rFonts w:cs="David" w:hint="cs"/>
          <w:sz w:val="28"/>
          <w:szCs w:val="28"/>
          <w:rtl/>
        </w:rPr>
        <w:t>. במובן זה, אות</w:t>
      </w:r>
      <w:r w:rsidR="001165FD">
        <w:rPr>
          <w:rFonts w:cs="David" w:hint="cs"/>
          <w:sz w:val="28"/>
          <w:szCs w:val="28"/>
          <w:rtl/>
        </w:rPr>
        <w:t>ן</w:t>
      </w:r>
      <w:r w:rsidRPr="0004711E">
        <w:rPr>
          <w:rFonts w:cs="David" w:hint="cs"/>
          <w:sz w:val="28"/>
          <w:szCs w:val="28"/>
          <w:rtl/>
        </w:rPr>
        <w:t xml:space="preserve"> </w:t>
      </w:r>
      <w:r w:rsidR="0074404A">
        <w:rPr>
          <w:rFonts w:cs="David" w:hint="cs"/>
          <w:sz w:val="28"/>
          <w:szCs w:val="28"/>
          <w:rtl/>
        </w:rPr>
        <w:t>ועדות</w:t>
      </w:r>
      <w:r w:rsidRPr="0004711E">
        <w:rPr>
          <w:rFonts w:cs="David" w:hint="cs"/>
          <w:sz w:val="28"/>
          <w:szCs w:val="28"/>
          <w:rtl/>
        </w:rPr>
        <w:t xml:space="preserve"> </w:t>
      </w:r>
      <w:r w:rsidR="00C735A1" w:rsidRPr="0004711E">
        <w:rPr>
          <w:rFonts w:cs="David" w:hint="cs"/>
          <w:sz w:val="28"/>
          <w:szCs w:val="28"/>
          <w:rtl/>
        </w:rPr>
        <w:t>פועל</w:t>
      </w:r>
      <w:r w:rsidR="001165FD">
        <w:rPr>
          <w:rFonts w:cs="David" w:hint="cs"/>
          <w:sz w:val="28"/>
          <w:szCs w:val="28"/>
          <w:rtl/>
        </w:rPr>
        <w:t>ות</w:t>
      </w:r>
      <w:r w:rsidR="00C735A1" w:rsidRPr="0004711E">
        <w:rPr>
          <w:rFonts w:cs="David" w:hint="cs"/>
          <w:sz w:val="28"/>
          <w:szCs w:val="28"/>
          <w:rtl/>
        </w:rPr>
        <w:t xml:space="preserve"> </w:t>
      </w:r>
      <w:r w:rsidR="00B31BC3">
        <w:rPr>
          <w:rFonts w:cs="David" w:hint="cs"/>
          <w:sz w:val="28"/>
          <w:szCs w:val="28"/>
          <w:rtl/>
        </w:rPr>
        <w:t>על פי</w:t>
      </w:r>
      <w:r w:rsidR="00C735A1" w:rsidRPr="0004711E">
        <w:rPr>
          <w:rFonts w:cs="David" w:hint="cs"/>
          <w:sz w:val="28"/>
          <w:szCs w:val="28"/>
          <w:rtl/>
        </w:rPr>
        <w:t xml:space="preserve"> עקרונות הגישה הריאליסטית הקלאסית, </w:t>
      </w:r>
      <w:r w:rsidR="006E412B" w:rsidRPr="0004711E">
        <w:rPr>
          <w:rFonts w:cs="David" w:hint="cs"/>
          <w:sz w:val="28"/>
          <w:szCs w:val="28"/>
          <w:rtl/>
        </w:rPr>
        <w:t xml:space="preserve">שהתייחסה למדינות, </w:t>
      </w:r>
      <w:r w:rsidR="00C735A1" w:rsidRPr="0004711E">
        <w:rPr>
          <w:rFonts w:cs="David" w:hint="cs"/>
          <w:sz w:val="28"/>
          <w:szCs w:val="28"/>
          <w:rtl/>
        </w:rPr>
        <w:t>כפי שנוסחה</w:t>
      </w:r>
      <w:r w:rsidR="00692192">
        <w:rPr>
          <w:rFonts w:cs="David" w:hint="cs"/>
          <w:sz w:val="28"/>
          <w:szCs w:val="28"/>
          <w:rtl/>
        </w:rPr>
        <w:t xml:space="preserve"> על ידי </w:t>
      </w:r>
      <w:r w:rsidR="00C735A1" w:rsidRPr="0004711E">
        <w:rPr>
          <w:rFonts w:cs="David" w:hint="cs"/>
          <w:sz w:val="28"/>
          <w:szCs w:val="28"/>
          <w:rtl/>
        </w:rPr>
        <w:t xml:space="preserve">הוגי דעות כמו </w:t>
      </w:r>
      <w:r w:rsidR="00712481" w:rsidRPr="0004711E">
        <w:rPr>
          <w:rFonts w:cs="David" w:hint="cs"/>
          <w:sz w:val="28"/>
          <w:szCs w:val="28"/>
          <w:rtl/>
        </w:rPr>
        <w:t>תומאס הובס</w:t>
      </w:r>
      <w:r w:rsidR="00712481" w:rsidRPr="0004711E">
        <w:rPr>
          <w:rStyle w:val="a7"/>
          <w:rFonts w:cs="David"/>
          <w:sz w:val="28"/>
          <w:szCs w:val="28"/>
          <w:rtl/>
        </w:rPr>
        <w:footnoteReference w:id="144"/>
      </w:r>
      <w:r w:rsidR="00712481" w:rsidRPr="0004711E">
        <w:rPr>
          <w:rFonts w:cs="David" w:hint="cs"/>
          <w:sz w:val="28"/>
          <w:szCs w:val="28"/>
          <w:rtl/>
        </w:rPr>
        <w:t xml:space="preserve">, </w:t>
      </w:r>
      <w:r w:rsidR="00C735A1" w:rsidRPr="0004711E">
        <w:rPr>
          <w:rFonts w:cs="David" w:hint="cs"/>
          <w:sz w:val="28"/>
          <w:szCs w:val="28"/>
          <w:rtl/>
        </w:rPr>
        <w:t>האנס מורגנטאו</w:t>
      </w:r>
      <w:r w:rsidR="00C735A1" w:rsidRPr="0004711E">
        <w:rPr>
          <w:rStyle w:val="a7"/>
          <w:rFonts w:cs="David"/>
          <w:sz w:val="28"/>
          <w:szCs w:val="28"/>
          <w:rtl/>
        </w:rPr>
        <w:footnoteReference w:id="145"/>
      </w:r>
      <w:r w:rsidR="00C735A1" w:rsidRPr="0004711E">
        <w:rPr>
          <w:rFonts w:cs="David" w:hint="cs"/>
          <w:sz w:val="28"/>
          <w:szCs w:val="28"/>
          <w:rtl/>
        </w:rPr>
        <w:t xml:space="preserve">, </w:t>
      </w:r>
      <w:r w:rsidR="00712481" w:rsidRPr="0004711E">
        <w:rPr>
          <w:rFonts w:cs="David" w:hint="cs"/>
          <w:sz w:val="28"/>
          <w:szCs w:val="28"/>
          <w:rtl/>
        </w:rPr>
        <w:t>אדוארד האלט קאר</w:t>
      </w:r>
      <w:r w:rsidR="00712481" w:rsidRPr="0004711E">
        <w:rPr>
          <w:rStyle w:val="a7"/>
          <w:rFonts w:cs="David"/>
          <w:sz w:val="28"/>
          <w:szCs w:val="28"/>
          <w:rtl/>
        </w:rPr>
        <w:footnoteReference w:id="146"/>
      </w:r>
      <w:r w:rsidR="00712481" w:rsidRPr="0004711E">
        <w:rPr>
          <w:rFonts w:cs="David" w:hint="cs"/>
          <w:sz w:val="28"/>
          <w:szCs w:val="28"/>
          <w:rtl/>
        </w:rPr>
        <w:t xml:space="preserve"> ואחרים.</w:t>
      </w:r>
    </w:p>
    <w:p w:rsidR="00C735A1" w:rsidRPr="0004711E" w:rsidRDefault="00C735A1" w:rsidP="008B316C">
      <w:pPr>
        <w:spacing w:after="0" w:line="360" w:lineRule="auto"/>
        <w:jc w:val="both"/>
        <w:rPr>
          <w:rFonts w:cs="David"/>
          <w:sz w:val="28"/>
          <w:szCs w:val="28"/>
          <w:rtl/>
        </w:rPr>
      </w:pPr>
    </w:p>
    <w:p w:rsidR="003E43AD" w:rsidRPr="0004711E" w:rsidRDefault="003E43AD" w:rsidP="003E43AD">
      <w:pPr>
        <w:spacing w:after="0" w:line="360" w:lineRule="auto"/>
        <w:jc w:val="both"/>
        <w:rPr>
          <w:rFonts w:cs="David"/>
          <w:sz w:val="28"/>
          <w:szCs w:val="28"/>
          <w:rtl/>
        </w:rPr>
      </w:pPr>
      <w:r>
        <w:rPr>
          <w:rFonts w:cs="David" w:hint="cs"/>
          <w:sz w:val="28"/>
          <w:szCs w:val="28"/>
          <w:rtl/>
        </w:rPr>
        <w:t>כמו כן, לקשר האישי עלולים להיות גם חסרונות. החיסרון העיקרי הוא, שבמפגשים אישיים קשה יותר להתחמק ממתן תשובות לסוגיות שמעוררות קושי, לעומת קשר לא ישיר או מצב שבו לא מתקיים קשר כלל. כמו כן, דומה כי יש חשיבות יתרה להקפיד בבחירת האנשים המתאימים לקיום הקשר הישיר, הן מבחינה מקצועית והן מבחינה אישיותית. בחירת האנשים הלא נכונים עלולה לייצר אפקט הפוך ולהשפיע דווקא לרעה על הדוחות. לכן</w:t>
      </w:r>
      <w:r w:rsidR="001165FD">
        <w:rPr>
          <w:rFonts w:cs="David" w:hint="cs"/>
          <w:sz w:val="28"/>
          <w:szCs w:val="28"/>
          <w:rtl/>
        </w:rPr>
        <w:t>,</w:t>
      </w:r>
      <w:r>
        <w:rPr>
          <w:rFonts w:cs="David" w:hint="cs"/>
          <w:sz w:val="28"/>
          <w:szCs w:val="28"/>
          <w:rtl/>
        </w:rPr>
        <w:t xml:space="preserve"> חשוב לעקוב אחר טיב הקשר בין הנציגים לחברי הוועדה ובמידת הצורף אפילו להחליף באופן מיידי נציגים שלא הצליחו לייצר קשר טוב עם חברי הוועדה.</w:t>
      </w:r>
    </w:p>
    <w:p w:rsidR="003E43AD" w:rsidRPr="0004711E" w:rsidRDefault="003E43AD" w:rsidP="003E43AD">
      <w:pPr>
        <w:spacing w:after="0" w:line="360" w:lineRule="auto"/>
        <w:jc w:val="both"/>
        <w:rPr>
          <w:rFonts w:cs="David"/>
          <w:sz w:val="28"/>
          <w:szCs w:val="28"/>
          <w:rtl/>
        </w:rPr>
      </w:pPr>
    </w:p>
    <w:p w:rsidR="004D4BB2" w:rsidRPr="0004711E" w:rsidRDefault="00A336FD" w:rsidP="001165FD">
      <w:pPr>
        <w:spacing w:after="0" w:line="360" w:lineRule="auto"/>
        <w:jc w:val="both"/>
        <w:rPr>
          <w:rFonts w:cs="David"/>
          <w:sz w:val="28"/>
          <w:szCs w:val="28"/>
          <w:rtl/>
        </w:rPr>
      </w:pPr>
      <w:r w:rsidRPr="0004711E">
        <w:rPr>
          <w:rFonts w:cs="David" w:hint="cs"/>
          <w:sz w:val="28"/>
          <w:szCs w:val="28"/>
          <w:rtl/>
        </w:rPr>
        <w:t>לסיכום החלק הזה, נראה ש</w:t>
      </w:r>
      <w:r w:rsidR="003E43AD">
        <w:rPr>
          <w:rFonts w:cs="David" w:hint="cs"/>
          <w:sz w:val="28"/>
          <w:szCs w:val="28"/>
          <w:rtl/>
        </w:rPr>
        <w:t xml:space="preserve">חרף החיסרון הנזכר לעיל, </w:t>
      </w:r>
      <w:r w:rsidRPr="0004711E">
        <w:rPr>
          <w:rFonts w:cs="David" w:hint="cs"/>
          <w:sz w:val="28"/>
          <w:szCs w:val="28"/>
          <w:rtl/>
        </w:rPr>
        <w:t xml:space="preserve">אין ספק כי למימד הקשר האישי בין נציגים ישראלים לחברי </w:t>
      </w:r>
      <w:r w:rsidR="001165FD">
        <w:rPr>
          <w:rFonts w:cs="David" w:hint="cs"/>
          <w:sz w:val="28"/>
          <w:szCs w:val="28"/>
          <w:rtl/>
        </w:rPr>
        <w:t>הוועדה</w:t>
      </w:r>
      <w:r w:rsidRPr="0004711E">
        <w:rPr>
          <w:rFonts w:cs="David" w:hint="cs"/>
          <w:sz w:val="28"/>
          <w:szCs w:val="28"/>
          <w:rtl/>
        </w:rPr>
        <w:t xml:space="preserve"> והצוות יכול להיות אפקט חיובי על אווירת </w:t>
      </w:r>
      <w:r w:rsidR="001165FD">
        <w:rPr>
          <w:rFonts w:cs="David" w:hint="cs"/>
          <w:sz w:val="28"/>
          <w:szCs w:val="28"/>
          <w:rtl/>
        </w:rPr>
        <w:t>הוועדה</w:t>
      </w:r>
      <w:r w:rsidRPr="0004711E">
        <w:rPr>
          <w:rFonts w:cs="David" w:hint="cs"/>
          <w:sz w:val="28"/>
          <w:szCs w:val="28"/>
          <w:rtl/>
        </w:rPr>
        <w:t xml:space="preserve"> כלפי ישראל, כמו גם על הטון והתוכן של הדברים שייכתבו לגבי ישראל בדוח ש</w:t>
      </w:r>
      <w:r w:rsidR="001165FD">
        <w:rPr>
          <w:rFonts w:cs="David" w:hint="cs"/>
          <w:sz w:val="28"/>
          <w:szCs w:val="28"/>
          <w:rtl/>
        </w:rPr>
        <w:t>ת</w:t>
      </w:r>
      <w:r w:rsidRPr="0004711E">
        <w:rPr>
          <w:rFonts w:cs="David" w:hint="cs"/>
          <w:sz w:val="28"/>
          <w:szCs w:val="28"/>
          <w:rtl/>
        </w:rPr>
        <w:t xml:space="preserve">פרסם </w:t>
      </w:r>
      <w:r w:rsidR="001165FD">
        <w:rPr>
          <w:rFonts w:cs="David" w:hint="cs"/>
          <w:sz w:val="28"/>
          <w:szCs w:val="28"/>
          <w:rtl/>
        </w:rPr>
        <w:t>הוועדה</w:t>
      </w:r>
      <w:r w:rsidRPr="0004711E">
        <w:rPr>
          <w:rFonts w:cs="David" w:hint="cs"/>
          <w:sz w:val="28"/>
          <w:szCs w:val="28"/>
          <w:rtl/>
        </w:rPr>
        <w:t>.</w:t>
      </w:r>
      <w:r w:rsidR="001165FD">
        <w:rPr>
          <w:rFonts w:cs="David" w:hint="cs"/>
          <w:sz w:val="28"/>
          <w:szCs w:val="28"/>
          <w:rtl/>
        </w:rPr>
        <w:t xml:space="preserve"> כפי שנראה בהמשך, קשר אישי יכול להיווצר גם ללא שיתוף פעולה מלא ומוצהר עם הוועדה.</w:t>
      </w:r>
    </w:p>
    <w:p w:rsidR="004D4BB2" w:rsidRDefault="004D4BB2" w:rsidP="008B316C">
      <w:pPr>
        <w:spacing w:after="0" w:line="360" w:lineRule="auto"/>
        <w:jc w:val="both"/>
        <w:rPr>
          <w:rFonts w:cs="David"/>
          <w:sz w:val="28"/>
          <w:szCs w:val="28"/>
          <w:rtl/>
        </w:rPr>
      </w:pPr>
    </w:p>
    <w:p w:rsidR="00B31898" w:rsidRPr="003D0069" w:rsidRDefault="00B31898" w:rsidP="003D0069">
      <w:pPr>
        <w:pStyle w:val="a9"/>
        <w:numPr>
          <w:ilvl w:val="0"/>
          <w:numId w:val="21"/>
        </w:numPr>
        <w:spacing w:after="0" w:line="360" w:lineRule="auto"/>
        <w:jc w:val="both"/>
        <w:outlineLvl w:val="1"/>
        <w:rPr>
          <w:rFonts w:cs="David"/>
          <w:b/>
          <w:bCs/>
          <w:sz w:val="28"/>
          <w:szCs w:val="28"/>
          <w:rtl/>
        </w:rPr>
      </w:pPr>
      <w:bookmarkStart w:id="29" w:name="_Toc456027308"/>
      <w:r w:rsidRPr="003D0069">
        <w:rPr>
          <w:rFonts w:cs="David" w:hint="cs"/>
          <w:b/>
          <w:bCs/>
          <w:sz w:val="28"/>
          <w:szCs w:val="28"/>
          <w:rtl/>
        </w:rPr>
        <w:t>הקשר בין שיתוף הפעולה למידת המחויבות לתוצאת הבדיקה</w:t>
      </w:r>
      <w:bookmarkEnd w:id="29"/>
    </w:p>
    <w:p w:rsidR="00B31898" w:rsidRDefault="00B31898" w:rsidP="00B31898">
      <w:pPr>
        <w:spacing w:after="0" w:line="360" w:lineRule="auto"/>
        <w:jc w:val="both"/>
        <w:rPr>
          <w:rFonts w:cs="David"/>
          <w:sz w:val="28"/>
          <w:szCs w:val="28"/>
          <w:rtl/>
        </w:rPr>
      </w:pPr>
    </w:p>
    <w:p w:rsidR="001165FD" w:rsidRDefault="001165FD" w:rsidP="001165FD">
      <w:pPr>
        <w:spacing w:after="0" w:line="360" w:lineRule="auto"/>
        <w:jc w:val="both"/>
        <w:rPr>
          <w:rFonts w:cs="David"/>
          <w:sz w:val="28"/>
          <w:szCs w:val="28"/>
          <w:rtl/>
        </w:rPr>
      </w:pPr>
      <w:r>
        <w:rPr>
          <w:rFonts w:cs="David" w:hint="cs"/>
          <w:sz w:val="28"/>
          <w:szCs w:val="28"/>
          <w:rtl/>
        </w:rPr>
        <w:t xml:space="preserve">נשאלת השאלה, עד כמה יכולה מדינת ישראל לשתף פעולה עם עבודתה של ועדת חקירה בינלאומית, ולאחר מכן להסתייג מתוצרי עבודתה? </w:t>
      </w:r>
    </w:p>
    <w:p w:rsidR="001165FD" w:rsidRDefault="001165FD" w:rsidP="001165FD">
      <w:pPr>
        <w:spacing w:after="0" w:line="360" w:lineRule="auto"/>
        <w:jc w:val="both"/>
        <w:rPr>
          <w:rFonts w:cs="David"/>
          <w:sz w:val="28"/>
          <w:szCs w:val="28"/>
          <w:rtl/>
        </w:rPr>
      </w:pPr>
    </w:p>
    <w:p w:rsidR="00B31898" w:rsidRDefault="00B31898" w:rsidP="00631DE1">
      <w:pPr>
        <w:spacing w:after="0" w:line="360" w:lineRule="auto"/>
        <w:jc w:val="both"/>
        <w:rPr>
          <w:rFonts w:cs="David"/>
          <w:sz w:val="28"/>
          <w:szCs w:val="28"/>
          <w:rtl/>
        </w:rPr>
      </w:pPr>
      <w:r>
        <w:rPr>
          <w:rFonts w:cs="David" w:hint="cs"/>
          <w:sz w:val="28"/>
          <w:szCs w:val="28"/>
          <w:rtl/>
        </w:rPr>
        <w:t>עד כה הודגם מתח קבוע</w:t>
      </w:r>
      <w:r w:rsidR="00631DE1">
        <w:rPr>
          <w:rFonts w:cs="David" w:hint="cs"/>
          <w:sz w:val="28"/>
          <w:szCs w:val="28"/>
          <w:rtl/>
        </w:rPr>
        <w:t>: מצד אחד,</w:t>
      </w:r>
      <w:r>
        <w:rPr>
          <w:rFonts w:cs="David" w:hint="cs"/>
          <w:sz w:val="28"/>
          <w:szCs w:val="28"/>
          <w:rtl/>
        </w:rPr>
        <w:t xml:space="preserve"> מדינת ישראל </w:t>
      </w:r>
      <w:r w:rsidR="00631DE1">
        <w:rPr>
          <w:rFonts w:cs="David" w:hint="cs"/>
          <w:sz w:val="28"/>
          <w:szCs w:val="28"/>
          <w:rtl/>
        </w:rPr>
        <w:t xml:space="preserve">רוצה </w:t>
      </w:r>
      <w:r>
        <w:rPr>
          <w:rFonts w:cs="David" w:hint="cs"/>
          <w:sz w:val="28"/>
          <w:szCs w:val="28"/>
          <w:rtl/>
        </w:rPr>
        <w:t xml:space="preserve">ליטול חלק בזירה הבינלאומית ולשתף פעולה עם </w:t>
      </w:r>
      <w:r w:rsidR="0074404A">
        <w:rPr>
          <w:rFonts w:cs="David" w:hint="cs"/>
          <w:sz w:val="28"/>
          <w:szCs w:val="28"/>
          <w:rtl/>
        </w:rPr>
        <w:t>ועדות</w:t>
      </w:r>
      <w:r>
        <w:rPr>
          <w:rFonts w:cs="David" w:hint="cs"/>
          <w:sz w:val="28"/>
          <w:szCs w:val="28"/>
          <w:rtl/>
        </w:rPr>
        <w:t xml:space="preserve"> בינלאומי</w:t>
      </w:r>
      <w:r w:rsidR="001165FD">
        <w:rPr>
          <w:rFonts w:cs="David" w:hint="cs"/>
          <w:sz w:val="28"/>
          <w:szCs w:val="28"/>
          <w:rtl/>
        </w:rPr>
        <w:t>ות</w:t>
      </w:r>
      <w:r w:rsidR="00631DE1">
        <w:rPr>
          <w:rFonts w:cs="David" w:hint="cs"/>
          <w:sz w:val="28"/>
          <w:szCs w:val="28"/>
          <w:rtl/>
        </w:rPr>
        <w:t>; מצד שני</w:t>
      </w:r>
      <w:r>
        <w:rPr>
          <w:rFonts w:cs="David" w:hint="cs"/>
          <w:sz w:val="28"/>
          <w:szCs w:val="28"/>
          <w:rtl/>
        </w:rPr>
        <w:t xml:space="preserve">, לעיתים קרובות ישנם פגמים הנלווים </w:t>
      </w:r>
      <w:r w:rsidR="00014821">
        <w:rPr>
          <w:rFonts w:cs="David" w:hint="cs"/>
          <w:sz w:val="28"/>
          <w:szCs w:val="28"/>
          <w:rtl/>
        </w:rPr>
        <w:t>לוועדות</w:t>
      </w:r>
      <w:r>
        <w:rPr>
          <w:rFonts w:cs="David" w:hint="cs"/>
          <w:sz w:val="28"/>
          <w:szCs w:val="28"/>
          <w:rtl/>
        </w:rPr>
        <w:t xml:space="preserve"> האלה</w:t>
      </w:r>
      <w:r w:rsidR="00631DE1">
        <w:rPr>
          <w:rFonts w:cs="David" w:hint="cs"/>
          <w:sz w:val="28"/>
          <w:szCs w:val="28"/>
          <w:rtl/>
        </w:rPr>
        <w:t xml:space="preserve"> באופן שמקשה על שיתוף הפעולה עמן</w:t>
      </w:r>
      <w:r>
        <w:rPr>
          <w:rFonts w:cs="David" w:hint="cs"/>
          <w:sz w:val="28"/>
          <w:szCs w:val="28"/>
          <w:rtl/>
        </w:rPr>
        <w:t xml:space="preserve">. כפי שצוין, מצבים אלה מצריכים נטילת שיקולים רבים בחשבון, וגם נטילת סיכונים. מאחר שמדינת ישראל נאלצת לפעול במערכת מרובת סיכונים מעין זו, עליה לשקול גם את </w:t>
      </w:r>
      <w:r>
        <w:rPr>
          <w:rFonts w:cs="David" w:hint="cs"/>
          <w:sz w:val="28"/>
          <w:szCs w:val="28"/>
          <w:rtl/>
        </w:rPr>
        <w:lastRenderedPageBreak/>
        <w:t xml:space="preserve">הקשר בין שיתוף הפעולה עם </w:t>
      </w:r>
      <w:r w:rsidR="009C039C">
        <w:rPr>
          <w:rFonts w:cs="David" w:hint="cs"/>
          <w:sz w:val="28"/>
          <w:szCs w:val="28"/>
          <w:rtl/>
        </w:rPr>
        <w:t>ועדת חקירה בינלאומית</w:t>
      </w:r>
      <w:r>
        <w:rPr>
          <w:rFonts w:cs="David" w:hint="cs"/>
          <w:sz w:val="28"/>
          <w:szCs w:val="28"/>
          <w:rtl/>
        </w:rPr>
        <w:t xml:space="preserve"> למידת המחויבות שלה לתוצאות הבדיקה של</w:t>
      </w:r>
      <w:r w:rsidR="001165FD">
        <w:rPr>
          <w:rFonts w:cs="David" w:hint="cs"/>
          <w:sz w:val="28"/>
          <w:szCs w:val="28"/>
          <w:rtl/>
        </w:rPr>
        <w:t>ה</w:t>
      </w:r>
      <w:r>
        <w:rPr>
          <w:rFonts w:cs="David" w:hint="cs"/>
          <w:sz w:val="28"/>
          <w:szCs w:val="28"/>
          <w:rtl/>
        </w:rPr>
        <w:t xml:space="preserve">. במה דברים אמורים? נניח שמדינת ישראל מחליטה ליטול סיכון, </w:t>
      </w:r>
      <w:r w:rsidR="001165FD">
        <w:rPr>
          <w:rFonts w:cs="David" w:hint="cs"/>
          <w:sz w:val="28"/>
          <w:szCs w:val="28"/>
          <w:rtl/>
        </w:rPr>
        <w:t xml:space="preserve">ולשתף פעולה עם </w:t>
      </w:r>
      <w:r w:rsidR="009C039C">
        <w:rPr>
          <w:rFonts w:cs="David" w:hint="cs"/>
          <w:sz w:val="28"/>
          <w:szCs w:val="28"/>
          <w:rtl/>
        </w:rPr>
        <w:t>ועדת חקירה</w:t>
      </w:r>
      <w:r>
        <w:rPr>
          <w:rFonts w:cs="David" w:hint="cs"/>
          <w:sz w:val="28"/>
          <w:szCs w:val="28"/>
          <w:rtl/>
        </w:rPr>
        <w:t xml:space="preserve"> </w:t>
      </w:r>
      <w:r w:rsidR="001165FD">
        <w:rPr>
          <w:rFonts w:cs="David" w:hint="cs"/>
          <w:sz w:val="28"/>
          <w:szCs w:val="28"/>
          <w:rtl/>
        </w:rPr>
        <w:t>חרף הפגמים שקשורים ליצירתה</w:t>
      </w:r>
      <w:r>
        <w:rPr>
          <w:rFonts w:cs="David" w:hint="cs"/>
          <w:sz w:val="28"/>
          <w:szCs w:val="28"/>
          <w:rtl/>
        </w:rPr>
        <w:t xml:space="preserve">, בתקווה שבכל זאת </w:t>
      </w:r>
      <w:r w:rsidR="001165FD">
        <w:rPr>
          <w:rFonts w:cs="David" w:hint="cs"/>
          <w:sz w:val="28"/>
          <w:szCs w:val="28"/>
          <w:rtl/>
        </w:rPr>
        <w:t>ת</w:t>
      </w:r>
      <w:r>
        <w:rPr>
          <w:rFonts w:cs="David" w:hint="cs"/>
          <w:sz w:val="28"/>
          <w:szCs w:val="28"/>
          <w:rtl/>
        </w:rPr>
        <w:t xml:space="preserve">בצע </w:t>
      </w:r>
      <w:r w:rsidR="001165FD">
        <w:rPr>
          <w:rFonts w:cs="David" w:hint="cs"/>
          <w:sz w:val="28"/>
          <w:szCs w:val="28"/>
          <w:rtl/>
        </w:rPr>
        <w:t>הוועדה את מלאכתה</w:t>
      </w:r>
      <w:r>
        <w:rPr>
          <w:rFonts w:cs="David" w:hint="cs"/>
          <w:sz w:val="28"/>
          <w:szCs w:val="28"/>
          <w:rtl/>
        </w:rPr>
        <w:t xml:space="preserve"> כהלכה. והנה, בתום עבודת </w:t>
      </w:r>
      <w:r w:rsidR="001165FD">
        <w:rPr>
          <w:rFonts w:cs="David" w:hint="cs"/>
          <w:sz w:val="28"/>
          <w:szCs w:val="28"/>
          <w:rtl/>
        </w:rPr>
        <w:t>הוועדה</w:t>
      </w:r>
      <w:r w:rsidR="00014821">
        <w:rPr>
          <w:rFonts w:cs="David" w:hint="cs"/>
          <w:sz w:val="28"/>
          <w:szCs w:val="28"/>
          <w:rtl/>
        </w:rPr>
        <w:t>,</w:t>
      </w:r>
      <w:r>
        <w:rPr>
          <w:rFonts w:cs="David" w:hint="cs"/>
          <w:sz w:val="28"/>
          <w:szCs w:val="28"/>
          <w:rtl/>
        </w:rPr>
        <w:t xml:space="preserve"> מתברר כי כל החששות שה</w:t>
      </w:r>
      <w:r w:rsidR="00014821">
        <w:rPr>
          <w:rFonts w:cs="David" w:hint="cs"/>
          <w:sz w:val="28"/>
          <w:szCs w:val="28"/>
          <w:rtl/>
        </w:rPr>
        <w:t>תעוררו מפני שיתוף הפעולה עם אותה</w:t>
      </w:r>
      <w:r>
        <w:rPr>
          <w:rFonts w:cs="David" w:hint="cs"/>
          <w:sz w:val="28"/>
          <w:szCs w:val="28"/>
          <w:rtl/>
        </w:rPr>
        <w:t xml:space="preserve"> </w:t>
      </w:r>
      <w:r w:rsidR="0074404A">
        <w:rPr>
          <w:rFonts w:cs="David" w:hint="cs"/>
          <w:sz w:val="28"/>
          <w:szCs w:val="28"/>
          <w:rtl/>
        </w:rPr>
        <w:t>ועדה</w:t>
      </w:r>
      <w:r>
        <w:rPr>
          <w:rFonts w:cs="David" w:hint="cs"/>
          <w:sz w:val="28"/>
          <w:szCs w:val="28"/>
          <w:rtl/>
        </w:rPr>
        <w:t xml:space="preserve"> התממשו, ושהדוח שהופק לוקה בכל אותם ליקויים </w:t>
      </w:r>
      <w:r w:rsidR="00014821">
        <w:rPr>
          <w:rFonts w:cs="David" w:hint="cs"/>
          <w:sz w:val="28"/>
          <w:szCs w:val="28"/>
          <w:rtl/>
        </w:rPr>
        <w:t>מהם חששה המדינה מלכתחילה</w:t>
      </w:r>
      <w:r>
        <w:rPr>
          <w:rFonts w:cs="David" w:hint="cs"/>
          <w:sz w:val="28"/>
          <w:szCs w:val="28"/>
          <w:rtl/>
        </w:rPr>
        <w:t>. האם במצב עניינים שכזה, תוכל מדי</w:t>
      </w:r>
      <w:r w:rsidR="00014821">
        <w:rPr>
          <w:rFonts w:cs="David" w:hint="cs"/>
          <w:sz w:val="28"/>
          <w:szCs w:val="28"/>
          <w:rtl/>
        </w:rPr>
        <w:t>נ</w:t>
      </w:r>
      <w:r>
        <w:rPr>
          <w:rFonts w:cs="David" w:hint="cs"/>
          <w:sz w:val="28"/>
          <w:szCs w:val="28"/>
          <w:rtl/>
        </w:rPr>
        <w:t xml:space="preserve">ת ישראל להתנער מתוצאות הדוח בשל הליקויים שנפלו בו, או שמא שיתוף הפעולה שלה עם </w:t>
      </w:r>
      <w:r w:rsidR="001165FD">
        <w:rPr>
          <w:rFonts w:cs="David" w:hint="cs"/>
          <w:sz w:val="28"/>
          <w:szCs w:val="28"/>
          <w:rtl/>
        </w:rPr>
        <w:t>הוועדה</w:t>
      </w:r>
      <w:r>
        <w:rPr>
          <w:rFonts w:cs="David" w:hint="cs"/>
          <w:sz w:val="28"/>
          <w:szCs w:val="28"/>
          <w:rtl/>
        </w:rPr>
        <w:t xml:space="preserve"> כובל את ידיה ומונע ממנה להתכחש לתוצר שהפיק</w:t>
      </w:r>
      <w:r w:rsidR="00014821">
        <w:rPr>
          <w:rFonts w:cs="David" w:hint="cs"/>
          <w:sz w:val="28"/>
          <w:szCs w:val="28"/>
          <w:rtl/>
        </w:rPr>
        <w:t>ה</w:t>
      </w:r>
      <w:r>
        <w:rPr>
          <w:rFonts w:cs="David" w:hint="cs"/>
          <w:sz w:val="28"/>
          <w:szCs w:val="28"/>
          <w:rtl/>
        </w:rPr>
        <w:t>?</w:t>
      </w:r>
    </w:p>
    <w:p w:rsidR="00B31898" w:rsidRDefault="00B31898" w:rsidP="00B31898">
      <w:pPr>
        <w:spacing w:after="0" w:line="360" w:lineRule="auto"/>
        <w:jc w:val="both"/>
        <w:rPr>
          <w:rFonts w:cs="David"/>
          <w:sz w:val="28"/>
          <w:szCs w:val="28"/>
          <w:rtl/>
        </w:rPr>
      </w:pPr>
    </w:p>
    <w:p w:rsidR="00B31898" w:rsidRDefault="00B31898" w:rsidP="00014821">
      <w:pPr>
        <w:spacing w:after="0" w:line="360" w:lineRule="auto"/>
        <w:jc w:val="both"/>
        <w:rPr>
          <w:rFonts w:cs="David"/>
          <w:sz w:val="28"/>
          <w:szCs w:val="28"/>
          <w:rtl/>
        </w:rPr>
      </w:pPr>
      <w:r>
        <w:rPr>
          <w:rFonts w:cs="David" w:hint="cs"/>
          <w:sz w:val="28"/>
          <w:szCs w:val="28"/>
          <w:rtl/>
        </w:rPr>
        <w:t xml:space="preserve">רבים מהמרואיינים התייחסו לשאלה זו. דעותיהם נחלקו. חלק ציינו, בווריאציות שונות, כי שיתוף פעולה עם תהליך של בדיקה מוביל לחיוב בתוצאת הבדיקה. כשלא משתפים פעולה עם ההליך, ניתן להמשיך לטעון שהוא היה פגום </w:t>
      </w:r>
      <w:r>
        <w:rPr>
          <w:rFonts w:cs="David"/>
          <w:sz w:val="28"/>
          <w:szCs w:val="28"/>
        </w:rPr>
        <w:t>ab initio</w:t>
      </w:r>
      <w:r>
        <w:rPr>
          <w:rFonts w:cs="David" w:hint="cs"/>
          <w:sz w:val="28"/>
          <w:szCs w:val="28"/>
          <w:rtl/>
        </w:rPr>
        <w:t xml:space="preserve">, מה שאין כן כאשר משתפים עמו פעולה. שיתוף פעולה גם מחזק את התוקף של ממצאי הדוח בערכאות שיעשו בו שימוש מאוחר יותר, כמו בית הדין הפלילי הבינלאומי. יחד עם זאת, אם </w:t>
      </w:r>
      <w:r w:rsidR="001165FD">
        <w:rPr>
          <w:rFonts w:cs="David" w:hint="cs"/>
          <w:sz w:val="28"/>
          <w:szCs w:val="28"/>
          <w:rtl/>
        </w:rPr>
        <w:t>הוועדה</w:t>
      </w:r>
      <w:r>
        <w:rPr>
          <w:rFonts w:cs="David" w:hint="cs"/>
          <w:sz w:val="28"/>
          <w:szCs w:val="28"/>
          <w:rtl/>
        </w:rPr>
        <w:t xml:space="preserve"> </w:t>
      </w:r>
      <w:r w:rsidR="00014821">
        <w:rPr>
          <w:rFonts w:cs="David" w:hint="cs"/>
          <w:sz w:val="28"/>
          <w:szCs w:val="28"/>
          <w:rtl/>
        </w:rPr>
        <w:t>ת</w:t>
      </w:r>
      <w:r>
        <w:rPr>
          <w:rFonts w:cs="David" w:hint="cs"/>
          <w:sz w:val="28"/>
          <w:szCs w:val="28"/>
          <w:rtl/>
        </w:rPr>
        <w:t>חרוג מהמנדט של</w:t>
      </w:r>
      <w:r w:rsidR="00014821">
        <w:rPr>
          <w:rFonts w:cs="David" w:hint="cs"/>
          <w:sz w:val="28"/>
          <w:szCs w:val="28"/>
          <w:rtl/>
        </w:rPr>
        <w:t>ה</w:t>
      </w:r>
      <w:r>
        <w:rPr>
          <w:rFonts w:cs="David" w:hint="cs"/>
          <w:sz w:val="28"/>
          <w:szCs w:val="28"/>
          <w:rtl/>
        </w:rPr>
        <w:t xml:space="preserve">, </w:t>
      </w:r>
      <w:r w:rsidR="00014821">
        <w:rPr>
          <w:rFonts w:cs="David" w:hint="cs"/>
          <w:sz w:val="28"/>
          <w:szCs w:val="28"/>
          <w:rtl/>
        </w:rPr>
        <w:t>ת</w:t>
      </w:r>
      <w:r>
        <w:rPr>
          <w:rFonts w:cs="David" w:hint="cs"/>
          <w:sz w:val="28"/>
          <w:szCs w:val="28"/>
          <w:rtl/>
        </w:rPr>
        <w:t xml:space="preserve">תעלם מהעובדות, </w:t>
      </w:r>
      <w:r w:rsidR="00014821">
        <w:rPr>
          <w:rFonts w:cs="David" w:hint="cs"/>
          <w:sz w:val="28"/>
          <w:szCs w:val="28"/>
          <w:rtl/>
        </w:rPr>
        <w:t>ת</w:t>
      </w:r>
      <w:r>
        <w:rPr>
          <w:rFonts w:cs="David" w:hint="cs"/>
          <w:sz w:val="28"/>
          <w:szCs w:val="28"/>
          <w:rtl/>
        </w:rPr>
        <w:t xml:space="preserve">גיע למסקנות מופרכות או </w:t>
      </w:r>
      <w:r w:rsidR="00014821">
        <w:rPr>
          <w:rFonts w:cs="David" w:hint="cs"/>
          <w:sz w:val="28"/>
          <w:szCs w:val="28"/>
          <w:rtl/>
        </w:rPr>
        <w:t>ת</w:t>
      </w:r>
      <w:r>
        <w:rPr>
          <w:rFonts w:cs="David" w:hint="cs"/>
          <w:sz w:val="28"/>
          <w:szCs w:val="28"/>
          <w:rtl/>
        </w:rPr>
        <w:t>עשה דברים פסולים אחרים,</w:t>
      </w:r>
      <w:r w:rsidR="00014821">
        <w:rPr>
          <w:rFonts w:cs="David" w:hint="cs"/>
          <w:sz w:val="28"/>
          <w:szCs w:val="28"/>
          <w:rtl/>
        </w:rPr>
        <w:t xml:space="preserve"> עדיין ניתן יהיה להתכחש לתוצאות עבודתה</w:t>
      </w:r>
      <w:r>
        <w:rPr>
          <w:rFonts w:cs="David" w:hint="cs"/>
          <w:sz w:val="28"/>
          <w:szCs w:val="28"/>
          <w:rtl/>
        </w:rPr>
        <w:t xml:space="preserve">. מנגד, התנערות מתוצאות הדוח לאחר שיתוף פעולה עם </w:t>
      </w:r>
      <w:r w:rsidR="009C039C">
        <w:rPr>
          <w:rFonts w:cs="David" w:hint="cs"/>
          <w:sz w:val="28"/>
          <w:szCs w:val="28"/>
          <w:rtl/>
        </w:rPr>
        <w:t>ועדת החקירה</w:t>
      </w:r>
      <w:r>
        <w:rPr>
          <w:rFonts w:cs="David" w:hint="cs"/>
          <w:sz w:val="28"/>
          <w:szCs w:val="28"/>
          <w:rtl/>
        </w:rPr>
        <w:t xml:space="preserve"> תיתפס כהתנערות מתהליך לגיטימי שהוליד תוצאות לגיטימיות, רק מפני שאינן נוחות למדינת ישראל.</w:t>
      </w:r>
    </w:p>
    <w:p w:rsidR="00B31898" w:rsidRDefault="00B31898" w:rsidP="00B31898">
      <w:pPr>
        <w:spacing w:after="0" w:line="360" w:lineRule="auto"/>
        <w:jc w:val="both"/>
        <w:rPr>
          <w:rFonts w:cs="David"/>
          <w:sz w:val="28"/>
          <w:szCs w:val="28"/>
          <w:rtl/>
        </w:rPr>
      </w:pPr>
    </w:p>
    <w:p w:rsidR="00B31898" w:rsidRDefault="00B31898" w:rsidP="00014821">
      <w:pPr>
        <w:spacing w:after="0" w:line="360" w:lineRule="auto"/>
        <w:jc w:val="both"/>
        <w:rPr>
          <w:rFonts w:cs="David"/>
          <w:sz w:val="28"/>
          <w:szCs w:val="28"/>
          <w:rtl/>
        </w:rPr>
      </w:pPr>
      <w:r>
        <w:rPr>
          <w:rFonts w:cs="David" w:hint="cs"/>
          <w:sz w:val="28"/>
          <w:szCs w:val="28"/>
          <w:rtl/>
        </w:rPr>
        <w:t xml:space="preserve">לעומתם היו שטענו, כי שיתוף פעולה עם תהליך בדיקה אינו מחייב בתוצאותיו, בדיוק כשם שאין חובה לשתף פעולה עם התהליך מלכתחילה. בסופו של דבר, הטיעון שייטען כנגד תוצאת התהליך במצב זה דומה לטיעון שהיה נטען אם המדינה הייתה בוחרת שלא לשתף פעולה כלל. עוד נטען לעניין זה, כי בראייה "היסטורית", אף אחד לא מתעניין בשאלה אם ישראל שיתפה פעולה עם </w:t>
      </w:r>
      <w:r w:rsidR="001165FD">
        <w:rPr>
          <w:rFonts w:cs="David" w:hint="cs"/>
          <w:sz w:val="28"/>
          <w:szCs w:val="28"/>
          <w:rtl/>
        </w:rPr>
        <w:t>הוועדה</w:t>
      </w:r>
      <w:r>
        <w:rPr>
          <w:rFonts w:cs="David" w:hint="cs"/>
          <w:sz w:val="28"/>
          <w:szCs w:val="28"/>
          <w:rtl/>
        </w:rPr>
        <w:t>, אלא רק במה שכתב</w:t>
      </w:r>
      <w:r w:rsidR="00014821">
        <w:rPr>
          <w:rFonts w:cs="David" w:hint="cs"/>
          <w:sz w:val="28"/>
          <w:szCs w:val="28"/>
          <w:rtl/>
        </w:rPr>
        <w:t>ה הוועדה</w:t>
      </w:r>
      <w:r>
        <w:rPr>
          <w:rFonts w:cs="David" w:hint="cs"/>
          <w:sz w:val="28"/>
          <w:szCs w:val="28"/>
          <w:rtl/>
        </w:rPr>
        <w:t>. במצב זה, אפשר גם לא להסכים למה שנכתב.</w:t>
      </w:r>
    </w:p>
    <w:p w:rsidR="00B31898" w:rsidRDefault="00B31898" w:rsidP="00B31898">
      <w:pPr>
        <w:spacing w:after="0" w:line="360" w:lineRule="auto"/>
        <w:jc w:val="both"/>
        <w:rPr>
          <w:rFonts w:cs="David"/>
          <w:sz w:val="28"/>
          <w:szCs w:val="28"/>
          <w:rtl/>
        </w:rPr>
      </w:pPr>
    </w:p>
    <w:p w:rsidR="00B31898" w:rsidRDefault="00B31898" w:rsidP="00014821">
      <w:pPr>
        <w:spacing w:after="0" w:line="360" w:lineRule="auto"/>
        <w:jc w:val="both"/>
        <w:rPr>
          <w:rFonts w:cs="David"/>
          <w:sz w:val="28"/>
          <w:szCs w:val="28"/>
          <w:rtl/>
        </w:rPr>
      </w:pPr>
      <w:r>
        <w:rPr>
          <w:rFonts w:cs="David" w:hint="cs"/>
          <w:sz w:val="28"/>
          <w:szCs w:val="28"/>
          <w:rtl/>
        </w:rPr>
        <w:t xml:space="preserve">נראה שטיעונים אלה מתייחסים בעיקר להיבט התדמיתי של מדינת ישראל אם תחליט להסתייג מדוח שנכתב בעניינה לאחר ששיתפה פעולה עמו. נשאלת השאלה, האם יש גם משמעות משפטית מחייבת לשאלת שיתוף הפעולה. היו מרואיינים שטענו, כי שיתוף פעולה עם </w:t>
      </w:r>
      <w:r w:rsidR="009C039C">
        <w:rPr>
          <w:rFonts w:cs="David" w:hint="cs"/>
          <w:sz w:val="28"/>
          <w:szCs w:val="28"/>
          <w:rtl/>
        </w:rPr>
        <w:t>ועדת חקירה בינלאומית</w:t>
      </w:r>
      <w:r>
        <w:rPr>
          <w:rFonts w:cs="David" w:hint="cs"/>
          <w:sz w:val="28"/>
          <w:szCs w:val="28"/>
          <w:rtl/>
        </w:rPr>
        <w:t xml:space="preserve"> מייצר השתק (</w:t>
      </w:r>
      <w:r>
        <w:rPr>
          <w:rFonts w:cs="David"/>
          <w:sz w:val="28"/>
          <w:szCs w:val="28"/>
        </w:rPr>
        <w:t>estoppel</w:t>
      </w:r>
      <w:r>
        <w:rPr>
          <w:rFonts w:cs="David" w:hint="cs"/>
          <w:sz w:val="28"/>
          <w:szCs w:val="28"/>
          <w:rtl/>
        </w:rPr>
        <w:t>) שמונע לאחר מכן התכחשות לתוצאות העבודה של אות</w:t>
      </w:r>
      <w:r w:rsidR="00014821">
        <w:rPr>
          <w:rFonts w:cs="David" w:hint="cs"/>
          <w:sz w:val="28"/>
          <w:szCs w:val="28"/>
          <w:rtl/>
        </w:rPr>
        <w:t>ה</w:t>
      </w:r>
      <w:r>
        <w:rPr>
          <w:rFonts w:cs="David" w:hint="cs"/>
          <w:sz w:val="28"/>
          <w:szCs w:val="28"/>
          <w:rtl/>
        </w:rPr>
        <w:t xml:space="preserve"> </w:t>
      </w:r>
      <w:r w:rsidR="0074404A">
        <w:rPr>
          <w:rFonts w:cs="David" w:hint="cs"/>
          <w:sz w:val="28"/>
          <w:szCs w:val="28"/>
          <w:rtl/>
        </w:rPr>
        <w:t>ועדה</w:t>
      </w:r>
      <w:r>
        <w:rPr>
          <w:rFonts w:cs="David" w:hint="cs"/>
          <w:sz w:val="28"/>
          <w:szCs w:val="28"/>
          <w:rtl/>
        </w:rPr>
        <w:t xml:space="preserve">. לעומתם, היו שטענו </w:t>
      </w:r>
      <w:r>
        <w:rPr>
          <w:rFonts w:cs="David" w:hint="cs"/>
          <w:sz w:val="28"/>
          <w:szCs w:val="28"/>
          <w:rtl/>
        </w:rPr>
        <w:lastRenderedPageBreak/>
        <w:t>כי העיקרון אינו חל בהקשר זה. באנציקלופדיה למשפט בינלאומי פומבי של מקס פלאנק נאמר כי דוקטרינת ההשתק מגנה על ציפיות לגיטימיות של מדינות, שנוצרות כתוצאה מהתנהגות של מדינה אחרת</w:t>
      </w:r>
      <w:bookmarkStart w:id="30" w:name="_Ref454648922"/>
      <w:r>
        <w:rPr>
          <w:rStyle w:val="a7"/>
          <w:rFonts w:cs="David"/>
          <w:sz w:val="28"/>
          <w:szCs w:val="28"/>
          <w:rtl/>
        </w:rPr>
        <w:footnoteReference w:id="147"/>
      </w:r>
      <w:bookmarkEnd w:id="30"/>
      <w:r>
        <w:rPr>
          <w:rFonts w:cs="David" w:hint="cs"/>
          <w:sz w:val="28"/>
          <w:szCs w:val="28"/>
          <w:rtl/>
        </w:rPr>
        <w:t xml:space="preserve">. הדוקטרינה נובעת מדוקטרינת תום הלב במשפט האזרחי. לפי הכלל, מדינה מנועה מלטעון לפני בית הדין הבינלאומי לצדק באופן מנוגד למצג ברור וחד משמעי שהוצג על ידה לפני כן למדינה אחרת, באופן מפורש או משתמע, שעליו יכלה אותה המדינה לפי הנסיבות להסתמך, והסתמכה בפועל, וכתוצאה מכך אותה מדינה אחרת הוטעתה לפעול או שהמדינה שהציגה את המצג השיגה רווח או יתרון כלשהו מהמצג. התוצאה הטיפוסית של הדוקטרינה היא שבמצב כזה, יהיה הצד המציג את המצג "מושתק" מהצגת מצגים שונים אחרים באותו נושא, ללא קשר למידת האמיתות או הדיוק שלהם. </w:t>
      </w:r>
    </w:p>
    <w:p w:rsidR="00B31898" w:rsidRDefault="00B31898" w:rsidP="00B31898">
      <w:pPr>
        <w:spacing w:after="0" w:line="360" w:lineRule="auto"/>
        <w:jc w:val="both"/>
        <w:rPr>
          <w:rFonts w:cs="David"/>
          <w:sz w:val="28"/>
          <w:szCs w:val="28"/>
          <w:rtl/>
        </w:rPr>
      </w:pPr>
    </w:p>
    <w:p w:rsidR="00B31898" w:rsidRDefault="00B31898" w:rsidP="00B31898">
      <w:pPr>
        <w:spacing w:after="0" w:line="360" w:lineRule="auto"/>
        <w:jc w:val="both"/>
        <w:rPr>
          <w:rFonts w:cs="David"/>
          <w:sz w:val="28"/>
          <w:szCs w:val="28"/>
          <w:rtl/>
        </w:rPr>
      </w:pPr>
      <w:r>
        <w:rPr>
          <w:rFonts w:cs="David" w:hint="cs"/>
          <w:sz w:val="28"/>
          <w:szCs w:val="28"/>
          <w:rtl/>
        </w:rPr>
        <w:t>להשתק יש גם צורות רחבות יותר בהן נעשה שימוש בפרקטיקה ובדוקטרינה. ניתן למצוא שימוש בצורות רחבות כאלה בדיפלומטיה, בבוררויות ועוד. ארנולד מקנייר (</w:t>
      </w:r>
      <w:r>
        <w:rPr>
          <w:rFonts w:cs="David"/>
          <w:sz w:val="28"/>
          <w:szCs w:val="28"/>
        </w:rPr>
        <w:t>Arnold McNair</w:t>
      </w:r>
      <w:r>
        <w:rPr>
          <w:rFonts w:cs="David" w:hint="cs"/>
          <w:sz w:val="28"/>
          <w:szCs w:val="28"/>
          <w:rtl/>
        </w:rPr>
        <w:t xml:space="preserve">) אימץ דוקטרינה רחבה של השתק, לפיה מדינה אינה יכולה </w:t>
      </w:r>
      <w:r w:rsidRPr="00B8796D">
        <w:rPr>
          <w:rFonts w:cs="David" w:hint="cs"/>
          <w:sz w:val="28"/>
          <w:szCs w:val="28"/>
          <w:rtl/>
        </w:rPr>
        <w:t xml:space="preserve">לשנות דעתה </w:t>
      </w:r>
      <w:r>
        <w:rPr>
          <w:rFonts w:cs="David" w:hint="cs"/>
          <w:sz w:val="28"/>
          <w:szCs w:val="28"/>
          <w:rtl/>
        </w:rPr>
        <w:t xml:space="preserve">באותו עניין </w:t>
      </w:r>
      <w:r w:rsidRPr="00B8796D">
        <w:rPr>
          <w:rFonts w:cs="David" w:hint="cs"/>
          <w:sz w:val="28"/>
          <w:szCs w:val="28"/>
          <w:rtl/>
        </w:rPr>
        <w:t>(</w:t>
      </w:r>
      <w:r w:rsidRPr="00B8796D">
        <w:rPr>
          <w:rFonts w:cs="David"/>
          <w:sz w:val="28"/>
          <w:szCs w:val="28"/>
        </w:rPr>
        <w:t>a State cannot blow hot and cold - Allegans Contraria Non Est Audiendus</w:t>
      </w:r>
      <w:r>
        <w:rPr>
          <w:rFonts w:cs="David" w:hint="cs"/>
          <w:sz w:val="28"/>
          <w:szCs w:val="28"/>
          <w:rtl/>
        </w:rPr>
        <w:t>)</w:t>
      </w:r>
      <w:r>
        <w:rPr>
          <w:rStyle w:val="a7"/>
          <w:rFonts w:cs="David"/>
          <w:sz w:val="28"/>
          <w:szCs w:val="28"/>
          <w:rtl/>
        </w:rPr>
        <w:footnoteReference w:id="148"/>
      </w:r>
      <w:r>
        <w:rPr>
          <w:rFonts w:cs="David" w:hint="cs"/>
          <w:sz w:val="28"/>
          <w:szCs w:val="28"/>
          <w:rtl/>
        </w:rPr>
        <w:t>. היום נוהגים בדרך כלל להחיל צורות יותר מוגבלות של השתק. התפיסה היא שהחוק אינו מאפשר למנוע בקלות ממדינות לשנות את התנהגותן, הצהרותיהן או מצגיהן. זו אינה דרך מתאימה או רצויה לקדם הגנה על תום לב, הסתמכות וביטחון ביחסים בינלאומיים בין מדינות ריבוניות. כדי שהחוק יהיה ברור, יש לנקוט גישה מצמצת יותר של מושג ההשתק, וזאת כאשר כתוצאה מהמצג שהציגה המדינה נגרמו נזק, חומרי או אחר, או הטעיה שנבעה מהסתמכות על המצג. הכרה בעובדות או עמדות משפטיות מסוימות כשלעצמה אינה מבססת השתק.</w:t>
      </w:r>
    </w:p>
    <w:p w:rsidR="00B31898" w:rsidRDefault="00B31898" w:rsidP="00B31898">
      <w:pPr>
        <w:spacing w:after="0" w:line="360" w:lineRule="auto"/>
        <w:jc w:val="both"/>
        <w:rPr>
          <w:rFonts w:cs="David"/>
          <w:sz w:val="28"/>
          <w:szCs w:val="28"/>
          <w:rtl/>
        </w:rPr>
      </w:pPr>
    </w:p>
    <w:p w:rsidR="00B31898" w:rsidRPr="00B8796D" w:rsidRDefault="00B31898" w:rsidP="00014821">
      <w:pPr>
        <w:spacing w:after="0" w:line="360" w:lineRule="auto"/>
        <w:jc w:val="both"/>
        <w:rPr>
          <w:rFonts w:cs="David"/>
          <w:sz w:val="28"/>
          <w:szCs w:val="28"/>
          <w:rtl/>
        </w:rPr>
      </w:pPr>
      <w:r>
        <w:rPr>
          <w:rFonts w:cs="David" w:hint="cs"/>
          <w:sz w:val="28"/>
          <w:szCs w:val="28"/>
          <w:rtl/>
        </w:rPr>
        <w:t>לסיכום, נראה כי לא ברור כלל שדוקטרינת ההשתק חלה בסיטואציה שלפנינו, לא באופן מהותי ולא באופן קונקרטי. כך, כלל לא ברור מה ביחסים בין המדינה הנבדקת ל</w:t>
      </w:r>
      <w:r w:rsidR="009C039C">
        <w:rPr>
          <w:rFonts w:cs="David" w:hint="cs"/>
          <w:sz w:val="28"/>
          <w:szCs w:val="28"/>
          <w:rtl/>
        </w:rPr>
        <w:t>ו</w:t>
      </w:r>
      <w:r w:rsidR="00014821">
        <w:rPr>
          <w:rFonts w:cs="David" w:hint="cs"/>
          <w:sz w:val="28"/>
          <w:szCs w:val="28"/>
          <w:rtl/>
        </w:rPr>
        <w:t>ו</w:t>
      </w:r>
      <w:r w:rsidR="009C039C">
        <w:rPr>
          <w:rFonts w:cs="David" w:hint="cs"/>
          <w:sz w:val="28"/>
          <w:szCs w:val="28"/>
          <w:rtl/>
        </w:rPr>
        <w:t>עדת החקירה</w:t>
      </w:r>
      <w:r>
        <w:rPr>
          <w:rFonts w:cs="David" w:hint="cs"/>
          <w:sz w:val="28"/>
          <w:szCs w:val="28"/>
          <w:rtl/>
        </w:rPr>
        <w:t xml:space="preserve">, יכול לייצר ציפייה מצד </w:t>
      </w:r>
      <w:r w:rsidR="001165FD">
        <w:rPr>
          <w:rFonts w:cs="David" w:hint="cs"/>
          <w:sz w:val="28"/>
          <w:szCs w:val="28"/>
          <w:rtl/>
        </w:rPr>
        <w:t>הוועדה</w:t>
      </w:r>
      <w:r>
        <w:rPr>
          <w:rFonts w:cs="David" w:hint="cs"/>
          <w:sz w:val="28"/>
          <w:szCs w:val="28"/>
          <w:rtl/>
        </w:rPr>
        <w:t xml:space="preserve"> </w:t>
      </w:r>
      <w:r>
        <w:rPr>
          <w:rFonts w:cs="David"/>
          <w:sz w:val="28"/>
          <w:szCs w:val="28"/>
          <w:rtl/>
        </w:rPr>
        <w:t>–</w:t>
      </w:r>
      <w:r>
        <w:rPr>
          <w:rFonts w:cs="David" w:hint="cs"/>
          <w:sz w:val="28"/>
          <w:szCs w:val="28"/>
          <w:rtl/>
        </w:rPr>
        <w:t xml:space="preserve"> או מצד צדדים שלישיים </w:t>
      </w:r>
      <w:r>
        <w:rPr>
          <w:rFonts w:cs="David"/>
          <w:sz w:val="28"/>
          <w:szCs w:val="28"/>
          <w:rtl/>
        </w:rPr>
        <w:t>–</w:t>
      </w:r>
      <w:r>
        <w:rPr>
          <w:rFonts w:cs="David" w:hint="cs"/>
          <w:sz w:val="28"/>
          <w:szCs w:val="28"/>
          <w:rtl/>
        </w:rPr>
        <w:t xml:space="preserve"> שהמדינה תהא מושתקת מלטעון כנגד תוצאות הבדיקה של </w:t>
      </w:r>
      <w:r w:rsidR="001165FD">
        <w:rPr>
          <w:rFonts w:cs="David" w:hint="cs"/>
          <w:sz w:val="28"/>
          <w:szCs w:val="28"/>
          <w:rtl/>
        </w:rPr>
        <w:t>הוועדה</w:t>
      </w:r>
      <w:r>
        <w:rPr>
          <w:rFonts w:cs="David" w:hint="cs"/>
          <w:sz w:val="28"/>
          <w:szCs w:val="28"/>
          <w:rtl/>
        </w:rPr>
        <w:t xml:space="preserve"> רק מפני ששיתפה עמ</w:t>
      </w:r>
      <w:r w:rsidR="00014821">
        <w:rPr>
          <w:rFonts w:cs="David" w:hint="cs"/>
          <w:sz w:val="28"/>
          <w:szCs w:val="28"/>
          <w:rtl/>
        </w:rPr>
        <w:t>ה</w:t>
      </w:r>
      <w:r>
        <w:rPr>
          <w:rFonts w:cs="David" w:hint="cs"/>
          <w:sz w:val="28"/>
          <w:szCs w:val="28"/>
          <w:rtl/>
        </w:rPr>
        <w:t xml:space="preserve"> פעולה. על פניו, אין כאן כלל שינוי מצג של המדינה. המדינה </w:t>
      </w:r>
      <w:r>
        <w:rPr>
          <w:rFonts w:cs="David" w:hint="cs"/>
          <w:sz w:val="28"/>
          <w:szCs w:val="28"/>
          <w:rtl/>
        </w:rPr>
        <w:lastRenderedPageBreak/>
        <w:t xml:space="preserve">שיתפה פעולה עם </w:t>
      </w:r>
      <w:r w:rsidR="001165FD">
        <w:rPr>
          <w:rFonts w:cs="David" w:hint="cs"/>
          <w:sz w:val="28"/>
          <w:szCs w:val="28"/>
          <w:rtl/>
        </w:rPr>
        <w:t>הוועדה</w:t>
      </w:r>
      <w:r>
        <w:rPr>
          <w:rFonts w:cs="David" w:hint="cs"/>
          <w:sz w:val="28"/>
          <w:szCs w:val="28"/>
          <w:rtl/>
        </w:rPr>
        <w:t xml:space="preserve"> </w:t>
      </w:r>
      <w:r>
        <w:rPr>
          <w:rFonts w:cs="David"/>
          <w:sz w:val="28"/>
          <w:szCs w:val="28"/>
          <w:rtl/>
        </w:rPr>
        <w:t>–</w:t>
      </w:r>
      <w:r>
        <w:rPr>
          <w:rFonts w:cs="David" w:hint="cs"/>
          <w:sz w:val="28"/>
          <w:szCs w:val="28"/>
          <w:rtl/>
        </w:rPr>
        <w:t xml:space="preserve"> לעיתים תחת מחאה או הבה</w:t>
      </w:r>
      <w:r w:rsidR="00014821">
        <w:rPr>
          <w:rFonts w:cs="David" w:hint="cs"/>
          <w:sz w:val="28"/>
          <w:szCs w:val="28"/>
          <w:rtl/>
        </w:rPr>
        <w:t>רה שהיא מסתייגת מהגוף שמינה אותה, מהמנדט שלה</w:t>
      </w:r>
      <w:r>
        <w:rPr>
          <w:rFonts w:cs="David" w:hint="cs"/>
          <w:sz w:val="28"/>
          <w:szCs w:val="28"/>
          <w:rtl/>
        </w:rPr>
        <w:t xml:space="preserve"> וכולי </w:t>
      </w:r>
      <w:r>
        <w:rPr>
          <w:rFonts w:cs="David"/>
          <w:sz w:val="28"/>
          <w:szCs w:val="28"/>
          <w:rtl/>
        </w:rPr>
        <w:t>–</w:t>
      </w:r>
      <w:r w:rsidR="00014821">
        <w:rPr>
          <w:rFonts w:cs="David" w:hint="cs"/>
          <w:sz w:val="28"/>
          <w:szCs w:val="28"/>
          <w:rtl/>
        </w:rPr>
        <w:t xml:space="preserve"> ולאחר שפרסמה את ממצאיה</w:t>
      </w:r>
      <w:r>
        <w:rPr>
          <w:rFonts w:cs="David" w:hint="cs"/>
          <w:sz w:val="28"/>
          <w:szCs w:val="28"/>
          <w:rtl/>
        </w:rPr>
        <w:t xml:space="preserve"> היא מסתייגת מהם ומסבירה מדוע. אם המדינה מסתייגת מתוצאות ההליך תוך שימוש בטענות בהן עשתה שימוש תוך כדי ההליך עצמו (הטיה של הגוף הממנה, חוסר סמכות, מנדט חד-צדדי וכולי) הרי שבכלל לא ניתן לטעון להשתק והמדינה רשאית להעלות את טענותיה אלה גם לאחר סיום הבדיקה, במיוחד לנוכח העובדה שלא הייתה מחויבת לשתף פעולה עם הבדיקה מלכתחילה.</w:t>
      </w:r>
    </w:p>
    <w:p w:rsidR="00B31898" w:rsidRDefault="00B31898" w:rsidP="00B31898">
      <w:pPr>
        <w:spacing w:after="0" w:line="360" w:lineRule="auto"/>
        <w:jc w:val="both"/>
        <w:rPr>
          <w:rFonts w:cs="David"/>
          <w:sz w:val="28"/>
          <w:szCs w:val="28"/>
          <w:rtl/>
        </w:rPr>
      </w:pPr>
    </w:p>
    <w:p w:rsidR="00B31898" w:rsidRDefault="00B31898" w:rsidP="00B31898">
      <w:pPr>
        <w:spacing w:after="0" w:line="360" w:lineRule="auto"/>
        <w:jc w:val="both"/>
        <w:rPr>
          <w:rFonts w:cs="David"/>
          <w:sz w:val="28"/>
          <w:szCs w:val="28"/>
          <w:rtl/>
        </w:rPr>
      </w:pPr>
      <w:r>
        <w:rPr>
          <w:rFonts w:cs="David" w:hint="cs"/>
          <w:sz w:val="28"/>
          <w:szCs w:val="28"/>
          <w:rtl/>
        </w:rPr>
        <w:t>חרף האמירה המשפטית הזו, נראה שבהקשר התדמיתי אכן יש מחיר להתנערות מתוצאותיו של הליך בדיקה שהמדינה שיתפה עמו פעולה באופן גלוי. שיקול זה חייב להילקח בחשבון, ומשקלו רב יותר ככל שגדל הסיכון שנוטלת המדינה בשיתוף הפעולה עם ההליך בשל השיקולים האחרים שהוזכרו.</w:t>
      </w:r>
    </w:p>
    <w:p w:rsidR="00B31898" w:rsidRPr="00B31898" w:rsidRDefault="00B31898" w:rsidP="008B316C">
      <w:pPr>
        <w:spacing w:after="0" w:line="360" w:lineRule="auto"/>
        <w:jc w:val="both"/>
        <w:rPr>
          <w:rFonts w:cs="David"/>
          <w:sz w:val="28"/>
          <w:szCs w:val="28"/>
          <w:rtl/>
        </w:rPr>
      </w:pPr>
    </w:p>
    <w:p w:rsidR="00204366" w:rsidRPr="003D0069" w:rsidRDefault="00204366" w:rsidP="003D0069">
      <w:pPr>
        <w:pStyle w:val="a9"/>
        <w:numPr>
          <w:ilvl w:val="0"/>
          <w:numId w:val="21"/>
        </w:numPr>
        <w:spacing w:after="0" w:line="360" w:lineRule="auto"/>
        <w:jc w:val="both"/>
        <w:outlineLvl w:val="1"/>
        <w:rPr>
          <w:rFonts w:cs="David"/>
          <w:b/>
          <w:bCs/>
          <w:sz w:val="28"/>
          <w:szCs w:val="28"/>
          <w:rtl/>
        </w:rPr>
      </w:pPr>
      <w:bookmarkStart w:id="31" w:name="_Toc456027309"/>
      <w:r w:rsidRPr="003D0069">
        <w:rPr>
          <w:rFonts w:cs="David" w:hint="cs"/>
          <w:b/>
          <w:bCs/>
          <w:sz w:val="28"/>
          <w:szCs w:val="28"/>
          <w:rtl/>
        </w:rPr>
        <w:t xml:space="preserve">חשש מחשיפת מידע רגיש בפני </w:t>
      </w:r>
      <w:r w:rsidR="009C039C" w:rsidRPr="003D0069">
        <w:rPr>
          <w:rFonts w:cs="David" w:hint="cs"/>
          <w:b/>
          <w:bCs/>
          <w:sz w:val="28"/>
          <w:szCs w:val="28"/>
          <w:rtl/>
        </w:rPr>
        <w:t>ועדת החקירה</w:t>
      </w:r>
      <w:bookmarkEnd w:id="31"/>
    </w:p>
    <w:p w:rsidR="00204366" w:rsidRPr="0004711E" w:rsidRDefault="00204366" w:rsidP="008B316C">
      <w:pPr>
        <w:spacing w:after="0" w:line="360" w:lineRule="auto"/>
        <w:jc w:val="both"/>
        <w:rPr>
          <w:rFonts w:cs="David"/>
          <w:sz w:val="28"/>
          <w:szCs w:val="28"/>
          <w:rtl/>
        </w:rPr>
      </w:pPr>
    </w:p>
    <w:p w:rsidR="00204366" w:rsidRPr="0004711E" w:rsidRDefault="00A47199" w:rsidP="009F13F4">
      <w:pPr>
        <w:spacing w:after="0" w:line="360" w:lineRule="auto"/>
        <w:jc w:val="both"/>
        <w:rPr>
          <w:rFonts w:cs="David"/>
          <w:sz w:val="28"/>
          <w:szCs w:val="28"/>
          <w:rtl/>
        </w:rPr>
      </w:pPr>
      <w:r w:rsidRPr="0004711E">
        <w:rPr>
          <w:rFonts w:cs="David" w:hint="cs"/>
          <w:sz w:val="28"/>
          <w:szCs w:val="28"/>
          <w:rtl/>
        </w:rPr>
        <w:t>שיקול כללי נוסף שהוזכר</w:t>
      </w:r>
      <w:r w:rsidR="00692192">
        <w:rPr>
          <w:rFonts w:cs="David" w:hint="cs"/>
          <w:sz w:val="28"/>
          <w:szCs w:val="28"/>
          <w:rtl/>
        </w:rPr>
        <w:t xml:space="preserve"> על ידי </w:t>
      </w:r>
      <w:r w:rsidRPr="0004711E">
        <w:rPr>
          <w:rFonts w:cs="David" w:hint="cs"/>
          <w:sz w:val="28"/>
          <w:szCs w:val="28"/>
          <w:rtl/>
        </w:rPr>
        <w:t>חלק מהמרואיינים לעבודה הוא החשש מחשיפת מידע</w:t>
      </w:r>
      <w:r w:rsidR="00C43B4B">
        <w:rPr>
          <w:rFonts w:cs="David" w:hint="cs"/>
          <w:sz w:val="28"/>
          <w:szCs w:val="28"/>
          <w:rtl/>
        </w:rPr>
        <w:t xml:space="preserve"> </w:t>
      </w:r>
      <w:r w:rsidR="00C43B4B" w:rsidRPr="0004711E">
        <w:rPr>
          <w:rFonts w:cs="David" w:hint="cs"/>
          <w:sz w:val="28"/>
          <w:szCs w:val="28"/>
          <w:rtl/>
        </w:rPr>
        <w:t xml:space="preserve">בפני </w:t>
      </w:r>
      <w:r w:rsidR="00C43B4B">
        <w:rPr>
          <w:rFonts w:cs="David" w:hint="cs"/>
          <w:sz w:val="28"/>
          <w:szCs w:val="28"/>
          <w:rtl/>
        </w:rPr>
        <w:t>ועדות החקירה, מטעמים שונים:</w:t>
      </w:r>
      <w:r w:rsidRPr="0004711E">
        <w:rPr>
          <w:rFonts w:cs="David" w:hint="cs"/>
          <w:sz w:val="28"/>
          <w:szCs w:val="28"/>
          <w:rtl/>
        </w:rPr>
        <w:t xml:space="preserve"> רגיש</w:t>
      </w:r>
      <w:r w:rsidR="00C43B4B">
        <w:rPr>
          <w:rFonts w:cs="David" w:hint="cs"/>
          <w:sz w:val="28"/>
          <w:szCs w:val="28"/>
          <w:rtl/>
        </w:rPr>
        <w:t>ותו</w:t>
      </w:r>
      <w:r w:rsidRPr="0004711E">
        <w:rPr>
          <w:rFonts w:cs="David" w:hint="cs"/>
          <w:sz w:val="28"/>
          <w:szCs w:val="28"/>
          <w:rtl/>
        </w:rPr>
        <w:t xml:space="preserve"> </w:t>
      </w:r>
      <w:r w:rsidR="005C1251">
        <w:rPr>
          <w:rFonts w:cs="David" w:hint="cs"/>
          <w:sz w:val="28"/>
          <w:szCs w:val="28"/>
          <w:rtl/>
        </w:rPr>
        <w:t>או ס</w:t>
      </w:r>
      <w:r w:rsidR="00C43B4B">
        <w:rPr>
          <w:rFonts w:cs="David" w:hint="cs"/>
          <w:sz w:val="28"/>
          <w:szCs w:val="28"/>
          <w:rtl/>
        </w:rPr>
        <w:t>י</w:t>
      </w:r>
      <w:r w:rsidR="005C1251">
        <w:rPr>
          <w:rFonts w:cs="David" w:hint="cs"/>
          <w:sz w:val="28"/>
          <w:szCs w:val="28"/>
          <w:rtl/>
        </w:rPr>
        <w:t>ווג</w:t>
      </w:r>
      <w:r w:rsidR="00C43B4B">
        <w:rPr>
          <w:rFonts w:cs="David" w:hint="cs"/>
          <w:sz w:val="28"/>
          <w:szCs w:val="28"/>
          <w:rtl/>
        </w:rPr>
        <w:t>ו של המידע</w:t>
      </w:r>
      <w:r w:rsidRPr="0004711E">
        <w:rPr>
          <w:rStyle w:val="a7"/>
          <w:rFonts w:cs="David"/>
          <w:sz w:val="28"/>
          <w:szCs w:val="28"/>
          <w:rtl/>
        </w:rPr>
        <w:footnoteReference w:id="149"/>
      </w:r>
      <w:r w:rsidR="009F13F4">
        <w:rPr>
          <w:rFonts w:cs="David" w:hint="cs"/>
          <w:sz w:val="28"/>
          <w:szCs w:val="28"/>
          <w:rtl/>
        </w:rPr>
        <w:t>;</w:t>
      </w:r>
      <w:r w:rsidRPr="0004711E">
        <w:rPr>
          <w:rFonts w:cs="David" w:hint="cs"/>
          <w:sz w:val="28"/>
          <w:szCs w:val="28"/>
          <w:rtl/>
        </w:rPr>
        <w:t xml:space="preserve"> החשש ש</w:t>
      </w:r>
      <w:r w:rsidR="00C43B4B">
        <w:rPr>
          <w:rFonts w:cs="David" w:hint="cs"/>
          <w:sz w:val="28"/>
          <w:szCs w:val="28"/>
          <w:rtl/>
        </w:rPr>
        <w:t>ייעשה ב</w:t>
      </w:r>
      <w:r w:rsidR="00204366" w:rsidRPr="0004711E">
        <w:rPr>
          <w:rFonts w:cs="David" w:hint="cs"/>
          <w:sz w:val="28"/>
          <w:szCs w:val="28"/>
          <w:rtl/>
        </w:rPr>
        <w:t xml:space="preserve">מידע </w:t>
      </w:r>
      <w:r w:rsidR="00956CA1" w:rsidRPr="0004711E">
        <w:rPr>
          <w:rFonts w:cs="David" w:hint="cs"/>
          <w:sz w:val="28"/>
          <w:szCs w:val="28"/>
          <w:rtl/>
        </w:rPr>
        <w:t xml:space="preserve">שימוש מניפולטיבי ומנותק מהקשר כדי </w:t>
      </w:r>
      <w:r w:rsidR="00204366" w:rsidRPr="0004711E">
        <w:rPr>
          <w:rFonts w:cs="David" w:hint="cs"/>
          <w:sz w:val="28"/>
          <w:szCs w:val="28"/>
          <w:rtl/>
        </w:rPr>
        <w:t xml:space="preserve">לחזק את הטיעון כנגד מדינת ישראל וליצור דוח הרבה יותר </w:t>
      </w:r>
      <w:r w:rsidR="009F13F4">
        <w:rPr>
          <w:rFonts w:cs="David" w:hint="cs"/>
          <w:sz w:val="28"/>
          <w:szCs w:val="28"/>
          <w:rtl/>
        </w:rPr>
        <w:t>"</w:t>
      </w:r>
      <w:r w:rsidR="00204366" w:rsidRPr="0004711E">
        <w:rPr>
          <w:rFonts w:cs="David" w:hint="cs"/>
          <w:sz w:val="28"/>
          <w:szCs w:val="28"/>
          <w:rtl/>
        </w:rPr>
        <w:t>חסין מביקורת</w:t>
      </w:r>
      <w:r w:rsidR="009F13F4">
        <w:rPr>
          <w:rFonts w:cs="David" w:hint="cs"/>
          <w:sz w:val="28"/>
          <w:szCs w:val="28"/>
          <w:rtl/>
        </w:rPr>
        <w:t>"</w:t>
      </w:r>
      <w:r w:rsidR="00204366" w:rsidRPr="0004711E">
        <w:rPr>
          <w:rFonts w:cs="David" w:hint="cs"/>
          <w:sz w:val="28"/>
          <w:szCs w:val="28"/>
          <w:rtl/>
        </w:rPr>
        <w:t xml:space="preserve">, במיוחד כאשר מדובר </w:t>
      </w:r>
      <w:r w:rsidR="00014821">
        <w:rPr>
          <w:rFonts w:cs="David" w:hint="cs"/>
          <w:sz w:val="28"/>
          <w:szCs w:val="28"/>
          <w:rtl/>
        </w:rPr>
        <w:t>בוועדה</w:t>
      </w:r>
      <w:r w:rsidR="00204366" w:rsidRPr="0004711E">
        <w:rPr>
          <w:rFonts w:cs="David" w:hint="cs"/>
          <w:sz w:val="28"/>
          <w:szCs w:val="28"/>
          <w:rtl/>
        </w:rPr>
        <w:t xml:space="preserve"> </w:t>
      </w:r>
      <w:r w:rsidR="00956CA1" w:rsidRPr="0004711E">
        <w:rPr>
          <w:rFonts w:cs="David" w:hint="cs"/>
          <w:sz w:val="28"/>
          <w:szCs w:val="28"/>
          <w:rtl/>
        </w:rPr>
        <w:t>בעל</w:t>
      </w:r>
      <w:r w:rsidR="00014821">
        <w:rPr>
          <w:rFonts w:cs="David" w:hint="cs"/>
          <w:sz w:val="28"/>
          <w:szCs w:val="28"/>
          <w:rtl/>
        </w:rPr>
        <w:t>ת</w:t>
      </w:r>
      <w:r w:rsidR="00956CA1" w:rsidRPr="0004711E">
        <w:rPr>
          <w:rFonts w:cs="David" w:hint="cs"/>
          <w:sz w:val="28"/>
          <w:szCs w:val="28"/>
          <w:rtl/>
        </w:rPr>
        <w:t xml:space="preserve"> הטיה מראש נגד מדינת ישראל</w:t>
      </w:r>
      <w:r w:rsidR="009F13F4">
        <w:rPr>
          <w:rFonts w:cs="David" w:hint="cs"/>
          <w:sz w:val="28"/>
          <w:szCs w:val="28"/>
          <w:rtl/>
        </w:rPr>
        <w:t xml:space="preserve">; או </w:t>
      </w:r>
      <w:r w:rsidR="00956CA1" w:rsidRPr="0004711E">
        <w:rPr>
          <w:rFonts w:cs="David" w:hint="cs"/>
          <w:sz w:val="28"/>
          <w:szCs w:val="28"/>
          <w:rtl/>
        </w:rPr>
        <w:t>מידע ש</w:t>
      </w:r>
      <w:r w:rsidR="009F13F4">
        <w:rPr>
          <w:rFonts w:cs="David" w:hint="cs"/>
          <w:sz w:val="28"/>
          <w:szCs w:val="28"/>
          <w:rtl/>
        </w:rPr>
        <w:t xml:space="preserve">מדינת ישראל </w:t>
      </w:r>
      <w:r w:rsidR="00956CA1" w:rsidRPr="0004711E">
        <w:rPr>
          <w:rFonts w:cs="David" w:hint="cs"/>
          <w:sz w:val="28"/>
          <w:szCs w:val="28"/>
          <w:rtl/>
        </w:rPr>
        <w:t>צריכה להשתמש בו בפורומים אחרים באופן בלעדי. כל החששות האלה מדגימים כי גם במקרה של שיתוף פעולה עלול ה</w:t>
      </w:r>
      <w:r w:rsidR="00204366" w:rsidRPr="0004711E">
        <w:rPr>
          <w:rFonts w:cs="David" w:hint="cs"/>
          <w:sz w:val="28"/>
          <w:szCs w:val="28"/>
          <w:rtl/>
        </w:rPr>
        <w:t xml:space="preserve">רצון לשדר שקיפות לעולם </w:t>
      </w:r>
      <w:r w:rsidR="00956CA1" w:rsidRPr="0004711E">
        <w:rPr>
          <w:rFonts w:cs="David" w:hint="cs"/>
          <w:sz w:val="28"/>
          <w:szCs w:val="28"/>
          <w:rtl/>
        </w:rPr>
        <w:t>להיות מאותגר</w:t>
      </w:r>
      <w:r w:rsidR="00692192">
        <w:rPr>
          <w:rFonts w:cs="David" w:hint="cs"/>
          <w:sz w:val="28"/>
          <w:szCs w:val="28"/>
          <w:rtl/>
        </w:rPr>
        <w:t xml:space="preserve"> על ידי </w:t>
      </w:r>
      <w:r w:rsidR="00956CA1" w:rsidRPr="0004711E">
        <w:rPr>
          <w:rFonts w:cs="David" w:hint="cs"/>
          <w:sz w:val="28"/>
          <w:szCs w:val="28"/>
          <w:rtl/>
        </w:rPr>
        <w:t>חששות ואינטרסים אחרים</w:t>
      </w:r>
      <w:r w:rsidR="00204366" w:rsidRPr="0004711E">
        <w:rPr>
          <w:rFonts w:cs="David" w:hint="cs"/>
          <w:sz w:val="28"/>
          <w:szCs w:val="28"/>
          <w:rtl/>
        </w:rPr>
        <w:t>.</w:t>
      </w:r>
    </w:p>
    <w:p w:rsidR="00956CA1" w:rsidRPr="0004711E" w:rsidRDefault="00956CA1" w:rsidP="008B316C">
      <w:pPr>
        <w:spacing w:after="0" w:line="360" w:lineRule="auto"/>
        <w:jc w:val="both"/>
        <w:rPr>
          <w:rFonts w:cs="David"/>
          <w:sz w:val="28"/>
          <w:szCs w:val="28"/>
          <w:rtl/>
        </w:rPr>
      </w:pPr>
    </w:p>
    <w:p w:rsidR="00204366" w:rsidRPr="0004711E" w:rsidRDefault="00956CA1" w:rsidP="003E43AD">
      <w:pPr>
        <w:spacing w:after="0" w:line="360" w:lineRule="auto"/>
        <w:jc w:val="both"/>
        <w:rPr>
          <w:rFonts w:cs="David"/>
          <w:sz w:val="28"/>
          <w:szCs w:val="28"/>
          <w:rtl/>
        </w:rPr>
      </w:pPr>
      <w:r w:rsidRPr="0004711E">
        <w:rPr>
          <w:rFonts w:cs="David" w:hint="cs"/>
          <w:sz w:val="28"/>
          <w:szCs w:val="28"/>
          <w:rtl/>
        </w:rPr>
        <w:t>על פניו, נראה שניתן לתת מענה לכל החששות האלה. זו</w:t>
      </w:r>
      <w:r w:rsidR="009830FC">
        <w:rPr>
          <w:rFonts w:cs="David" w:hint="cs"/>
          <w:sz w:val="28"/>
          <w:szCs w:val="28"/>
          <w:rtl/>
        </w:rPr>
        <w:t>הי</w:t>
      </w:r>
      <w:r w:rsidRPr="0004711E">
        <w:rPr>
          <w:rFonts w:cs="David" w:hint="cs"/>
          <w:sz w:val="28"/>
          <w:szCs w:val="28"/>
          <w:rtl/>
        </w:rPr>
        <w:t xml:space="preserve"> החלטה לגיטימית מבחינתה של מדינת ישראל </w:t>
      </w:r>
      <w:r w:rsidR="00204366" w:rsidRPr="0004711E">
        <w:rPr>
          <w:rFonts w:cs="David" w:hint="cs"/>
          <w:sz w:val="28"/>
          <w:szCs w:val="28"/>
          <w:rtl/>
        </w:rPr>
        <w:t>לשתף פעולה באופן מוגבל ו</w:t>
      </w:r>
      <w:r w:rsidRPr="0004711E">
        <w:rPr>
          <w:rFonts w:cs="David" w:hint="cs"/>
          <w:sz w:val="28"/>
          <w:szCs w:val="28"/>
          <w:rtl/>
        </w:rPr>
        <w:t xml:space="preserve">להימנע מחשיפת </w:t>
      </w:r>
      <w:r w:rsidR="00204366" w:rsidRPr="0004711E">
        <w:rPr>
          <w:rFonts w:cs="David" w:hint="cs"/>
          <w:sz w:val="28"/>
          <w:szCs w:val="28"/>
          <w:rtl/>
        </w:rPr>
        <w:t xml:space="preserve">חומר </w:t>
      </w:r>
      <w:r w:rsidRPr="0004711E">
        <w:rPr>
          <w:rFonts w:cs="David" w:hint="cs"/>
          <w:sz w:val="28"/>
          <w:szCs w:val="28"/>
          <w:rtl/>
        </w:rPr>
        <w:t xml:space="preserve">מטעמים רלוונטיים שונים. על כל פנים, זה לא צריך להיות שיקול כללי לאי שיתוף פעולה עם </w:t>
      </w:r>
      <w:r w:rsidR="009C039C">
        <w:rPr>
          <w:rFonts w:cs="David" w:hint="cs"/>
          <w:sz w:val="28"/>
          <w:szCs w:val="28"/>
          <w:rtl/>
        </w:rPr>
        <w:t>ועדת החקירה</w:t>
      </w:r>
      <w:r w:rsidRPr="0004711E">
        <w:rPr>
          <w:rFonts w:cs="David" w:hint="cs"/>
          <w:sz w:val="28"/>
          <w:szCs w:val="28"/>
          <w:rtl/>
        </w:rPr>
        <w:t xml:space="preserve">, אלא לכל היותר שיקול לגבי </w:t>
      </w:r>
      <w:r w:rsidRPr="0004711E">
        <w:rPr>
          <w:rFonts w:cs="David" w:hint="cs"/>
          <w:b/>
          <w:bCs/>
          <w:sz w:val="28"/>
          <w:szCs w:val="28"/>
          <w:rtl/>
        </w:rPr>
        <w:t>מידת</w:t>
      </w:r>
      <w:r w:rsidRPr="0004711E">
        <w:rPr>
          <w:rFonts w:cs="David" w:hint="cs"/>
          <w:sz w:val="28"/>
          <w:szCs w:val="28"/>
          <w:rtl/>
        </w:rPr>
        <w:t xml:space="preserve"> שיתוף הפעולה.</w:t>
      </w:r>
      <w:r w:rsidR="003E43AD">
        <w:rPr>
          <w:rFonts w:cs="David" w:hint="cs"/>
          <w:sz w:val="28"/>
          <w:szCs w:val="28"/>
          <w:rtl/>
        </w:rPr>
        <w:t xml:space="preserve"> יש לומר, שייתכן שוועדת החקירה לא תקבל את טיעוני המדינה ביחס לסיווג החומר ולרגישותו. עם זאת, דומה שערך השמירה על ביטחון המידע עולה בחשיבותו על </w:t>
      </w:r>
      <w:r w:rsidR="003E43AD">
        <w:rPr>
          <w:rFonts w:cs="David" w:hint="cs"/>
          <w:sz w:val="28"/>
          <w:szCs w:val="28"/>
          <w:rtl/>
        </w:rPr>
        <w:lastRenderedPageBreak/>
        <w:t xml:space="preserve">ערך שיתוף הפעולה עם הוועדה, ובמצב כזה </w:t>
      </w:r>
      <w:r w:rsidR="005610C5">
        <w:rPr>
          <w:rFonts w:cs="David" w:hint="cs"/>
          <w:sz w:val="28"/>
          <w:szCs w:val="28"/>
          <w:rtl/>
        </w:rPr>
        <w:t>על המדינה לדבוק בעמדתה שלא לחשוף את החומר, חרף עמדת הוועדה.</w:t>
      </w:r>
    </w:p>
    <w:p w:rsidR="00204366" w:rsidRPr="0004711E" w:rsidRDefault="00204366" w:rsidP="008B316C">
      <w:pPr>
        <w:spacing w:after="0" w:line="360" w:lineRule="auto"/>
        <w:jc w:val="both"/>
        <w:rPr>
          <w:rFonts w:cs="David"/>
          <w:sz w:val="28"/>
          <w:szCs w:val="28"/>
          <w:rtl/>
        </w:rPr>
      </w:pPr>
    </w:p>
    <w:p w:rsidR="004D4BB2" w:rsidRPr="003D0069" w:rsidRDefault="005E0F46" w:rsidP="003D0069">
      <w:pPr>
        <w:pStyle w:val="a9"/>
        <w:numPr>
          <w:ilvl w:val="0"/>
          <w:numId w:val="21"/>
        </w:numPr>
        <w:spacing w:after="0" w:line="360" w:lineRule="auto"/>
        <w:jc w:val="both"/>
        <w:outlineLvl w:val="1"/>
        <w:rPr>
          <w:rFonts w:cs="David"/>
          <w:b/>
          <w:bCs/>
          <w:sz w:val="28"/>
          <w:szCs w:val="28"/>
          <w:rtl/>
        </w:rPr>
      </w:pPr>
      <w:bookmarkStart w:id="32" w:name="_Toc456027310"/>
      <w:r w:rsidRPr="003D0069">
        <w:rPr>
          <w:rFonts w:cs="David" w:hint="cs"/>
          <w:b/>
          <w:bCs/>
          <w:sz w:val="28"/>
          <w:szCs w:val="28"/>
          <w:rtl/>
        </w:rPr>
        <w:t>השיקול הפוליטי הפנימי</w:t>
      </w:r>
      <w:bookmarkEnd w:id="32"/>
    </w:p>
    <w:p w:rsidR="005E0F46" w:rsidRPr="0004711E" w:rsidRDefault="005E0F46" w:rsidP="008B316C">
      <w:pPr>
        <w:spacing w:after="0" w:line="360" w:lineRule="auto"/>
        <w:jc w:val="both"/>
        <w:rPr>
          <w:rFonts w:cs="David"/>
          <w:sz w:val="28"/>
          <w:szCs w:val="28"/>
          <w:rtl/>
        </w:rPr>
      </w:pPr>
    </w:p>
    <w:p w:rsidR="005E0F46" w:rsidRPr="0004711E" w:rsidRDefault="005E0F46" w:rsidP="00014821">
      <w:pPr>
        <w:spacing w:after="0" w:line="360" w:lineRule="auto"/>
        <w:jc w:val="both"/>
        <w:rPr>
          <w:rFonts w:cs="David"/>
          <w:sz w:val="28"/>
          <w:szCs w:val="28"/>
          <w:rtl/>
        </w:rPr>
      </w:pPr>
      <w:r w:rsidRPr="0004711E">
        <w:rPr>
          <w:rFonts w:cs="David" w:hint="cs"/>
          <w:sz w:val="28"/>
          <w:szCs w:val="28"/>
          <w:rtl/>
        </w:rPr>
        <w:t>חלק מהמרואיינים ציינו, כי עבודת</w:t>
      </w:r>
      <w:r w:rsidR="00014821">
        <w:rPr>
          <w:rFonts w:cs="David" w:hint="cs"/>
          <w:sz w:val="28"/>
          <w:szCs w:val="28"/>
          <w:rtl/>
        </w:rPr>
        <w:t>ן</w:t>
      </w:r>
      <w:r w:rsidRPr="0004711E">
        <w:rPr>
          <w:rFonts w:cs="David" w:hint="cs"/>
          <w:sz w:val="28"/>
          <w:szCs w:val="28"/>
          <w:rtl/>
        </w:rPr>
        <w:t xml:space="preserve"> של </w:t>
      </w:r>
      <w:r w:rsidR="009C039C">
        <w:rPr>
          <w:rFonts w:cs="David" w:hint="cs"/>
          <w:sz w:val="28"/>
          <w:szCs w:val="28"/>
          <w:rtl/>
        </w:rPr>
        <w:t>ועדות חקירה בינלאומיות</w:t>
      </w:r>
      <w:r w:rsidR="00014821">
        <w:rPr>
          <w:rFonts w:cs="David" w:hint="cs"/>
          <w:sz w:val="28"/>
          <w:szCs w:val="28"/>
          <w:rtl/>
        </w:rPr>
        <w:t xml:space="preserve"> הבוחנות</w:t>
      </w:r>
      <w:r w:rsidRPr="0004711E">
        <w:rPr>
          <w:rFonts w:cs="David" w:hint="cs"/>
          <w:sz w:val="28"/>
          <w:szCs w:val="28"/>
          <w:rtl/>
        </w:rPr>
        <w:t xml:space="preserve"> אירועים מבצעיים נתפסת בציבור הישראלי בדרך כלל כפעולה שתפגע בצה"ל ובחייליו</w:t>
      </w:r>
      <w:r w:rsidR="009830FC">
        <w:rPr>
          <w:rFonts w:cs="David" w:hint="cs"/>
          <w:sz w:val="28"/>
          <w:szCs w:val="28"/>
          <w:rtl/>
        </w:rPr>
        <w:t>,</w:t>
      </w:r>
      <w:r w:rsidRPr="0004711E">
        <w:rPr>
          <w:rFonts w:cs="David" w:hint="cs"/>
          <w:sz w:val="28"/>
          <w:szCs w:val="28"/>
          <w:rtl/>
        </w:rPr>
        <w:t xml:space="preserve"> ולכן </w:t>
      </w:r>
      <w:r w:rsidR="009830FC" w:rsidRPr="0004711E">
        <w:rPr>
          <w:rFonts w:cs="David" w:hint="cs"/>
          <w:sz w:val="28"/>
          <w:szCs w:val="28"/>
          <w:rtl/>
        </w:rPr>
        <w:t xml:space="preserve">ירצו </w:t>
      </w:r>
      <w:r w:rsidRPr="0004711E">
        <w:rPr>
          <w:rFonts w:cs="David" w:hint="cs"/>
          <w:sz w:val="28"/>
          <w:szCs w:val="28"/>
          <w:rtl/>
        </w:rPr>
        <w:t>הפוליטיקאים להפגין, לכל הפחות בהצהרות, שמדינת ישראל לא תשתף עמן פעולה. בנסיבות כאלה, השיקולים האחרים, חשובים ככל שיהיו, עלולים לעיתים להידחק הצידה בשל השיקול הפוליטי הפנימי. עם זאת, מרבית המרואיינים ציינו כי בסופו של דבר, גם הדרג הפוליטי בוחן לעומק את השיקולים הענייניים והמעשיים ומקבל החלטות בהתאם</w:t>
      </w:r>
      <w:r w:rsidR="00754FC5" w:rsidRPr="0004711E">
        <w:rPr>
          <w:rStyle w:val="a7"/>
          <w:rFonts w:cs="David"/>
          <w:sz w:val="28"/>
          <w:szCs w:val="28"/>
          <w:rtl/>
        </w:rPr>
        <w:footnoteReference w:id="150"/>
      </w:r>
      <w:r w:rsidR="00754FC5" w:rsidRPr="0004711E">
        <w:rPr>
          <w:rFonts w:cs="David" w:hint="cs"/>
          <w:sz w:val="28"/>
          <w:szCs w:val="28"/>
          <w:rtl/>
        </w:rPr>
        <w:t>.</w:t>
      </w:r>
      <w:r w:rsidRPr="0004711E">
        <w:rPr>
          <w:rFonts w:cs="David" w:hint="cs"/>
          <w:sz w:val="28"/>
          <w:szCs w:val="28"/>
          <w:rtl/>
        </w:rPr>
        <w:t xml:space="preserve"> </w:t>
      </w:r>
    </w:p>
    <w:p w:rsidR="00754FC5" w:rsidRPr="0004711E" w:rsidRDefault="00754FC5" w:rsidP="008B316C">
      <w:pPr>
        <w:spacing w:after="0" w:line="360" w:lineRule="auto"/>
        <w:jc w:val="both"/>
        <w:rPr>
          <w:rFonts w:cs="David"/>
          <w:sz w:val="28"/>
          <w:szCs w:val="28"/>
          <w:rtl/>
        </w:rPr>
      </w:pPr>
    </w:p>
    <w:p w:rsidR="00754FC5" w:rsidRPr="0004711E" w:rsidRDefault="00754FC5" w:rsidP="009830FC">
      <w:pPr>
        <w:spacing w:after="0" w:line="360" w:lineRule="auto"/>
        <w:jc w:val="both"/>
        <w:rPr>
          <w:rFonts w:cs="David"/>
          <w:sz w:val="28"/>
          <w:szCs w:val="28"/>
          <w:rtl/>
        </w:rPr>
      </w:pPr>
      <w:r w:rsidRPr="0004711E">
        <w:rPr>
          <w:rFonts w:cs="David" w:hint="cs"/>
          <w:sz w:val="28"/>
          <w:szCs w:val="28"/>
          <w:rtl/>
        </w:rPr>
        <w:t xml:space="preserve">מבלי להתעלם מקיומו של השיקול הפוליטי הפנימי, נראה כי תהליך קבלת החלטות ראוי צריך להתבסס על שיקולים ענייניים הנוגעים באופן ישיר לשאלת התועלת משיתוף הפעולה עם </w:t>
      </w:r>
      <w:r w:rsidR="001165FD">
        <w:rPr>
          <w:rFonts w:cs="David" w:hint="cs"/>
          <w:sz w:val="28"/>
          <w:szCs w:val="28"/>
          <w:rtl/>
        </w:rPr>
        <w:t>הוועדה</w:t>
      </w:r>
      <w:r w:rsidRPr="0004711E">
        <w:rPr>
          <w:rFonts w:cs="David" w:hint="cs"/>
          <w:sz w:val="28"/>
          <w:szCs w:val="28"/>
          <w:rtl/>
        </w:rPr>
        <w:t xml:space="preserve">. דומה כי ההיבטים הפוליטיים הפנימיים אינם צריכים להימנות עם שיקולים אלה, וכי ניתן לטפל בהם בדרכים אחרות, שאינן צריכות להוליך להחלטה שלא לשתף פעולה עם </w:t>
      </w:r>
      <w:r w:rsidR="009C039C">
        <w:rPr>
          <w:rFonts w:cs="David" w:hint="cs"/>
          <w:sz w:val="28"/>
          <w:szCs w:val="28"/>
          <w:rtl/>
        </w:rPr>
        <w:t>ועדת חקירה</w:t>
      </w:r>
      <w:r w:rsidRPr="0004711E">
        <w:rPr>
          <w:rFonts w:cs="David" w:hint="cs"/>
          <w:sz w:val="28"/>
          <w:szCs w:val="28"/>
          <w:rtl/>
        </w:rPr>
        <w:t xml:space="preserve"> רק בגלל השיקול הפוליטי. עם זאת, השיקול הפוליטי יכול להי</w:t>
      </w:r>
      <w:r w:rsidR="009830FC">
        <w:rPr>
          <w:rFonts w:cs="David" w:hint="cs"/>
          <w:sz w:val="28"/>
          <w:szCs w:val="28"/>
          <w:rtl/>
        </w:rPr>
        <w:t>לקח</w:t>
      </w:r>
      <w:r w:rsidRPr="0004711E">
        <w:rPr>
          <w:rFonts w:cs="David" w:hint="cs"/>
          <w:sz w:val="28"/>
          <w:szCs w:val="28"/>
          <w:rtl/>
        </w:rPr>
        <w:t xml:space="preserve"> כשיקול נוסף במארג השיקולים הפרטניים שייבחנו בעת קבלת ההחלטה.</w:t>
      </w:r>
    </w:p>
    <w:p w:rsidR="005E0F46" w:rsidRPr="0004711E" w:rsidRDefault="005E0F46" w:rsidP="008B316C">
      <w:pPr>
        <w:spacing w:after="0" w:line="360" w:lineRule="auto"/>
        <w:jc w:val="both"/>
        <w:rPr>
          <w:rFonts w:cs="David"/>
          <w:sz w:val="28"/>
          <w:szCs w:val="28"/>
          <w:rtl/>
        </w:rPr>
      </w:pPr>
    </w:p>
    <w:p w:rsidR="00956CA1" w:rsidRPr="003D0069" w:rsidRDefault="00B31898" w:rsidP="003D0069">
      <w:pPr>
        <w:pStyle w:val="a9"/>
        <w:numPr>
          <w:ilvl w:val="0"/>
          <w:numId w:val="21"/>
        </w:numPr>
        <w:spacing w:after="0" w:line="360" w:lineRule="auto"/>
        <w:jc w:val="both"/>
        <w:outlineLvl w:val="1"/>
        <w:rPr>
          <w:rFonts w:cs="David"/>
          <w:b/>
          <w:bCs/>
          <w:sz w:val="28"/>
          <w:szCs w:val="28"/>
        </w:rPr>
      </w:pPr>
      <w:bookmarkStart w:id="33" w:name="_Toc456027311"/>
      <w:r w:rsidRPr="003D0069">
        <w:rPr>
          <w:rFonts w:cs="David" w:hint="cs"/>
          <w:b/>
          <w:bCs/>
          <w:sz w:val="28"/>
          <w:szCs w:val="28"/>
          <w:rtl/>
        </w:rPr>
        <w:t xml:space="preserve">סיכום - </w:t>
      </w:r>
      <w:r w:rsidR="00956CA1" w:rsidRPr="003D0069">
        <w:rPr>
          <w:rFonts w:cs="David" w:hint="cs"/>
          <w:b/>
          <w:bCs/>
          <w:sz w:val="28"/>
          <w:szCs w:val="28"/>
          <w:rtl/>
        </w:rPr>
        <w:t>שיקולים רחבים</w:t>
      </w:r>
      <w:r w:rsidR="00982291" w:rsidRPr="003D0069">
        <w:rPr>
          <w:rFonts w:cs="David" w:hint="cs"/>
          <w:b/>
          <w:bCs/>
          <w:sz w:val="28"/>
          <w:szCs w:val="28"/>
          <w:rtl/>
        </w:rPr>
        <w:t>-גנריים</w:t>
      </w:r>
      <w:r w:rsidR="00956CA1" w:rsidRPr="003D0069">
        <w:rPr>
          <w:rFonts w:cs="David" w:hint="cs"/>
          <w:b/>
          <w:bCs/>
          <w:sz w:val="28"/>
          <w:szCs w:val="28"/>
          <w:rtl/>
        </w:rPr>
        <w:t xml:space="preserve"> בקבלת החלטה על שיתוף פעולה עם </w:t>
      </w:r>
      <w:r w:rsidR="009C039C" w:rsidRPr="003D0069">
        <w:rPr>
          <w:rFonts w:cs="David" w:hint="cs"/>
          <w:b/>
          <w:bCs/>
          <w:sz w:val="28"/>
          <w:szCs w:val="28"/>
          <w:rtl/>
        </w:rPr>
        <w:t>ועדות חקירה בינלאומיות</w:t>
      </w:r>
      <w:bookmarkEnd w:id="33"/>
    </w:p>
    <w:p w:rsidR="00956CA1" w:rsidRPr="0004711E" w:rsidRDefault="00956CA1" w:rsidP="008B316C">
      <w:pPr>
        <w:spacing w:after="0" w:line="360" w:lineRule="auto"/>
        <w:jc w:val="both"/>
        <w:rPr>
          <w:rFonts w:cs="David"/>
          <w:sz w:val="28"/>
          <w:szCs w:val="28"/>
          <w:rtl/>
        </w:rPr>
      </w:pPr>
    </w:p>
    <w:p w:rsidR="005610C5" w:rsidRDefault="00C06FD8" w:rsidP="00982291">
      <w:pPr>
        <w:spacing w:after="0" w:line="360" w:lineRule="auto"/>
        <w:jc w:val="both"/>
        <w:rPr>
          <w:rFonts w:cs="David"/>
          <w:sz w:val="28"/>
          <w:szCs w:val="28"/>
          <w:rtl/>
        </w:rPr>
      </w:pPr>
      <w:r w:rsidRPr="0004711E">
        <w:rPr>
          <w:rFonts w:cs="David" w:hint="cs"/>
          <w:sz w:val="28"/>
          <w:szCs w:val="28"/>
          <w:rtl/>
        </w:rPr>
        <w:t xml:space="preserve">בסיכומו של דבר, </w:t>
      </w:r>
      <w:r w:rsidR="005610C5">
        <w:rPr>
          <w:rFonts w:cs="David" w:hint="cs"/>
          <w:sz w:val="28"/>
          <w:szCs w:val="28"/>
          <w:rtl/>
        </w:rPr>
        <w:t xml:space="preserve">דומה שבחינת </w:t>
      </w:r>
      <w:r w:rsidRPr="0004711E">
        <w:rPr>
          <w:rFonts w:cs="David" w:hint="cs"/>
          <w:sz w:val="28"/>
          <w:szCs w:val="28"/>
          <w:rtl/>
        </w:rPr>
        <w:t>מכלול השיקולים הרחבים מוביל</w:t>
      </w:r>
      <w:r w:rsidR="005610C5">
        <w:rPr>
          <w:rFonts w:cs="David" w:hint="cs"/>
          <w:sz w:val="28"/>
          <w:szCs w:val="28"/>
          <w:rtl/>
        </w:rPr>
        <w:t>ה להטיית הכף</w:t>
      </w:r>
      <w:r w:rsidRPr="0004711E">
        <w:rPr>
          <w:rFonts w:cs="David" w:hint="cs"/>
          <w:sz w:val="28"/>
          <w:szCs w:val="28"/>
          <w:rtl/>
        </w:rPr>
        <w:t xml:space="preserve"> למסקנה ששיתוף פעולה עם </w:t>
      </w:r>
      <w:r w:rsidR="009C039C">
        <w:rPr>
          <w:rFonts w:cs="David" w:hint="cs"/>
          <w:sz w:val="28"/>
          <w:szCs w:val="28"/>
          <w:rtl/>
        </w:rPr>
        <w:t>ועדות חקירה בינלאומיות</w:t>
      </w:r>
      <w:r w:rsidRPr="0004711E">
        <w:rPr>
          <w:rFonts w:cs="David" w:hint="cs"/>
          <w:sz w:val="28"/>
          <w:szCs w:val="28"/>
          <w:rtl/>
        </w:rPr>
        <w:t xml:space="preserve"> הוא הדבר הנכון לעשות</w:t>
      </w:r>
      <w:r w:rsidR="005610C5">
        <w:rPr>
          <w:rFonts w:cs="David" w:hint="cs"/>
          <w:sz w:val="28"/>
          <w:szCs w:val="28"/>
          <w:rtl/>
        </w:rPr>
        <w:t>, בדרך כלל</w:t>
      </w:r>
      <w:r>
        <w:rPr>
          <w:rFonts w:cs="David" w:hint="cs"/>
          <w:sz w:val="28"/>
          <w:szCs w:val="28"/>
          <w:rtl/>
        </w:rPr>
        <w:t>.</w:t>
      </w:r>
      <w:r w:rsidR="005610C5">
        <w:rPr>
          <w:rFonts w:cs="David" w:hint="cs"/>
          <w:sz w:val="28"/>
          <w:szCs w:val="28"/>
          <w:rtl/>
        </w:rPr>
        <w:t xml:space="preserve"> כפי שהודגם, לצד היתרונות של שיתוף פעולה שניתן לייחס לכל אחד מהשיקולים האלה, ניתן למצוא גם חסרונות, ולעיתים חסרונות לא מבוטלים. עם </w:t>
      </w:r>
      <w:r w:rsidR="005610C5">
        <w:rPr>
          <w:rFonts w:cs="David" w:hint="cs"/>
          <w:sz w:val="28"/>
          <w:szCs w:val="28"/>
          <w:rtl/>
        </w:rPr>
        <w:lastRenderedPageBreak/>
        <w:t>זאת, דומה שניתן לומר במידה רבה של ודאות, שבדרך כלל יעלה משקל היתרונות על משקל החסרונות.</w:t>
      </w:r>
      <w:r>
        <w:rPr>
          <w:rFonts w:cs="David" w:hint="cs"/>
          <w:sz w:val="28"/>
          <w:szCs w:val="28"/>
          <w:rtl/>
        </w:rPr>
        <w:t xml:space="preserve"> לפיכך</w:t>
      </w:r>
      <w:r w:rsidRPr="0004711E">
        <w:rPr>
          <w:rFonts w:cs="David" w:hint="cs"/>
          <w:sz w:val="28"/>
          <w:szCs w:val="28"/>
          <w:rtl/>
        </w:rPr>
        <w:t>, נראה ש</w:t>
      </w:r>
      <w:r w:rsidR="005610C5">
        <w:rPr>
          <w:rFonts w:cs="David" w:hint="cs"/>
          <w:sz w:val="28"/>
          <w:szCs w:val="28"/>
          <w:rtl/>
        </w:rPr>
        <w:t xml:space="preserve">החלטה לשתף פעולה עם </w:t>
      </w:r>
      <w:r w:rsidR="009C039C">
        <w:rPr>
          <w:rFonts w:cs="David" w:hint="cs"/>
          <w:sz w:val="28"/>
          <w:szCs w:val="28"/>
          <w:rtl/>
        </w:rPr>
        <w:t>ועדת חקירה בינלאומית</w:t>
      </w:r>
      <w:r w:rsidR="005610C5">
        <w:rPr>
          <w:rFonts w:cs="David" w:hint="cs"/>
          <w:sz w:val="28"/>
          <w:szCs w:val="28"/>
          <w:rtl/>
        </w:rPr>
        <w:t xml:space="preserve"> </w:t>
      </w:r>
      <w:r w:rsidRPr="0004711E">
        <w:rPr>
          <w:rFonts w:cs="David" w:hint="cs"/>
          <w:sz w:val="28"/>
          <w:szCs w:val="28"/>
          <w:rtl/>
        </w:rPr>
        <w:t xml:space="preserve">צריכה להיות נקודת המוצא של מדינת ישראל בכל נקודת זמן עתידית שבה יעלה הצורך לקבל החלטה כזו. </w:t>
      </w:r>
      <w:r w:rsidR="005610C5">
        <w:rPr>
          <w:rFonts w:cs="David" w:hint="cs"/>
          <w:sz w:val="28"/>
          <w:szCs w:val="28"/>
          <w:rtl/>
        </w:rPr>
        <w:t>עם זאת, מובן שההחלטה הקונקרטית תהא כפופה תמיד לבחינה הפרטנית של החסרונות שנמנו במהלך סקירת השיקולים הרחבים השונים ושל השיקולים הפרטניים שיימנו בהמשך.</w:t>
      </w:r>
    </w:p>
    <w:p w:rsidR="005610C5" w:rsidRDefault="005610C5" w:rsidP="005610C5">
      <w:pPr>
        <w:spacing w:after="0" w:line="360" w:lineRule="auto"/>
        <w:jc w:val="both"/>
        <w:rPr>
          <w:rFonts w:cs="David"/>
          <w:sz w:val="28"/>
          <w:szCs w:val="28"/>
          <w:rtl/>
        </w:rPr>
      </w:pPr>
    </w:p>
    <w:p w:rsidR="00C06FD8" w:rsidRPr="0004711E" w:rsidRDefault="00C06FD8" w:rsidP="005610C5">
      <w:pPr>
        <w:spacing w:after="0" w:line="360" w:lineRule="auto"/>
        <w:jc w:val="both"/>
        <w:rPr>
          <w:rFonts w:cs="David"/>
          <w:sz w:val="28"/>
          <w:szCs w:val="28"/>
          <w:rtl/>
        </w:rPr>
      </w:pPr>
      <w:r w:rsidRPr="0004711E">
        <w:rPr>
          <w:rFonts w:cs="David" w:hint="cs"/>
          <w:sz w:val="28"/>
          <w:szCs w:val="28"/>
          <w:rtl/>
        </w:rPr>
        <w:t>הקהילה הבינלאומית מצפה מישראל</w:t>
      </w:r>
      <w:r w:rsidR="005610C5">
        <w:rPr>
          <w:rFonts w:cs="David" w:hint="cs"/>
          <w:sz w:val="28"/>
          <w:szCs w:val="28"/>
          <w:rtl/>
        </w:rPr>
        <w:t>,</w:t>
      </w:r>
      <w:r w:rsidRPr="0004711E">
        <w:rPr>
          <w:rFonts w:cs="David" w:hint="cs"/>
          <w:sz w:val="28"/>
          <w:szCs w:val="28"/>
          <w:rtl/>
        </w:rPr>
        <w:t xml:space="preserve"> כדמוקרטיה וכחברה מכובדת בקהילת העמים</w:t>
      </w:r>
      <w:r w:rsidR="005610C5">
        <w:rPr>
          <w:rFonts w:cs="David" w:hint="cs"/>
          <w:sz w:val="28"/>
          <w:szCs w:val="28"/>
          <w:rtl/>
        </w:rPr>
        <w:t>,</w:t>
      </w:r>
      <w:r w:rsidRPr="0004711E">
        <w:rPr>
          <w:rFonts w:cs="David" w:hint="cs"/>
          <w:sz w:val="28"/>
          <w:szCs w:val="28"/>
          <w:rtl/>
        </w:rPr>
        <w:t xml:space="preserve"> להפגין </w:t>
      </w:r>
      <w:r w:rsidRPr="0004711E">
        <w:rPr>
          <w:rFonts w:cs="David" w:hint="cs"/>
          <w:b/>
          <w:bCs/>
          <w:sz w:val="28"/>
          <w:szCs w:val="28"/>
          <w:rtl/>
        </w:rPr>
        <w:t>שותפות</w:t>
      </w:r>
      <w:r w:rsidRPr="0004711E">
        <w:rPr>
          <w:rFonts w:cs="David" w:hint="cs"/>
          <w:sz w:val="28"/>
          <w:szCs w:val="28"/>
          <w:rtl/>
        </w:rPr>
        <w:t xml:space="preserve"> </w:t>
      </w:r>
      <w:r w:rsidRPr="0004711E">
        <w:rPr>
          <w:rFonts w:cs="David" w:hint="cs"/>
          <w:b/>
          <w:bCs/>
          <w:sz w:val="28"/>
          <w:szCs w:val="28"/>
          <w:rtl/>
        </w:rPr>
        <w:t>ומחויבות</w:t>
      </w:r>
      <w:r w:rsidRPr="0004711E">
        <w:rPr>
          <w:rFonts w:cs="David" w:hint="cs"/>
          <w:sz w:val="28"/>
          <w:szCs w:val="28"/>
          <w:rtl/>
        </w:rPr>
        <w:t xml:space="preserve"> כלפיה. השותפות היא כלפי המוסדות שהקימה הקהילה הבינלאומית כדי לקיים אותה ככזו והערכים שהיא מקדמת. המחויבות היא לקיום של הנורמות שקובעת הקהילה הבינלאומית, באופן מלא וכן, הן בפעילותה של המדינה בתוך גבולותיה, והן בממשקיה עם הקהילה הבינלאומית מחוץ לגבולות המדינה. שיתוף פעולה עם </w:t>
      </w:r>
      <w:r w:rsidR="009C039C">
        <w:rPr>
          <w:rFonts w:cs="David" w:hint="cs"/>
          <w:sz w:val="28"/>
          <w:szCs w:val="28"/>
          <w:rtl/>
        </w:rPr>
        <w:t>ועדת חקירה בינלאומית</w:t>
      </w:r>
      <w:r w:rsidRPr="0004711E">
        <w:rPr>
          <w:rFonts w:cs="David" w:hint="cs"/>
          <w:sz w:val="28"/>
          <w:szCs w:val="28"/>
          <w:rtl/>
        </w:rPr>
        <w:t xml:space="preserve"> מבטא את ההכרה של המדינה בשני הערכים הללו גם יחד.</w:t>
      </w:r>
      <w:r>
        <w:rPr>
          <w:rFonts w:cs="David" w:hint="cs"/>
          <w:sz w:val="28"/>
          <w:szCs w:val="28"/>
          <w:rtl/>
        </w:rPr>
        <w:t xml:space="preserve"> </w:t>
      </w:r>
      <w:r w:rsidRPr="0004711E">
        <w:rPr>
          <w:rFonts w:cs="David" w:hint="cs"/>
          <w:sz w:val="28"/>
          <w:szCs w:val="28"/>
          <w:rtl/>
        </w:rPr>
        <w:t>על פניו, נראה ששותפותה של מדינת ישראל עם הקהילה הבינלאומית ומחויבותה כלפי המשפט הבינלאומי אמיצות, ומסקנה זו היא כמעט בבחינת הברור מאליו. יחד עם זאת, נכון היה לפרק את העיקרון הזה לרכיביו על מנת לבחון את אמיתותו ולתת לו משנה תוקף, וכך נעשה</w:t>
      </w:r>
      <w:r>
        <w:rPr>
          <w:rFonts w:cs="David" w:hint="cs"/>
          <w:sz w:val="28"/>
          <w:szCs w:val="28"/>
          <w:rtl/>
        </w:rPr>
        <w:t xml:space="preserve"> בפרק זה</w:t>
      </w:r>
      <w:r w:rsidRPr="0004711E">
        <w:rPr>
          <w:rFonts w:cs="David" w:hint="cs"/>
          <w:sz w:val="28"/>
          <w:szCs w:val="28"/>
          <w:rtl/>
        </w:rPr>
        <w:t>.</w:t>
      </w:r>
    </w:p>
    <w:p w:rsidR="00C06FD8" w:rsidRPr="0004711E" w:rsidRDefault="00C06FD8" w:rsidP="00C06FD8">
      <w:pPr>
        <w:spacing w:after="0" w:line="360" w:lineRule="auto"/>
        <w:jc w:val="both"/>
        <w:rPr>
          <w:rFonts w:cs="David"/>
          <w:sz w:val="28"/>
          <w:szCs w:val="28"/>
          <w:rtl/>
        </w:rPr>
      </w:pPr>
    </w:p>
    <w:p w:rsidR="00CD2244" w:rsidRPr="0004711E" w:rsidRDefault="00152E06" w:rsidP="00180971">
      <w:pPr>
        <w:spacing w:after="0" w:line="360" w:lineRule="auto"/>
        <w:jc w:val="both"/>
        <w:rPr>
          <w:rFonts w:cs="David"/>
          <w:sz w:val="28"/>
          <w:szCs w:val="28"/>
          <w:rtl/>
        </w:rPr>
      </w:pPr>
      <w:r>
        <w:rPr>
          <w:rFonts w:cs="David" w:hint="cs"/>
          <w:sz w:val="28"/>
          <w:szCs w:val="28"/>
          <w:rtl/>
        </w:rPr>
        <w:t xml:space="preserve">ישנה דעה הגורסת, שכאשר </w:t>
      </w:r>
      <w:r w:rsidR="009C039C">
        <w:rPr>
          <w:rFonts w:cs="David" w:hint="cs"/>
          <w:sz w:val="28"/>
          <w:szCs w:val="28"/>
          <w:rtl/>
        </w:rPr>
        <w:t>ועדת חקירה</w:t>
      </w:r>
      <w:r>
        <w:rPr>
          <w:rFonts w:cs="David" w:hint="cs"/>
          <w:sz w:val="28"/>
          <w:szCs w:val="28"/>
          <w:rtl/>
        </w:rPr>
        <w:t xml:space="preserve"> מעלה טענה באשר להתנהגותה של מדינה לפי אמנות ג'נבה משנת 1949, מחויבת אותה מדינה, מתוך כבוד לאמנות, לכל הפחות להגיב לאותן טענות. מחויבות זו נובעת מסעיף 1 המשותף לאמנות ג'נבה, הקובע כי "</w:t>
      </w:r>
      <w:r w:rsidRPr="007F4954">
        <w:rPr>
          <w:rFonts w:eastAsia="Times New Roman" w:cs="Arial"/>
          <w:sz w:val="28"/>
          <w:szCs w:val="28"/>
        </w:rPr>
        <w:t xml:space="preserve">The High Contracting Parties undertake to respect and to ensure respect for the </w:t>
      </w:r>
      <w:r w:rsidRPr="007F4954">
        <w:rPr>
          <w:rFonts w:cs="David"/>
          <w:sz w:val="28"/>
          <w:szCs w:val="28"/>
        </w:rPr>
        <w:t>present Convention in all circumstances</w:t>
      </w:r>
      <w:r w:rsidRPr="00152E06">
        <w:rPr>
          <w:rFonts w:cs="David" w:hint="cs"/>
          <w:sz w:val="28"/>
          <w:szCs w:val="28"/>
          <w:rtl/>
        </w:rPr>
        <w:t xml:space="preserve">". עוד גורסת דעה זו, כי מכוח אותו סעיף ממש, </w:t>
      </w:r>
      <w:r w:rsidR="00DA324B" w:rsidRPr="00152E06">
        <w:rPr>
          <w:rFonts w:cs="David" w:hint="cs"/>
          <w:sz w:val="28"/>
          <w:szCs w:val="28"/>
          <w:rtl/>
        </w:rPr>
        <w:t xml:space="preserve">מחויבות </w:t>
      </w:r>
      <w:r w:rsidRPr="00152E06">
        <w:rPr>
          <w:rFonts w:cs="David" w:hint="cs"/>
          <w:sz w:val="28"/>
          <w:szCs w:val="28"/>
          <w:rtl/>
        </w:rPr>
        <w:t xml:space="preserve">המדינות האחרות החתומות על אמנות ג'נבה, מתוך מחויבותן לדאוג לכיבוד האמנות, להפעיל את כל המאמצים האפשריים על מנת ללחוץ </w:t>
      </w:r>
      <w:r w:rsidR="00DA324B">
        <w:rPr>
          <w:rFonts w:cs="David" w:hint="cs"/>
          <w:sz w:val="28"/>
          <w:szCs w:val="28"/>
          <w:rtl/>
        </w:rPr>
        <w:t>על</w:t>
      </w:r>
      <w:r w:rsidR="00DA324B" w:rsidRPr="00152E06">
        <w:rPr>
          <w:rFonts w:cs="David" w:hint="cs"/>
          <w:sz w:val="28"/>
          <w:szCs w:val="28"/>
          <w:rtl/>
        </w:rPr>
        <w:t xml:space="preserve"> </w:t>
      </w:r>
      <w:r w:rsidRPr="00152E06">
        <w:rPr>
          <w:rFonts w:cs="David" w:hint="cs"/>
          <w:sz w:val="28"/>
          <w:szCs w:val="28"/>
          <w:rtl/>
        </w:rPr>
        <w:t xml:space="preserve">המדינה הנוגעת בדבר </w:t>
      </w:r>
      <w:r>
        <w:rPr>
          <w:rFonts w:cs="David" w:hint="cs"/>
          <w:sz w:val="28"/>
          <w:szCs w:val="28"/>
          <w:rtl/>
        </w:rPr>
        <w:t xml:space="preserve">להשיב </w:t>
      </w:r>
      <w:r w:rsidRPr="00152E06">
        <w:rPr>
          <w:rFonts w:cs="David" w:hint="cs"/>
          <w:sz w:val="28"/>
          <w:szCs w:val="28"/>
          <w:rtl/>
        </w:rPr>
        <w:t>לטענות, לרבות באמצעות עריכת חקירה</w:t>
      </w:r>
      <w:r>
        <w:rPr>
          <w:rStyle w:val="a7"/>
          <w:rFonts w:cs="David"/>
          <w:sz w:val="28"/>
          <w:szCs w:val="28"/>
          <w:rtl/>
        </w:rPr>
        <w:footnoteReference w:id="151"/>
      </w:r>
      <w:r w:rsidRPr="00152E06">
        <w:rPr>
          <w:rFonts w:cs="David" w:hint="cs"/>
          <w:sz w:val="28"/>
          <w:szCs w:val="28"/>
          <w:rtl/>
        </w:rPr>
        <w:t xml:space="preserve">. </w:t>
      </w:r>
      <w:r w:rsidR="00CD2244" w:rsidRPr="0004711E">
        <w:rPr>
          <w:rFonts w:cs="David" w:hint="cs"/>
          <w:sz w:val="28"/>
          <w:szCs w:val="28"/>
          <w:rtl/>
        </w:rPr>
        <w:t>חלק מהמרואיינים לעבודה זו סברו, כי שיק</w:t>
      </w:r>
      <w:r w:rsidR="00015D46" w:rsidRPr="0004711E">
        <w:rPr>
          <w:rFonts w:cs="David" w:hint="cs"/>
          <w:sz w:val="28"/>
          <w:szCs w:val="28"/>
          <w:rtl/>
        </w:rPr>
        <w:t xml:space="preserve">ולי </w:t>
      </w:r>
      <w:r w:rsidR="00015D46" w:rsidRPr="0004711E">
        <w:rPr>
          <w:rFonts w:cs="David" w:hint="cs"/>
          <w:sz w:val="28"/>
          <w:szCs w:val="28"/>
          <w:rtl/>
        </w:rPr>
        <w:lastRenderedPageBreak/>
        <w:t>השותפות והמחויבות הם שיקולי-</w:t>
      </w:r>
      <w:r w:rsidR="00CD2244" w:rsidRPr="0004711E">
        <w:rPr>
          <w:rFonts w:cs="David" w:hint="cs"/>
          <w:sz w:val="28"/>
          <w:szCs w:val="28"/>
          <w:rtl/>
        </w:rPr>
        <w:t>על, שחורגים מהשיקולים ו</w:t>
      </w:r>
      <w:r w:rsidR="00DA324B">
        <w:rPr>
          <w:rFonts w:cs="David" w:hint="cs"/>
          <w:sz w:val="28"/>
          <w:szCs w:val="28"/>
          <w:rtl/>
        </w:rPr>
        <w:t>מ</w:t>
      </w:r>
      <w:r w:rsidR="00CD2244" w:rsidRPr="0004711E">
        <w:rPr>
          <w:rFonts w:cs="David" w:hint="cs"/>
          <w:sz w:val="28"/>
          <w:szCs w:val="28"/>
          <w:rtl/>
        </w:rPr>
        <w:t xml:space="preserve">האינטרסים </w:t>
      </w:r>
      <w:r w:rsidR="00DA324B">
        <w:rPr>
          <w:rFonts w:cs="David" w:hint="cs"/>
          <w:sz w:val="28"/>
          <w:szCs w:val="28"/>
          <w:rtl/>
        </w:rPr>
        <w:t xml:space="preserve">האחרים </w:t>
      </w:r>
      <w:r w:rsidR="00CD2244" w:rsidRPr="0004711E">
        <w:rPr>
          <w:rFonts w:cs="David" w:hint="cs"/>
          <w:sz w:val="28"/>
          <w:szCs w:val="28"/>
          <w:rtl/>
        </w:rPr>
        <w:t>של המדינה ו</w:t>
      </w:r>
      <w:r w:rsidR="00015D46" w:rsidRPr="0004711E">
        <w:rPr>
          <w:rFonts w:cs="David" w:hint="cs"/>
          <w:sz w:val="28"/>
          <w:szCs w:val="28"/>
          <w:rtl/>
        </w:rPr>
        <w:t xml:space="preserve">כי יש </w:t>
      </w:r>
      <w:r w:rsidR="00CD2244" w:rsidRPr="0004711E">
        <w:rPr>
          <w:rFonts w:cs="David" w:hint="cs"/>
          <w:sz w:val="28"/>
          <w:szCs w:val="28"/>
          <w:rtl/>
        </w:rPr>
        <w:t xml:space="preserve">לפעול </w:t>
      </w:r>
      <w:r w:rsidR="00015D46" w:rsidRPr="0004711E">
        <w:rPr>
          <w:rFonts w:cs="David" w:hint="cs"/>
          <w:sz w:val="28"/>
          <w:szCs w:val="28"/>
          <w:rtl/>
        </w:rPr>
        <w:t xml:space="preserve">לפיהם </w:t>
      </w:r>
      <w:r w:rsidR="00CD2244" w:rsidRPr="0004711E">
        <w:rPr>
          <w:rFonts w:cs="David" w:hint="cs"/>
          <w:sz w:val="28"/>
          <w:szCs w:val="28"/>
          <w:rtl/>
        </w:rPr>
        <w:t>גם כאשר הדבר מנוגד לאינטרסים של המדינה. עם זאת, לאור הניתוח הרחב שנעשה לעיל באשר לרווחים ארוכי הטווח משותפות ו</w:t>
      </w:r>
      <w:r w:rsidR="00015D46" w:rsidRPr="0004711E">
        <w:rPr>
          <w:rFonts w:cs="David" w:hint="cs"/>
          <w:sz w:val="28"/>
          <w:szCs w:val="28"/>
          <w:rtl/>
        </w:rPr>
        <w:t>מ</w:t>
      </w:r>
      <w:r w:rsidR="00CD2244" w:rsidRPr="0004711E">
        <w:rPr>
          <w:rFonts w:cs="David" w:hint="cs"/>
          <w:sz w:val="28"/>
          <w:szCs w:val="28"/>
          <w:rtl/>
        </w:rPr>
        <w:t xml:space="preserve">מחויבות, נראה כי יש להתייחס אליהם </w:t>
      </w:r>
      <w:r w:rsidR="00180971">
        <w:rPr>
          <w:rFonts w:cs="David" w:hint="cs"/>
          <w:sz w:val="28"/>
          <w:szCs w:val="28"/>
          <w:rtl/>
        </w:rPr>
        <w:t xml:space="preserve">לא כאל שיקולי-על גוברים אלא </w:t>
      </w:r>
      <w:r w:rsidR="00CD2244" w:rsidRPr="0004711E">
        <w:rPr>
          <w:rFonts w:cs="David" w:hint="cs"/>
          <w:sz w:val="28"/>
          <w:szCs w:val="28"/>
          <w:rtl/>
        </w:rPr>
        <w:t>כ</w:t>
      </w:r>
      <w:r w:rsidR="00180971">
        <w:rPr>
          <w:rFonts w:cs="David" w:hint="cs"/>
          <w:sz w:val="28"/>
          <w:szCs w:val="28"/>
          <w:rtl/>
        </w:rPr>
        <w:t xml:space="preserve">אל </w:t>
      </w:r>
      <w:r w:rsidR="00CD2244" w:rsidRPr="0004711E">
        <w:rPr>
          <w:rFonts w:cs="David" w:hint="cs"/>
          <w:sz w:val="28"/>
          <w:szCs w:val="28"/>
          <w:rtl/>
        </w:rPr>
        <w:t>אינטרס</w:t>
      </w:r>
      <w:r w:rsidR="00180971">
        <w:rPr>
          <w:rFonts w:cs="David" w:hint="cs"/>
          <w:sz w:val="28"/>
          <w:szCs w:val="28"/>
          <w:rtl/>
        </w:rPr>
        <w:t>ים</w:t>
      </w:r>
      <w:r w:rsidR="00CD2244" w:rsidRPr="0004711E">
        <w:rPr>
          <w:rFonts w:cs="David" w:hint="cs"/>
          <w:sz w:val="28"/>
          <w:szCs w:val="28"/>
          <w:rtl/>
        </w:rPr>
        <w:t xml:space="preserve"> </w:t>
      </w:r>
      <w:r w:rsidR="00015D46" w:rsidRPr="0004711E">
        <w:rPr>
          <w:rFonts w:cs="David" w:hint="cs"/>
          <w:sz w:val="28"/>
          <w:szCs w:val="28"/>
          <w:rtl/>
        </w:rPr>
        <w:t>או שיקול</w:t>
      </w:r>
      <w:r w:rsidR="00180971">
        <w:rPr>
          <w:rFonts w:cs="David" w:hint="cs"/>
          <w:sz w:val="28"/>
          <w:szCs w:val="28"/>
          <w:rtl/>
        </w:rPr>
        <w:t>ים</w:t>
      </w:r>
      <w:r w:rsidR="00015D46" w:rsidRPr="0004711E">
        <w:rPr>
          <w:rFonts w:cs="David" w:hint="cs"/>
          <w:sz w:val="28"/>
          <w:szCs w:val="28"/>
          <w:rtl/>
        </w:rPr>
        <w:t xml:space="preserve"> </w:t>
      </w:r>
      <w:r w:rsidR="00CD2244" w:rsidRPr="0004711E">
        <w:rPr>
          <w:rFonts w:cs="David" w:hint="cs"/>
          <w:sz w:val="28"/>
          <w:szCs w:val="28"/>
          <w:rtl/>
        </w:rPr>
        <w:t xml:space="preserve">שיש לשקול אל מול </w:t>
      </w:r>
      <w:r w:rsidR="00015D46" w:rsidRPr="0004711E">
        <w:rPr>
          <w:rFonts w:cs="David" w:hint="cs"/>
          <w:sz w:val="28"/>
          <w:szCs w:val="28"/>
          <w:rtl/>
        </w:rPr>
        <w:t xml:space="preserve">כל יתר השיקולים, גם אם נכון לייחס להם משקל יתר. </w:t>
      </w:r>
      <w:r w:rsidR="00180971">
        <w:rPr>
          <w:rFonts w:cs="David" w:hint="cs"/>
          <w:sz w:val="28"/>
          <w:szCs w:val="28"/>
          <w:rtl/>
        </w:rPr>
        <w:t xml:space="preserve">דומה, כי אפילו הגישה הריאליסטית תכיר בערכם של שיקולים אלה. </w:t>
      </w:r>
      <w:r w:rsidR="00AF71C3" w:rsidRPr="0004711E">
        <w:rPr>
          <w:rFonts w:cs="David" w:hint="cs"/>
          <w:sz w:val="28"/>
          <w:szCs w:val="28"/>
          <w:rtl/>
        </w:rPr>
        <w:t xml:space="preserve">ניתן להתייחס לשיקולים הללו כשיקולים שמייצגים </w:t>
      </w:r>
      <w:r w:rsidR="00AF71C3" w:rsidRPr="0004711E">
        <w:rPr>
          <w:rFonts w:cs="David" w:hint="cs"/>
          <w:b/>
          <w:bCs/>
          <w:sz w:val="28"/>
          <w:szCs w:val="28"/>
          <w:rtl/>
        </w:rPr>
        <w:t>גישה תועלתנית רחבה</w:t>
      </w:r>
      <w:r w:rsidR="00AF71C3" w:rsidRPr="0004711E">
        <w:rPr>
          <w:rFonts w:cs="David" w:hint="cs"/>
          <w:sz w:val="28"/>
          <w:szCs w:val="28"/>
          <w:rtl/>
        </w:rPr>
        <w:t xml:space="preserve">, להבדיל מגישה צרה. </w:t>
      </w:r>
      <w:r w:rsidR="00015D46" w:rsidRPr="0004711E">
        <w:rPr>
          <w:rFonts w:cs="David" w:hint="cs"/>
          <w:sz w:val="28"/>
          <w:szCs w:val="28"/>
          <w:rtl/>
        </w:rPr>
        <w:t>מכל מקום, נראה כי לא נכון לקבוע ששיקולים אלה תמיד צריכים לגבור, מפני שכפי שנראה, ישנם עוד שיקולים רבים נוספים שהמדינה אינה יכולה להתעלם מהם.</w:t>
      </w:r>
    </w:p>
    <w:p w:rsidR="00CD2244" w:rsidRPr="0004711E" w:rsidRDefault="00CD2244" w:rsidP="008B316C">
      <w:pPr>
        <w:spacing w:after="0" w:line="360" w:lineRule="auto"/>
        <w:jc w:val="both"/>
        <w:rPr>
          <w:rFonts w:cs="David"/>
          <w:sz w:val="28"/>
          <w:szCs w:val="28"/>
          <w:rtl/>
        </w:rPr>
      </w:pPr>
    </w:p>
    <w:p w:rsidR="00CD2244" w:rsidRPr="0004711E" w:rsidRDefault="00CD2244" w:rsidP="00982291">
      <w:pPr>
        <w:spacing w:after="0" w:line="360" w:lineRule="auto"/>
        <w:jc w:val="both"/>
        <w:rPr>
          <w:rFonts w:cs="David"/>
          <w:sz w:val="28"/>
          <w:szCs w:val="28"/>
        </w:rPr>
      </w:pPr>
      <w:r w:rsidRPr="0004711E">
        <w:rPr>
          <w:rFonts w:cs="David" w:hint="cs"/>
          <w:sz w:val="28"/>
          <w:szCs w:val="28"/>
          <w:rtl/>
        </w:rPr>
        <w:t>כעת, לאחר בחינת השיקולים הרחבים</w:t>
      </w:r>
      <w:r w:rsidR="00982291">
        <w:rPr>
          <w:rFonts w:cs="David" w:hint="cs"/>
          <w:sz w:val="28"/>
          <w:szCs w:val="28"/>
          <w:rtl/>
        </w:rPr>
        <w:t>-הגנריים</w:t>
      </w:r>
      <w:r w:rsidRPr="0004711E">
        <w:rPr>
          <w:rFonts w:cs="David" w:hint="cs"/>
          <w:sz w:val="28"/>
          <w:szCs w:val="28"/>
          <w:rtl/>
        </w:rPr>
        <w:t xml:space="preserve"> הנוגעים לקבלת ההחלטה, ניגש לבחינת השיקולים </w:t>
      </w:r>
      <w:r w:rsidR="00015D46" w:rsidRPr="0004711E">
        <w:rPr>
          <w:rFonts w:cs="David" w:hint="cs"/>
          <w:sz w:val="28"/>
          <w:szCs w:val="28"/>
          <w:rtl/>
        </w:rPr>
        <w:t xml:space="preserve">הפרטניים, שאותם יש לבחון בהתאם </w:t>
      </w:r>
      <w:r w:rsidR="00014821">
        <w:rPr>
          <w:rFonts w:cs="David" w:hint="cs"/>
          <w:sz w:val="28"/>
          <w:szCs w:val="28"/>
          <w:rtl/>
        </w:rPr>
        <w:t>לוועדה</w:t>
      </w:r>
      <w:r w:rsidR="00015D46" w:rsidRPr="0004711E">
        <w:rPr>
          <w:rFonts w:cs="David" w:hint="cs"/>
          <w:sz w:val="28"/>
          <w:szCs w:val="28"/>
          <w:rtl/>
        </w:rPr>
        <w:t xml:space="preserve"> הקונקרטי</w:t>
      </w:r>
      <w:r w:rsidR="00982291">
        <w:rPr>
          <w:rFonts w:cs="David" w:hint="cs"/>
          <w:sz w:val="28"/>
          <w:szCs w:val="28"/>
          <w:rtl/>
        </w:rPr>
        <w:t>ת</w:t>
      </w:r>
      <w:r w:rsidR="00015D46" w:rsidRPr="0004711E">
        <w:rPr>
          <w:rFonts w:cs="David" w:hint="cs"/>
          <w:sz w:val="28"/>
          <w:szCs w:val="28"/>
          <w:rtl/>
        </w:rPr>
        <w:t xml:space="preserve"> שאת שיתוף הפעולה עמ</w:t>
      </w:r>
      <w:r w:rsidR="00982291">
        <w:rPr>
          <w:rFonts w:cs="David" w:hint="cs"/>
          <w:sz w:val="28"/>
          <w:szCs w:val="28"/>
          <w:rtl/>
        </w:rPr>
        <w:t>ה</w:t>
      </w:r>
      <w:r w:rsidR="00015D46" w:rsidRPr="0004711E">
        <w:rPr>
          <w:rFonts w:cs="David" w:hint="cs"/>
          <w:sz w:val="28"/>
          <w:szCs w:val="28"/>
          <w:rtl/>
        </w:rPr>
        <w:t xml:space="preserve"> יש לבדוק. כפי שנראה, בחינת השיקולים הפרטניים הרבה יותר מורכבת ו</w:t>
      </w:r>
      <w:r w:rsidR="0016214B" w:rsidRPr="0004711E">
        <w:rPr>
          <w:rFonts w:cs="David" w:hint="cs"/>
          <w:sz w:val="28"/>
          <w:szCs w:val="28"/>
          <w:rtl/>
        </w:rPr>
        <w:t xml:space="preserve">אלה בדרך כלל השיקולים </w:t>
      </w:r>
      <w:r w:rsidR="00015D46" w:rsidRPr="0004711E">
        <w:rPr>
          <w:rFonts w:cs="David" w:hint="cs"/>
          <w:sz w:val="28"/>
          <w:szCs w:val="28"/>
          <w:rtl/>
        </w:rPr>
        <w:t>המונעים את שיתוף הפעולה של מדינת ישראל.</w:t>
      </w:r>
    </w:p>
    <w:p w:rsidR="0016214B" w:rsidRPr="0004711E" w:rsidRDefault="0016214B" w:rsidP="008B316C">
      <w:pPr>
        <w:bidi w:val="0"/>
        <w:spacing w:after="0" w:line="360" w:lineRule="auto"/>
        <w:rPr>
          <w:rFonts w:cs="David"/>
          <w:sz w:val="28"/>
          <w:szCs w:val="28"/>
        </w:rPr>
      </w:pPr>
      <w:r w:rsidRPr="0004711E">
        <w:rPr>
          <w:rFonts w:cs="David"/>
          <w:sz w:val="28"/>
          <w:szCs w:val="28"/>
          <w:rtl/>
        </w:rPr>
        <w:br w:type="page"/>
      </w:r>
    </w:p>
    <w:p w:rsidR="004B01C1" w:rsidRPr="003D0069" w:rsidRDefault="00D44503" w:rsidP="003D0069">
      <w:pPr>
        <w:pStyle w:val="1"/>
        <w:bidi/>
        <w:spacing w:before="0" w:beforeAutospacing="0" w:after="0" w:afterAutospacing="0" w:line="360" w:lineRule="auto"/>
        <w:jc w:val="both"/>
        <w:rPr>
          <w:rFonts w:cs="David"/>
          <w:sz w:val="32"/>
          <w:szCs w:val="32"/>
          <w:rtl/>
        </w:rPr>
      </w:pPr>
      <w:bookmarkStart w:id="34" w:name="_Toc456027312"/>
      <w:r w:rsidRPr="003D0069">
        <w:rPr>
          <w:rFonts w:cs="David" w:hint="cs"/>
          <w:sz w:val="32"/>
          <w:szCs w:val="32"/>
          <w:rtl/>
        </w:rPr>
        <w:lastRenderedPageBreak/>
        <w:t>פרק</w:t>
      </w:r>
      <w:r w:rsidRPr="003D0069">
        <w:rPr>
          <w:rFonts w:cs="David"/>
          <w:sz w:val="32"/>
          <w:szCs w:val="32"/>
          <w:rtl/>
        </w:rPr>
        <w:t xml:space="preserve"> </w:t>
      </w:r>
      <w:r w:rsidR="00982291" w:rsidRPr="003D0069">
        <w:rPr>
          <w:rFonts w:cs="David" w:hint="cs"/>
          <w:sz w:val="32"/>
          <w:szCs w:val="32"/>
          <w:rtl/>
        </w:rPr>
        <w:t>ד</w:t>
      </w:r>
      <w:r w:rsidRPr="003D0069">
        <w:rPr>
          <w:rFonts w:cs="David"/>
          <w:sz w:val="32"/>
          <w:szCs w:val="32"/>
          <w:rtl/>
        </w:rPr>
        <w:t xml:space="preserve">' - </w:t>
      </w:r>
      <w:r w:rsidRPr="003D0069">
        <w:rPr>
          <w:rFonts w:cs="David" w:hint="cs"/>
          <w:sz w:val="32"/>
          <w:szCs w:val="32"/>
          <w:rtl/>
        </w:rPr>
        <w:t>שיקולים</w:t>
      </w:r>
      <w:r w:rsidRPr="003D0069">
        <w:rPr>
          <w:rFonts w:cs="David"/>
          <w:sz w:val="32"/>
          <w:szCs w:val="32"/>
          <w:rtl/>
        </w:rPr>
        <w:t xml:space="preserve"> </w:t>
      </w:r>
      <w:r w:rsidRPr="003D0069">
        <w:rPr>
          <w:rFonts w:cs="David" w:hint="cs"/>
          <w:sz w:val="32"/>
          <w:szCs w:val="32"/>
          <w:rtl/>
        </w:rPr>
        <w:t>פרטניים</w:t>
      </w:r>
      <w:r w:rsidRPr="003D0069">
        <w:rPr>
          <w:rFonts w:cs="David"/>
          <w:sz w:val="32"/>
          <w:szCs w:val="32"/>
          <w:rtl/>
        </w:rPr>
        <w:t xml:space="preserve"> </w:t>
      </w:r>
      <w:r w:rsidRPr="003D0069">
        <w:rPr>
          <w:rFonts w:cs="David" w:hint="cs"/>
          <w:sz w:val="32"/>
          <w:szCs w:val="32"/>
          <w:rtl/>
        </w:rPr>
        <w:t>בקבלת</w:t>
      </w:r>
      <w:r w:rsidRPr="003D0069">
        <w:rPr>
          <w:rFonts w:cs="David"/>
          <w:sz w:val="32"/>
          <w:szCs w:val="32"/>
          <w:rtl/>
        </w:rPr>
        <w:t xml:space="preserve"> </w:t>
      </w:r>
      <w:r w:rsidRPr="003D0069">
        <w:rPr>
          <w:rFonts w:cs="David" w:hint="cs"/>
          <w:sz w:val="32"/>
          <w:szCs w:val="32"/>
          <w:rtl/>
        </w:rPr>
        <w:t>החלטה</w:t>
      </w:r>
      <w:r w:rsidRPr="003D0069">
        <w:rPr>
          <w:rFonts w:cs="David"/>
          <w:sz w:val="32"/>
          <w:szCs w:val="32"/>
          <w:rtl/>
        </w:rPr>
        <w:t xml:space="preserve"> </w:t>
      </w:r>
      <w:r w:rsidRPr="003D0069">
        <w:rPr>
          <w:rFonts w:cs="David" w:hint="cs"/>
          <w:sz w:val="32"/>
          <w:szCs w:val="32"/>
          <w:rtl/>
        </w:rPr>
        <w:t>על</w:t>
      </w:r>
      <w:r w:rsidRPr="003D0069">
        <w:rPr>
          <w:rFonts w:cs="David"/>
          <w:sz w:val="32"/>
          <w:szCs w:val="32"/>
          <w:rtl/>
        </w:rPr>
        <w:t xml:space="preserve"> </w:t>
      </w:r>
      <w:r w:rsidRPr="003D0069">
        <w:rPr>
          <w:rFonts w:cs="David" w:hint="cs"/>
          <w:sz w:val="32"/>
          <w:szCs w:val="32"/>
          <w:rtl/>
        </w:rPr>
        <w:t>שיתוף</w:t>
      </w:r>
      <w:r w:rsidRPr="003D0069">
        <w:rPr>
          <w:rFonts w:cs="David"/>
          <w:sz w:val="32"/>
          <w:szCs w:val="32"/>
          <w:rtl/>
        </w:rPr>
        <w:t xml:space="preserve"> </w:t>
      </w:r>
      <w:r w:rsidRPr="003D0069">
        <w:rPr>
          <w:rFonts w:cs="David" w:hint="cs"/>
          <w:sz w:val="32"/>
          <w:szCs w:val="32"/>
          <w:rtl/>
        </w:rPr>
        <w:t>פעולה</w:t>
      </w:r>
      <w:r w:rsidRPr="003D0069">
        <w:rPr>
          <w:rFonts w:cs="David"/>
          <w:sz w:val="32"/>
          <w:szCs w:val="32"/>
          <w:rtl/>
        </w:rPr>
        <w:t xml:space="preserve"> </w:t>
      </w:r>
      <w:r w:rsidRPr="003D0069">
        <w:rPr>
          <w:rFonts w:cs="David" w:hint="cs"/>
          <w:sz w:val="32"/>
          <w:szCs w:val="32"/>
          <w:rtl/>
        </w:rPr>
        <w:t>עם</w:t>
      </w:r>
      <w:r w:rsidRPr="003D0069">
        <w:rPr>
          <w:rFonts w:cs="David"/>
          <w:sz w:val="32"/>
          <w:szCs w:val="32"/>
          <w:rtl/>
        </w:rPr>
        <w:t xml:space="preserve"> </w:t>
      </w:r>
      <w:r w:rsidR="009C039C" w:rsidRPr="003D0069">
        <w:rPr>
          <w:rFonts w:cs="David" w:hint="cs"/>
          <w:sz w:val="32"/>
          <w:szCs w:val="32"/>
          <w:rtl/>
        </w:rPr>
        <w:t>ועדות חקירה בינלאומיות</w:t>
      </w:r>
      <w:bookmarkEnd w:id="34"/>
    </w:p>
    <w:p w:rsidR="0016214B" w:rsidRPr="0004711E" w:rsidRDefault="0016214B" w:rsidP="008B316C">
      <w:pPr>
        <w:spacing w:after="0" w:line="360" w:lineRule="auto"/>
        <w:jc w:val="both"/>
        <w:rPr>
          <w:rFonts w:cs="David"/>
          <w:sz w:val="28"/>
          <w:szCs w:val="28"/>
          <w:rtl/>
        </w:rPr>
      </w:pPr>
    </w:p>
    <w:p w:rsidR="0016214B" w:rsidRPr="0004711E" w:rsidRDefault="00DC30CC" w:rsidP="00982291">
      <w:pPr>
        <w:spacing w:after="0" w:line="360" w:lineRule="auto"/>
        <w:jc w:val="both"/>
        <w:rPr>
          <w:rFonts w:cs="David"/>
          <w:sz w:val="28"/>
          <w:szCs w:val="28"/>
          <w:rtl/>
        </w:rPr>
      </w:pPr>
      <w:r w:rsidRPr="0004711E">
        <w:rPr>
          <w:rFonts w:cs="David" w:hint="cs"/>
          <w:sz w:val="28"/>
          <w:szCs w:val="28"/>
          <w:rtl/>
        </w:rPr>
        <w:t xml:space="preserve">נעבור, אם כן, לבחינת השיקולים הפרטניים שיש לשקול בעת קבלת החלטה האם לשתף פעולה עם </w:t>
      </w:r>
      <w:r w:rsidR="009C039C">
        <w:rPr>
          <w:rFonts w:cs="David" w:hint="cs"/>
          <w:sz w:val="28"/>
          <w:szCs w:val="28"/>
          <w:rtl/>
        </w:rPr>
        <w:t>ועדת חקירה</w:t>
      </w:r>
      <w:r w:rsidRPr="0004711E">
        <w:rPr>
          <w:rFonts w:cs="David" w:hint="cs"/>
          <w:sz w:val="28"/>
          <w:szCs w:val="28"/>
          <w:rtl/>
        </w:rPr>
        <w:t xml:space="preserve"> </w:t>
      </w:r>
      <w:r w:rsidR="00982291">
        <w:rPr>
          <w:rFonts w:cs="David" w:hint="cs"/>
          <w:sz w:val="28"/>
          <w:szCs w:val="28"/>
          <w:rtl/>
        </w:rPr>
        <w:t>בינלאומית</w:t>
      </w:r>
      <w:r w:rsidRPr="0004711E">
        <w:rPr>
          <w:rFonts w:cs="David" w:hint="cs"/>
          <w:sz w:val="28"/>
          <w:szCs w:val="28"/>
          <w:rtl/>
        </w:rPr>
        <w:t>, אם לאו.</w:t>
      </w:r>
      <w:r w:rsidR="00897031">
        <w:rPr>
          <w:rFonts w:cs="David" w:hint="cs"/>
          <w:sz w:val="28"/>
          <w:szCs w:val="28"/>
          <w:rtl/>
        </w:rPr>
        <w:t xml:space="preserve"> </w:t>
      </w:r>
      <w:r w:rsidR="0028423A">
        <w:rPr>
          <w:rFonts w:cs="David" w:hint="cs"/>
          <w:sz w:val="28"/>
          <w:szCs w:val="28"/>
          <w:rtl/>
        </w:rPr>
        <w:t xml:space="preserve">השיקולים הפרטניים הם שיקולים שיש לבחון באופן קונקרטי ביחס לכל ועדת חקירה שמוקמת, בהתאם למאפייניה המיוחדים, והכול כפי שיפורט להלן. </w:t>
      </w:r>
      <w:r w:rsidR="00897031">
        <w:rPr>
          <w:rFonts w:cs="David" w:hint="cs"/>
          <w:sz w:val="28"/>
          <w:szCs w:val="28"/>
          <w:rtl/>
        </w:rPr>
        <w:t>כבר כעת יצוין, כי קשה ואולי בלתי אפשרי לייצר נוסחה מדויקת באשר לדרך הפעולה "הנכונה" בכל מקרה, אך ניתן לייצר "תפריט" עם רשימת השיקולים והמשקל שיש לתת לכל אחד מהם, ואת זאת ננסה לעשות להלן.</w:t>
      </w:r>
    </w:p>
    <w:p w:rsidR="00DC30CC" w:rsidRPr="0004711E" w:rsidRDefault="00DC30CC" w:rsidP="008B316C">
      <w:pPr>
        <w:spacing w:after="0" w:line="360" w:lineRule="auto"/>
        <w:jc w:val="both"/>
        <w:rPr>
          <w:rFonts w:cs="David"/>
          <w:sz w:val="28"/>
          <w:szCs w:val="28"/>
          <w:rtl/>
        </w:rPr>
      </w:pPr>
    </w:p>
    <w:p w:rsidR="00DC30CC" w:rsidRPr="003D0069" w:rsidRDefault="00DC30CC" w:rsidP="003D0069">
      <w:pPr>
        <w:pStyle w:val="a9"/>
        <w:numPr>
          <w:ilvl w:val="0"/>
          <w:numId w:val="22"/>
        </w:numPr>
        <w:spacing w:after="0" w:line="360" w:lineRule="auto"/>
        <w:jc w:val="both"/>
        <w:outlineLvl w:val="1"/>
        <w:rPr>
          <w:rFonts w:cs="David"/>
          <w:sz w:val="28"/>
          <w:szCs w:val="28"/>
          <w:rtl/>
        </w:rPr>
      </w:pPr>
      <w:bookmarkStart w:id="35" w:name="_Toc456027313"/>
      <w:r w:rsidRPr="003D0069">
        <w:rPr>
          <w:rFonts w:cs="David" w:hint="cs"/>
          <w:b/>
          <w:bCs/>
          <w:sz w:val="28"/>
          <w:szCs w:val="28"/>
          <w:rtl/>
        </w:rPr>
        <w:t>הגוף הממנה</w:t>
      </w:r>
      <w:bookmarkEnd w:id="35"/>
    </w:p>
    <w:p w:rsidR="00DC30CC" w:rsidRDefault="00DC30CC" w:rsidP="008B316C">
      <w:pPr>
        <w:spacing w:after="0" w:line="360" w:lineRule="auto"/>
        <w:jc w:val="both"/>
        <w:rPr>
          <w:rFonts w:cs="David"/>
          <w:sz w:val="28"/>
          <w:szCs w:val="28"/>
          <w:rtl/>
        </w:rPr>
      </w:pPr>
    </w:p>
    <w:p w:rsidR="005B7792" w:rsidRPr="003D0069" w:rsidRDefault="005B7792" w:rsidP="003D0069">
      <w:pPr>
        <w:pStyle w:val="a9"/>
        <w:numPr>
          <w:ilvl w:val="0"/>
          <w:numId w:val="23"/>
        </w:numPr>
        <w:spacing w:after="0" w:line="360" w:lineRule="auto"/>
        <w:jc w:val="both"/>
        <w:outlineLvl w:val="2"/>
        <w:rPr>
          <w:rFonts w:cs="David"/>
          <w:sz w:val="28"/>
          <w:szCs w:val="28"/>
          <w:rtl/>
        </w:rPr>
      </w:pPr>
      <w:bookmarkStart w:id="36" w:name="_Toc456027314"/>
      <w:r w:rsidRPr="003D0069">
        <w:rPr>
          <w:rFonts w:cs="David" w:hint="cs"/>
          <w:sz w:val="28"/>
          <w:szCs w:val="28"/>
          <w:rtl/>
        </w:rPr>
        <w:t>זהות הגוף הממנה</w:t>
      </w:r>
      <w:bookmarkEnd w:id="36"/>
    </w:p>
    <w:p w:rsidR="005B7792" w:rsidRPr="0004711E" w:rsidRDefault="005B7792" w:rsidP="008B316C">
      <w:pPr>
        <w:spacing w:after="0" w:line="360" w:lineRule="auto"/>
        <w:jc w:val="both"/>
        <w:rPr>
          <w:rFonts w:cs="David"/>
          <w:sz w:val="28"/>
          <w:szCs w:val="28"/>
          <w:rtl/>
        </w:rPr>
      </w:pPr>
    </w:p>
    <w:p w:rsidR="007C180E" w:rsidRPr="0004711E" w:rsidRDefault="00A402FA" w:rsidP="00180971">
      <w:pPr>
        <w:spacing w:after="0" w:line="360" w:lineRule="auto"/>
        <w:jc w:val="both"/>
        <w:rPr>
          <w:rFonts w:cs="David"/>
          <w:sz w:val="28"/>
          <w:szCs w:val="28"/>
          <w:rtl/>
        </w:rPr>
      </w:pPr>
      <w:r>
        <w:rPr>
          <w:rFonts w:cs="David" w:hint="cs"/>
          <w:sz w:val="28"/>
          <w:szCs w:val="28"/>
          <w:rtl/>
        </w:rPr>
        <w:t xml:space="preserve">זהות </w:t>
      </w:r>
      <w:r w:rsidR="007C180E" w:rsidRPr="0004711E">
        <w:rPr>
          <w:rFonts w:cs="David" w:hint="cs"/>
          <w:sz w:val="28"/>
          <w:szCs w:val="28"/>
          <w:rtl/>
        </w:rPr>
        <w:t>הגוף הממנה ה</w:t>
      </w:r>
      <w:r w:rsidR="00180971">
        <w:rPr>
          <w:rFonts w:cs="David" w:hint="cs"/>
          <w:sz w:val="28"/>
          <w:szCs w:val="28"/>
          <w:rtl/>
        </w:rPr>
        <w:t>י</w:t>
      </w:r>
      <w:r w:rsidR="007C180E" w:rsidRPr="0004711E">
        <w:rPr>
          <w:rFonts w:cs="David" w:hint="cs"/>
          <w:sz w:val="28"/>
          <w:szCs w:val="28"/>
          <w:rtl/>
        </w:rPr>
        <w:t xml:space="preserve">א שיקול בעל חשיבות בקבלת ההחלטה על שיתוף פעולה עם </w:t>
      </w:r>
      <w:r w:rsidR="009C039C">
        <w:rPr>
          <w:rFonts w:cs="David" w:hint="cs"/>
          <w:sz w:val="28"/>
          <w:szCs w:val="28"/>
          <w:rtl/>
        </w:rPr>
        <w:t>ועדת החקירה</w:t>
      </w:r>
      <w:r w:rsidR="007C180E" w:rsidRPr="0004711E">
        <w:rPr>
          <w:rFonts w:cs="David" w:hint="cs"/>
          <w:sz w:val="28"/>
          <w:szCs w:val="28"/>
          <w:rtl/>
        </w:rPr>
        <w:t>, מפני שה</w:t>
      </w:r>
      <w:r w:rsidR="00180971">
        <w:rPr>
          <w:rFonts w:cs="David" w:hint="cs"/>
          <w:sz w:val="28"/>
          <w:szCs w:val="28"/>
          <w:rtl/>
        </w:rPr>
        <w:t>י</w:t>
      </w:r>
      <w:r w:rsidR="007C180E" w:rsidRPr="0004711E">
        <w:rPr>
          <w:rFonts w:cs="David" w:hint="cs"/>
          <w:sz w:val="28"/>
          <w:szCs w:val="28"/>
          <w:rtl/>
        </w:rPr>
        <w:t>א יכול</w:t>
      </w:r>
      <w:r w:rsidR="00180971">
        <w:rPr>
          <w:rFonts w:cs="David" w:hint="cs"/>
          <w:sz w:val="28"/>
          <w:szCs w:val="28"/>
          <w:rtl/>
        </w:rPr>
        <w:t>ה</w:t>
      </w:r>
      <w:r w:rsidR="007C180E" w:rsidRPr="0004711E">
        <w:rPr>
          <w:rFonts w:cs="David" w:hint="cs"/>
          <w:sz w:val="28"/>
          <w:szCs w:val="28"/>
          <w:rtl/>
        </w:rPr>
        <w:t xml:space="preserve"> להעיד על המניע להקמת </w:t>
      </w:r>
      <w:r w:rsidR="001165FD">
        <w:rPr>
          <w:rFonts w:cs="David" w:hint="cs"/>
          <w:sz w:val="28"/>
          <w:szCs w:val="28"/>
          <w:rtl/>
        </w:rPr>
        <w:t>הוועדה</w:t>
      </w:r>
      <w:r w:rsidR="007C180E" w:rsidRPr="0004711E">
        <w:rPr>
          <w:rFonts w:cs="David" w:hint="cs"/>
          <w:sz w:val="28"/>
          <w:szCs w:val="28"/>
          <w:rtl/>
        </w:rPr>
        <w:t xml:space="preserve"> מלכתחילה. הגם שאין גוף שחף לחלוטין משיקולים פוליטיים, ישנם גופים בעלי </w:t>
      </w:r>
      <w:r w:rsidR="007C180E" w:rsidRPr="0004711E">
        <w:rPr>
          <w:rFonts w:cs="David" w:hint="cs"/>
          <w:b/>
          <w:bCs/>
          <w:sz w:val="28"/>
          <w:szCs w:val="28"/>
          <w:rtl/>
        </w:rPr>
        <w:t xml:space="preserve">אוריינטציה </w:t>
      </w:r>
      <w:r w:rsidR="00933EF2" w:rsidRPr="0004711E">
        <w:rPr>
          <w:rFonts w:cs="David" w:hint="cs"/>
          <w:b/>
          <w:bCs/>
          <w:sz w:val="28"/>
          <w:szCs w:val="28"/>
          <w:rtl/>
        </w:rPr>
        <w:t>פוליטית</w:t>
      </w:r>
      <w:r w:rsidR="00933EF2" w:rsidRPr="0004711E">
        <w:rPr>
          <w:rFonts w:cs="David" w:hint="cs"/>
          <w:sz w:val="28"/>
          <w:szCs w:val="28"/>
          <w:rtl/>
        </w:rPr>
        <w:t xml:space="preserve"> </w:t>
      </w:r>
      <w:r w:rsidR="00933EF2" w:rsidRPr="0004711E">
        <w:rPr>
          <w:rFonts w:cs="David" w:hint="cs"/>
          <w:b/>
          <w:bCs/>
          <w:sz w:val="28"/>
          <w:szCs w:val="28"/>
          <w:rtl/>
        </w:rPr>
        <w:t>מובהקת</w:t>
      </w:r>
      <w:r w:rsidR="00933EF2" w:rsidRPr="0004711E">
        <w:rPr>
          <w:rFonts w:cs="David" w:hint="cs"/>
          <w:sz w:val="28"/>
          <w:szCs w:val="28"/>
          <w:rtl/>
        </w:rPr>
        <w:t xml:space="preserve">, כמו העצרת הכללית והמועצה לזכויות האדם של האו"ם. בגופים כאלה, קבלת ההחלטה על הקמת </w:t>
      </w:r>
      <w:r w:rsidR="009C039C">
        <w:rPr>
          <w:rFonts w:cs="David" w:hint="cs"/>
          <w:sz w:val="28"/>
          <w:szCs w:val="28"/>
          <w:rtl/>
        </w:rPr>
        <w:t>ועדת חקירה</w:t>
      </w:r>
      <w:r w:rsidR="00933EF2" w:rsidRPr="0004711E">
        <w:rPr>
          <w:rFonts w:cs="David" w:hint="cs"/>
          <w:sz w:val="28"/>
          <w:szCs w:val="28"/>
          <w:rtl/>
        </w:rPr>
        <w:t xml:space="preserve"> יכולה להתקבל </w:t>
      </w:r>
      <w:r w:rsidR="00180971" w:rsidRPr="0004711E">
        <w:rPr>
          <w:rFonts w:cs="David" w:hint="cs"/>
          <w:sz w:val="28"/>
          <w:szCs w:val="28"/>
          <w:rtl/>
        </w:rPr>
        <w:t xml:space="preserve">בהחלט </w:t>
      </w:r>
      <w:r w:rsidR="00933EF2" w:rsidRPr="0004711E">
        <w:rPr>
          <w:rFonts w:cs="David" w:hint="cs"/>
          <w:sz w:val="28"/>
          <w:szCs w:val="28"/>
          <w:rtl/>
        </w:rPr>
        <w:t>משיקולים פוליטיים ולא מטעמים ענייניים.</w:t>
      </w:r>
    </w:p>
    <w:p w:rsidR="00933EF2" w:rsidRPr="0004711E" w:rsidRDefault="00933EF2" w:rsidP="008B316C">
      <w:pPr>
        <w:spacing w:after="0" w:line="360" w:lineRule="auto"/>
        <w:jc w:val="both"/>
        <w:rPr>
          <w:rFonts w:cs="David"/>
          <w:sz w:val="28"/>
          <w:szCs w:val="28"/>
          <w:rtl/>
        </w:rPr>
      </w:pPr>
    </w:p>
    <w:p w:rsidR="001C7A32" w:rsidRPr="0004711E" w:rsidRDefault="00DC30CC" w:rsidP="00180971">
      <w:pPr>
        <w:spacing w:after="0" w:line="360" w:lineRule="auto"/>
        <w:jc w:val="both"/>
        <w:rPr>
          <w:rFonts w:cs="David"/>
          <w:sz w:val="28"/>
          <w:szCs w:val="28"/>
          <w:rtl/>
        </w:rPr>
      </w:pPr>
      <w:r w:rsidRPr="0004711E">
        <w:rPr>
          <w:rFonts w:cs="David" w:hint="cs"/>
          <w:b/>
          <w:bCs/>
          <w:sz w:val="28"/>
          <w:szCs w:val="28"/>
          <w:rtl/>
        </w:rPr>
        <w:t>מועצת זכויות האדם</w:t>
      </w:r>
      <w:r w:rsidRPr="0004711E">
        <w:rPr>
          <w:rFonts w:cs="David" w:hint="cs"/>
          <w:sz w:val="28"/>
          <w:szCs w:val="28"/>
          <w:rtl/>
        </w:rPr>
        <w:t xml:space="preserve"> </w:t>
      </w:r>
      <w:r w:rsidR="00933EF2" w:rsidRPr="0004711E">
        <w:rPr>
          <w:rFonts w:cs="David" w:hint="cs"/>
          <w:sz w:val="28"/>
          <w:szCs w:val="28"/>
          <w:rtl/>
        </w:rPr>
        <w:t xml:space="preserve">של האו"ם </w:t>
      </w:r>
      <w:r w:rsidR="00E41A13" w:rsidRPr="0004711E">
        <w:rPr>
          <w:rFonts w:cs="David" w:hint="cs"/>
          <w:sz w:val="28"/>
          <w:szCs w:val="28"/>
          <w:rtl/>
        </w:rPr>
        <w:t>(</w:t>
      </w:r>
      <w:r w:rsidR="00E41A13" w:rsidRPr="0004711E">
        <w:rPr>
          <w:rFonts w:cs="David"/>
          <w:sz w:val="28"/>
          <w:szCs w:val="28"/>
        </w:rPr>
        <w:t>Human Rights Council</w:t>
      </w:r>
      <w:r w:rsidR="00E41A13" w:rsidRPr="0004711E">
        <w:rPr>
          <w:rFonts w:cs="David" w:hint="cs"/>
          <w:sz w:val="28"/>
          <w:szCs w:val="28"/>
          <w:rtl/>
        </w:rPr>
        <w:t xml:space="preserve">) </w:t>
      </w:r>
      <w:r w:rsidR="00933EF2" w:rsidRPr="0004711E">
        <w:rPr>
          <w:rFonts w:cs="David" w:hint="cs"/>
          <w:sz w:val="28"/>
          <w:szCs w:val="28"/>
          <w:rtl/>
        </w:rPr>
        <w:t xml:space="preserve">היא הגוף שמינה את מרבית ועדות החקירה כנגד ישראל. </w:t>
      </w:r>
      <w:r w:rsidR="007960F3" w:rsidRPr="0004711E">
        <w:rPr>
          <w:rFonts w:cs="David" w:hint="cs"/>
          <w:sz w:val="28"/>
          <w:szCs w:val="28"/>
          <w:rtl/>
        </w:rPr>
        <w:t xml:space="preserve">נראה שגם בעתיד, </w:t>
      </w:r>
      <w:r w:rsidR="00180971">
        <w:rPr>
          <w:rFonts w:cs="David" w:hint="cs"/>
          <w:sz w:val="28"/>
          <w:szCs w:val="28"/>
          <w:rtl/>
        </w:rPr>
        <w:t>אלה יהיו פני הדברים</w:t>
      </w:r>
      <w:r w:rsidR="007960F3" w:rsidRPr="0004711E">
        <w:rPr>
          <w:rFonts w:cs="David" w:hint="cs"/>
          <w:sz w:val="28"/>
          <w:szCs w:val="28"/>
          <w:rtl/>
        </w:rPr>
        <w:t xml:space="preserve">. על מנת להבין את </w:t>
      </w:r>
      <w:r w:rsidR="001C7A32" w:rsidRPr="0004711E">
        <w:rPr>
          <w:rFonts w:cs="David" w:hint="cs"/>
          <w:sz w:val="28"/>
          <w:szCs w:val="28"/>
          <w:rtl/>
        </w:rPr>
        <w:t xml:space="preserve">אופן פעולת המועצה, </w:t>
      </w:r>
      <w:r w:rsidR="007960F3" w:rsidRPr="0004711E">
        <w:rPr>
          <w:rFonts w:cs="David" w:hint="cs"/>
          <w:sz w:val="28"/>
          <w:szCs w:val="28"/>
          <w:rtl/>
        </w:rPr>
        <w:t xml:space="preserve">יש מקום </w:t>
      </w:r>
      <w:r w:rsidR="001C7A32" w:rsidRPr="0004711E">
        <w:rPr>
          <w:rFonts w:cs="David" w:hint="cs"/>
          <w:sz w:val="28"/>
          <w:szCs w:val="28"/>
          <w:rtl/>
        </w:rPr>
        <w:t xml:space="preserve">להרחיב בעניינה </w:t>
      </w:r>
      <w:r w:rsidR="007960F3" w:rsidRPr="0004711E">
        <w:rPr>
          <w:rFonts w:cs="David" w:hint="cs"/>
          <w:sz w:val="28"/>
          <w:szCs w:val="28"/>
          <w:rtl/>
        </w:rPr>
        <w:t>מעט</w:t>
      </w:r>
      <w:r w:rsidR="001C7A32" w:rsidRPr="0004711E">
        <w:rPr>
          <w:rFonts w:cs="David" w:hint="cs"/>
          <w:sz w:val="28"/>
          <w:szCs w:val="28"/>
          <w:rtl/>
        </w:rPr>
        <w:t>.</w:t>
      </w:r>
    </w:p>
    <w:p w:rsidR="001C7A32" w:rsidRPr="0004711E" w:rsidRDefault="001C7A32" w:rsidP="008B316C">
      <w:pPr>
        <w:spacing w:after="0" w:line="360" w:lineRule="auto"/>
        <w:jc w:val="both"/>
        <w:rPr>
          <w:rFonts w:cs="David"/>
          <w:sz w:val="28"/>
          <w:szCs w:val="28"/>
          <w:rtl/>
        </w:rPr>
      </w:pPr>
    </w:p>
    <w:p w:rsidR="007154F8" w:rsidRPr="0004711E" w:rsidRDefault="00933EF2" w:rsidP="00180971">
      <w:pPr>
        <w:spacing w:after="0" w:line="360" w:lineRule="auto"/>
        <w:jc w:val="both"/>
        <w:rPr>
          <w:rFonts w:cs="David"/>
          <w:sz w:val="28"/>
          <w:szCs w:val="28"/>
          <w:rtl/>
        </w:rPr>
      </w:pPr>
      <w:r w:rsidRPr="0004711E">
        <w:rPr>
          <w:rFonts w:cs="David" w:hint="cs"/>
          <w:sz w:val="28"/>
          <w:szCs w:val="28"/>
          <w:rtl/>
        </w:rPr>
        <w:t xml:space="preserve">המועצה הוקמה בשנת 2006 </w:t>
      </w:r>
      <w:r w:rsidR="00E41A13" w:rsidRPr="0004711E">
        <w:rPr>
          <w:rFonts w:cs="David" w:hint="cs"/>
          <w:sz w:val="28"/>
          <w:szCs w:val="28"/>
          <w:rtl/>
        </w:rPr>
        <w:t xml:space="preserve">ומקום מושבה בג'נבה. </w:t>
      </w:r>
      <w:r w:rsidR="00A402FA">
        <w:rPr>
          <w:rFonts w:cs="David" w:hint="cs"/>
          <w:sz w:val="28"/>
          <w:szCs w:val="28"/>
          <w:rtl/>
        </w:rPr>
        <w:t xml:space="preserve">היא </w:t>
      </w:r>
      <w:r w:rsidR="00CD2625" w:rsidRPr="0004711E">
        <w:rPr>
          <w:rFonts w:cs="David" w:hint="cs"/>
          <w:sz w:val="28"/>
          <w:szCs w:val="28"/>
          <w:rtl/>
        </w:rPr>
        <w:t>הוקמה בהחלטה של העצרת הכללית</w:t>
      </w:r>
      <w:r w:rsidR="00CD2625" w:rsidRPr="0004711E">
        <w:rPr>
          <w:rStyle w:val="a7"/>
          <w:rFonts w:cs="David"/>
          <w:sz w:val="28"/>
          <w:szCs w:val="28"/>
          <w:rtl/>
        </w:rPr>
        <w:footnoteReference w:id="152"/>
      </w:r>
      <w:r w:rsidR="00E41A13" w:rsidRPr="0004711E">
        <w:rPr>
          <w:rFonts w:cs="David" w:hint="cs"/>
          <w:sz w:val="28"/>
          <w:szCs w:val="28"/>
          <w:rtl/>
        </w:rPr>
        <w:t>, והחליפה את נציבות זכויות האדם שקדמה לה</w:t>
      </w:r>
      <w:r w:rsidR="00E22B2F" w:rsidRPr="0004711E">
        <w:rPr>
          <w:rFonts w:cs="David" w:hint="cs"/>
          <w:sz w:val="28"/>
          <w:szCs w:val="28"/>
          <w:rtl/>
        </w:rPr>
        <w:t xml:space="preserve"> והייתה קיימת משנת 1946</w:t>
      </w:r>
      <w:r w:rsidR="00CD2625" w:rsidRPr="0004711E">
        <w:rPr>
          <w:rFonts w:cs="David" w:hint="cs"/>
          <w:sz w:val="28"/>
          <w:szCs w:val="28"/>
          <w:rtl/>
        </w:rPr>
        <w:t xml:space="preserve">. </w:t>
      </w:r>
      <w:r w:rsidR="007154F8" w:rsidRPr="0004711E">
        <w:rPr>
          <w:rFonts w:cs="David" w:hint="cs"/>
          <w:sz w:val="28"/>
          <w:szCs w:val="28"/>
          <w:rtl/>
        </w:rPr>
        <w:t xml:space="preserve">כנגד נציבות זכויות האדם הופנתה ביקורת כללית, בעיקר ביחס לפוליטיות הרבה </w:t>
      </w:r>
      <w:r w:rsidR="00180971">
        <w:rPr>
          <w:rFonts w:cs="David" w:hint="cs"/>
          <w:sz w:val="28"/>
          <w:szCs w:val="28"/>
          <w:rtl/>
        </w:rPr>
        <w:t>ש</w:t>
      </w:r>
      <w:r w:rsidR="007154F8" w:rsidRPr="0004711E">
        <w:rPr>
          <w:rFonts w:cs="David" w:hint="cs"/>
          <w:sz w:val="28"/>
          <w:szCs w:val="28"/>
          <w:rtl/>
        </w:rPr>
        <w:t xml:space="preserve">בה היא נגועה והעובדה כי חברות בה מדינות הידועות </w:t>
      </w:r>
      <w:r w:rsidR="003049C9" w:rsidRPr="0004711E">
        <w:rPr>
          <w:rFonts w:cs="David" w:hint="cs"/>
          <w:sz w:val="28"/>
          <w:szCs w:val="28"/>
          <w:rtl/>
        </w:rPr>
        <w:t>ל</w:t>
      </w:r>
      <w:r w:rsidR="007154F8" w:rsidRPr="0004711E">
        <w:rPr>
          <w:rFonts w:cs="David" w:hint="cs"/>
          <w:sz w:val="28"/>
          <w:szCs w:val="28"/>
          <w:rtl/>
        </w:rPr>
        <w:t xml:space="preserve">שמצה </w:t>
      </w:r>
      <w:r w:rsidR="007154F8" w:rsidRPr="0004711E">
        <w:rPr>
          <w:rFonts w:cs="David" w:hint="cs"/>
          <w:sz w:val="28"/>
          <w:szCs w:val="28"/>
          <w:rtl/>
        </w:rPr>
        <w:lastRenderedPageBreak/>
        <w:t xml:space="preserve">ביחסן לזכויות אדם, אשר מבקשות להצטרף למועצה כחברות כדי לאפשר את המשך הפרת הזכויות </w:t>
      </w:r>
      <w:r w:rsidR="001C7A32" w:rsidRPr="0004711E">
        <w:rPr>
          <w:rFonts w:cs="David" w:hint="cs"/>
          <w:sz w:val="28"/>
          <w:szCs w:val="28"/>
          <w:rtl/>
        </w:rPr>
        <w:t xml:space="preserve">בשטחן </w:t>
      </w:r>
      <w:r w:rsidR="007154F8" w:rsidRPr="0004711E">
        <w:rPr>
          <w:rFonts w:cs="David" w:hint="cs"/>
          <w:sz w:val="28"/>
          <w:szCs w:val="28"/>
          <w:rtl/>
        </w:rPr>
        <w:t>ללא הפרעה ו</w:t>
      </w:r>
      <w:r w:rsidR="003049C9" w:rsidRPr="0004711E">
        <w:rPr>
          <w:rFonts w:cs="David" w:hint="cs"/>
          <w:sz w:val="28"/>
          <w:szCs w:val="28"/>
          <w:rtl/>
        </w:rPr>
        <w:t>ל</w:t>
      </w:r>
      <w:r w:rsidR="007154F8" w:rsidRPr="0004711E">
        <w:rPr>
          <w:rFonts w:cs="David" w:hint="cs"/>
          <w:sz w:val="28"/>
          <w:szCs w:val="28"/>
          <w:rtl/>
        </w:rPr>
        <w:t xml:space="preserve">התמקד בביקורת על </w:t>
      </w:r>
      <w:r w:rsidR="003049C9" w:rsidRPr="0004711E">
        <w:rPr>
          <w:rFonts w:cs="David" w:hint="cs"/>
          <w:sz w:val="28"/>
          <w:szCs w:val="28"/>
          <w:rtl/>
        </w:rPr>
        <w:t xml:space="preserve">מדינות </w:t>
      </w:r>
      <w:r w:rsidR="007154F8" w:rsidRPr="0004711E">
        <w:rPr>
          <w:rFonts w:cs="David" w:hint="cs"/>
          <w:sz w:val="28"/>
          <w:szCs w:val="28"/>
          <w:rtl/>
        </w:rPr>
        <w:t>אחר</w:t>
      </w:r>
      <w:r w:rsidR="003049C9" w:rsidRPr="0004711E">
        <w:rPr>
          <w:rFonts w:cs="David" w:hint="cs"/>
          <w:sz w:val="28"/>
          <w:szCs w:val="28"/>
          <w:rtl/>
        </w:rPr>
        <w:t>ות</w:t>
      </w:r>
      <w:r w:rsidR="007154F8" w:rsidRPr="0004711E">
        <w:rPr>
          <w:rStyle w:val="a7"/>
          <w:rFonts w:cs="David"/>
          <w:sz w:val="28"/>
          <w:szCs w:val="28"/>
          <w:rtl/>
        </w:rPr>
        <w:footnoteReference w:id="153"/>
      </w:r>
      <w:r w:rsidR="007154F8" w:rsidRPr="0004711E">
        <w:rPr>
          <w:rFonts w:cs="David" w:hint="cs"/>
          <w:sz w:val="28"/>
          <w:szCs w:val="28"/>
          <w:rtl/>
        </w:rPr>
        <w:t>. בהקשר הישראלי נטען כנגד ה</w:t>
      </w:r>
      <w:r w:rsidR="003049C9" w:rsidRPr="0004711E">
        <w:rPr>
          <w:rFonts w:cs="David" w:hint="cs"/>
          <w:sz w:val="28"/>
          <w:szCs w:val="28"/>
          <w:rtl/>
        </w:rPr>
        <w:t>נציבות</w:t>
      </w:r>
      <w:r w:rsidR="007154F8" w:rsidRPr="0004711E">
        <w:rPr>
          <w:rFonts w:cs="David" w:hint="cs"/>
          <w:sz w:val="28"/>
          <w:szCs w:val="28"/>
          <w:rtl/>
        </w:rPr>
        <w:t xml:space="preserve">, כי במשך </w:t>
      </w:r>
      <w:r w:rsidR="00180971">
        <w:rPr>
          <w:rFonts w:cs="David" w:hint="cs"/>
          <w:sz w:val="28"/>
          <w:szCs w:val="28"/>
          <w:rtl/>
        </w:rPr>
        <w:t>שלושים</w:t>
      </w:r>
      <w:r w:rsidR="00180971" w:rsidRPr="0004711E">
        <w:rPr>
          <w:rFonts w:cs="David" w:hint="cs"/>
          <w:sz w:val="28"/>
          <w:szCs w:val="28"/>
          <w:rtl/>
        </w:rPr>
        <w:t xml:space="preserve"> </w:t>
      </w:r>
      <w:r w:rsidR="007154F8" w:rsidRPr="0004711E">
        <w:rPr>
          <w:rFonts w:cs="David" w:hint="cs"/>
          <w:sz w:val="28"/>
          <w:szCs w:val="28"/>
          <w:rtl/>
        </w:rPr>
        <w:t xml:space="preserve">שנים היא השקיעה כ-15% מזמנה ושליש מהחלטותיה כדי לדון בישראל, באופן </w:t>
      </w:r>
      <w:r w:rsidR="003049C9" w:rsidRPr="0004711E">
        <w:rPr>
          <w:rFonts w:cs="David" w:hint="cs"/>
          <w:sz w:val="28"/>
          <w:szCs w:val="28"/>
          <w:rtl/>
        </w:rPr>
        <w:t>לא פרופורציונאלי לחלוטין ביחס לחלקה היחסי בהפרת זכויות אדם בעולם</w:t>
      </w:r>
      <w:r w:rsidR="003049C9" w:rsidRPr="0004711E">
        <w:rPr>
          <w:rStyle w:val="a7"/>
          <w:rFonts w:cs="David"/>
          <w:sz w:val="28"/>
          <w:szCs w:val="28"/>
          <w:rtl/>
        </w:rPr>
        <w:footnoteReference w:id="154"/>
      </w:r>
      <w:r w:rsidR="003049C9" w:rsidRPr="0004711E">
        <w:rPr>
          <w:rFonts w:cs="David" w:hint="cs"/>
          <w:sz w:val="28"/>
          <w:szCs w:val="28"/>
          <w:rtl/>
        </w:rPr>
        <w:t>. בעקבות הביקורת הכללית נגד הנציבות הוחלט לפרקה ולהחליפה, כאמור, במועצת זכויות האדם.</w:t>
      </w:r>
    </w:p>
    <w:p w:rsidR="007154F8" w:rsidRPr="0004711E" w:rsidRDefault="007154F8" w:rsidP="008B316C">
      <w:pPr>
        <w:spacing w:after="0" w:line="360" w:lineRule="auto"/>
        <w:jc w:val="both"/>
        <w:rPr>
          <w:rFonts w:cs="David"/>
          <w:sz w:val="28"/>
          <w:szCs w:val="28"/>
          <w:rtl/>
        </w:rPr>
      </w:pPr>
    </w:p>
    <w:p w:rsidR="00513DBA" w:rsidRDefault="00E41A13">
      <w:pPr>
        <w:spacing w:after="0" w:line="360" w:lineRule="auto"/>
        <w:jc w:val="both"/>
        <w:rPr>
          <w:rFonts w:cs="David"/>
          <w:sz w:val="28"/>
          <w:szCs w:val="28"/>
        </w:rPr>
      </w:pPr>
      <w:r w:rsidRPr="0004711E">
        <w:rPr>
          <w:rFonts w:cs="David" w:hint="cs"/>
          <w:sz w:val="28"/>
          <w:szCs w:val="28"/>
          <w:rtl/>
        </w:rPr>
        <w:t>לפי החלטת העצרת הכללית, המועצה היא גוף מ</w:t>
      </w:r>
      <w:r w:rsidR="001C7A32" w:rsidRPr="0004711E">
        <w:rPr>
          <w:rFonts w:cs="David" w:hint="cs"/>
          <w:sz w:val="28"/>
          <w:szCs w:val="28"/>
          <w:rtl/>
        </w:rPr>
        <w:t>ִ</w:t>
      </w:r>
      <w:r w:rsidRPr="0004711E">
        <w:rPr>
          <w:rFonts w:cs="David" w:hint="cs"/>
          <w:sz w:val="28"/>
          <w:szCs w:val="28"/>
          <w:rtl/>
        </w:rPr>
        <w:t>ש</w:t>
      </w:r>
      <w:r w:rsidR="001C7A32" w:rsidRPr="0004711E">
        <w:rPr>
          <w:rFonts w:cs="David" w:hint="cs"/>
          <w:sz w:val="28"/>
          <w:szCs w:val="28"/>
          <w:rtl/>
        </w:rPr>
        <w:t>ְ</w:t>
      </w:r>
      <w:r w:rsidRPr="0004711E">
        <w:rPr>
          <w:rFonts w:cs="David" w:hint="cs"/>
          <w:sz w:val="28"/>
          <w:szCs w:val="28"/>
          <w:rtl/>
        </w:rPr>
        <w:t>נ</w:t>
      </w:r>
      <w:r w:rsidR="001C7A32" w:rsidRPr="0004711E">
        <w:rPr>
          <w:rFonts w:cs="David" w:hint="cs"/>
          <w:sz w:val="28"/>
          <w:szCs w:val="28"/>
          <w:rtl/>
        </w:rPr>
        <w:t>ֶ</w:t>
      </w:r>
      <w:r w:rsidRPr="0004711E">
        <w:rPr>
          <w:rFonts w:cs="David" w:hint="cs"/>
          <w:sz w:val="28"/>
          <w:szCs w:val="28"/>
          <w:rtl/>
        </w:rPr>
        <w:t>ה של העצרת הכללית. תפקידה לדאוג לכבוד העולמי להגנת זכויות האדם וחירויות יסוד לכל בני האדם, ללא אבחנה מכל סוג שהוא</w:t>
      </w:r>
      <w:r w:rsidR="001C7A32" w:rsidRPr="0004711E">
        <w:rPr>
          <w:rFonts w:cs="David" w:hint="cs"/>
          <w:sz w:val="28"/>
          <w:szCs w:val="28"/>
          <w:rtl/>
        </w:rPr>
        <w:t>,</w:t>
      </w:r>
      <w:r w:rsidRPr="0004711E">
        <w:rPr>
          <w:rFonts w:cs="David" w:hint="cs"/>
          <w:sz w:val="28"/>
          <w:szCs w:val="28"/>
          <w:rtl/>
        </w:rPr>
        <w:t xml:space="preserve"> ובאופן הוגן ושווה</w:t>
      </w:r>
      <w:r w:rsidRPr="0004711E">
        <w:rPr>
          <w:rStyle w:val="a7"/>
          <w:rFonts w:cs="David"/>
          <w:sz w:val="28"/>
          <w:szCs w:val="28"/>
          <w:rtl/>
        </w:rPr>
        <w:footnoteReference w:id="155"/>
      </w:r>
      <w:r w:rsidRPr="0004711E">
        <w:rPr>
          <w:rFonts w:cs="David" w:hint="cs"/>
          <w:sz w:val="28"/>
          <w:szCs w:val="28"/>
          <w:rtl/>
        </w:rPr>
        <w:t xml:space="preserve">. </w:t>
      </w:r>
      <w:r w:rsidR="00180971">
        <w:rPr>
          <w:rFonts w:cs="David" w:hint="cs"/>
          <w:sz w:val="28"/>
          <w:szCs w:val="28"/>
          <w:rtl/>
        </w:rPr>
        <w:t xml:space="preserve">על </w:t>
      </w:r>
      <w:r w:rsidRPr="0004711E">
        <w:rPr>
          <w:rFonts w:cs="David" w:hint="cs"/>
          <w:sz w:val="28"/>
          <w:szCs w:val="28"/>
          <w:rtl/>
        </w:rPr>
        <w:t xml:space="preserve">המועצה לטפל במצבים של הפרות זכויות אדם, לרבות הפרות רחבות ושיטתיות, ולהמליץ המלצות בעניין. המועצה גם צריכה לקדם את </w:t>
      </w:r>
      <w:r w:rsidR="001C7A32" w:rsidRPr="0004711E">
        <w:rPr>
          <w:rFonts w:cs="David" w:hint="cs"/>
          <w:sz w:val="28"/>
          <w:szCs w:val="28"/>
          <w:rtl/>
        </w:rPr>
        <w:t>ה</w:t>
      </w:r>
      <w:r w:rsidRPr="0004711E">
        <w:rPr>
          <w:rFonts w:cs="David" w:hint="cs"/>
          <w:sz w:val="28"/>
          <w:szCs w:val="28"/>
          <w:rtl/>
        </w:rPr>
        <w:t>תיאום והשילוב של זכויות האדם במערכת האו"ם</w:t>
      </w:r>
      <w:r w:rsidRPr="0004711E">
        <w:rPr>
          <w:rStyle w:val="a7"/>
          <w:rFonts w:cs="David"/>
          <w:sz w:val="28"/>
          <w:szCs w:val="28"/>
          <w:rtl/>
        </w:rPr>
        <w:footnoteReference w:id="156"/>
      </w:r>
      <w:r w:rsidRPr="0004711E">
        <w:rPr>
          <w:rFonts w:cs="David" w:hint="cs"/>
          <w:sz w:val="28"/>
          <w:szCs w:val="28"/>
          <w:rtl/>
        </w:rPr>
        <w:t xml:space="preserve">. המועצה נדרשת להנחות עצמה לפי העקרונות של אוניברסאליות, היעדר משוא פנים, </w:t>
      </w:r>
      <w:r w:rsidR="00500D6B" w:rsidRPr="0004711E">
        <w:rPr>
          <w:rFonts w:cs="David" w:hint="cs"/>
          <w:sz w:val="28"/>
          <w:szCs w:val="28"/>
          <w:rtl/>
        </w:rPr>
        <w:t>אוביי</w:t>
      </w:r>
      <w:r w:rsidR="001C7A32" w:rsidRPr="0004711E">
        <w:rPr>
          <w:rFonts w:cs="David" w:hint="cs"/>
          <w:sz w:val="28"/>
          <w:szCs w:val="28"/>
          <w:rtl/>
        </w:rPr>
        <w:t>קטיביות, הימנעות מסלקטיביות, ודו</w:t>
      </w:r>
      <w:r w:rsidR="00500D6B" w:rsidRPr="0004711E">
        <w:rPr>
          <w:rFonts w:cs="David" w:hint="cs"/>
          <w:sz w:val="28"/>
          <w:szCs w:val="28"/>
          <w:rtl/>
        </w:rPr>
        <w:t xml:space="preserve"> שיח ושיתוף פעולה בינלאומיים חיוביים, </w:t>
      </w:r>
      <w:r w:rsidR="009C7F3D" w:rsidRPr="0004711E">
        <w:rPr>
          <w:rFonts w:cs="David" w:hint="cs"/>
          <w:sz w:val="28"/>
          <w:szCs w:val="28"/>
          <w:rtl/>
        </w:rPr>
        <w:t>במטרה להגדיל את הקידום ואת ההגנה על זכויות האדם, הזכויות הפוליטיות, הכלכליות, החברתיות והתרבותיות, לרבות הזכות לקידום</w:t>
      </w:r>
      <w:r w:rsidR="009C7F3D" w:rsidRPr="0004711E">
        <w:rPr>
          <w:rStyle w:val="a7"/>
          <w:rFonts w:cs="David"/>
          <w:sz w:val="28"/>
          <w:szCs w:val="28"/>
          <w:rtl/>
        </w:rPr>
        <w:footnoteReference w:id="157"/>
      </w:r>
      <w:r w:rsidR="009C7F3D" w:rsidRPr="0004711E">
        <w:rPr>
          <w:rFonts w:cs="David" w:hint="cs"/>
          <w:sz w:val="28"/>
          <w:szCs w:val="28"/>
          <w:rtl/>
        </w:rPr>
        <w:t>.</w:t>
      </w:r>
      <w:r w:rsidR="006F12E1" w:rsidRPr="0004711E">
        <w:rPr>
          <w:rFonts w:cs="David" w:hint="cs"/>
          <w:sz w:val="28"/>
          <w:szCs w:val="28"/>
          <w:rtl/>
        </w:rPr>
        <w:t xml:space="preserve"> </w:t>
      </w:r>
    </w:p>
    <w:p w:rsidR="00176EF4" w:rsidRPr="0004711E" w:rsidRDefault="00176EF4" w:rsidP="008B316C">
      <w:pPr>
        <w:spacing w:after="0" w:line="360" w:lineRule="auto"/>
        <w:jc w:val="both"/>
        <w:rPr>
          <w:rFonts w:cs="David"/>
          <w:sz w:val="28"/>
          <w:szCs w:val="28"/>
          <w:rtl/>
        </w:rPr>
      </w:pPr>
    </w:p>
    <w:p w:rsidR="00176EF4" w:rsidRPr="0004711E" w:rsidRDefault="00E03F9A" w:rsidP="008B316C">
      <w:pPr>
        <w:spacing w:after="0" w:line="360" w:lineRule="auto"/>
        <w:jc w:val="both"/>
        <w:rPr>
          <w:rFonts w:cs="David"/>
          <w:sz w:val="28"/>
          <w:szCs w:val="28"/>
          <w:rtl/>
        </w:rPr>
      </w:pPr>
      <w:r w:rsidRPr="0004711E">
        <w:rPr>
          <w:rFonts w:cs="David" w:hint="cs"/>
          <w:sz w:val="28"/>
          <w:szCs w:val="28"/>
          <w:rtl/>
        </w:rPr>
        <w:t xml:space="preserve">החלטת העצרת הכללית ממשיכה וקובעת כי המועצה תחדש, תבחן ותשפר את כל המנדטים, </w:t>
      </w:r>
      <w:r w:rsidR="001165FD">
        <w:rPr>
          <w:rFonts w:cs="David" w:hint="cs"/>
          <w:sz w:val="28"/>
          <w:szCs w:val="28"/>
          <w:rtl/>
        </w:rPr>
        <w:t>הוועדות</w:t>
      </w:r>
      <w:r w:rsidRPr="0004711E">
        <w:rPr>
          <w:rFonts w:cs="David" w:hint="cs"/>
          <w:sz w:val="28"/>
          <w:szCs w:val="28"/>
          <w:rtl/>
        </w:rPr>
        <w:t xml:space="preserve">, הפונקציות ותחומי האחריות של נציבות זכויות האדם במטרה לשמר מערכת של פרוצדורות מיוחדות, עצת מומחים ופרוצדורה להגשת תלונות. </w:t>
      </w:r>
    </w:p>
    <w:p w:rsidR="00E03F9A" w:rsidRPr="0004711E" w:rsidRDefault="00E03F9A" w:rsidP="008B316C">
      <w:pPr>
        <w:spacing w:after="0" w:line="360" w:lineRule="auto"/>
        <w:jc w:val="both"/>
        <w:rPr>
          <w:rFonts w:cs="David"/>
          <w:sz w:val="28"/>
          <w:szCs w:val="28"/>
          <w:rtl/>
        </w:rPr>
      </w:pPr>
    </w:p>
    <w:p w:rsidR="00E03F9A" w:rsidRPr="0004711E" w:rsidRDefault="00E03F9A" w:rsidP="00982291">
      <w:pPr>
        <w:spacing w:after="0" w:line="360" w:lineRule="auto"/>
        <w:jc w:val="both"/>
        <w:rPr>
          <w:rFonts w:cs="David"/>
          <w:sz w:val="28"/>
          <w:szCs w:val="28"/>
          <w:rtl/>
        </w:rPr>
      </w:pPr>
      <w:r w:rsidRPr="0004711E">
        <w:rPr>
          <w:rFonts w:cs="David" w:hint="cs"/>
          <w:sz w:val="28"/>
          <w:szCs w:val="28"/>
          <w:rtl/>
        </w:rPr>
        <w:t xml:space="preserve">לפי החלטת העצרת, </w:t>
      </w:r>
      <w:r w:rsidR="00180971" w:rsidRPr="0004711E">
        <w:rPr>
          <w:rFonts w:cs="David" w:hint="cs"/>
          <w:sz w:val="28"/>
          <w:szCs w:val="28"/>
          <w:rtl/>
        </w:rPr>
        <w:t xml:space="preserve">תורכב </w:t>
      </w:r>
      <w:r w:rsidRPr="0004711E">
        <w:rPr>
          <w:rFonts w:cs="David" w:hint="cs"/>
          <w:sz w:val="28"/>
          <w:szCs w:val="28"/>
          <w:rtl/>
        </w:rPr>
        <w:t>המועצה מ</w:t>
      </w:r>
      <w:r w:rsidR="00180971">
        <w:rPr>
          <w:rFonts w:cs="David" w:hint="cs"/>
          <w:sz w:val="28"/>
          <w:szCs w:val="28"/>
          <w:rtl/>
        </w:rPr>
        <w:t xml:space="preserve">ארבעים ושבע </w:t>
      </w:r>
      <w:r w:rsidRPr="0004711E">
        <w:rPr>
          <w:rFonts w:cs="David" w:hint="cs"/>
          <w:sz w:val="28"/>
          <w:szCs w:val="28"/>
          <w:rtl/>
        </w:rPr>
        <w:t xml:space="preserve">מדינות חברות, שייבחרו בבחירות חשאיות בעצרת הכללית. החברות תתבסס על חלוקה לפי קבוצות גיאוגרפיות, כדלקמן: </w:t>
      </w:r>
      <w:r w:rsidR="00180971">
        <w:rPr>
          <w:rFonts w:cs="David" w:hint="cs"/>
          <w:sz w:val="28"/>
          <w:szCs w:val="28"/>
          <w:rtl/>
        </w:rPr>
        <w:t xml:space="preserve">שלוש עשרה </w:t>
      </w:r>
      <w:r w:rsidRPr="0004711E">
        <w:rPr>
          <w:rFonts w:cs="David" w:hint="cs"/>
          <w:sz w:val="28"/>
          <w:szCs w:val="28"/>
          <w:rtl/>
        </w:rPr>
        <w:t xml:space="preserve">מדינות מאפריקה; </w:t>
      </w:r>
      <w:r w:rsidR="00180971">
        <w:rPr>
          <w:rFonts w:cs="David" w:hint="cs"/>
          <w:sz w:val="28"/>
          <w:szCs w:val="28"/>
          <w:rtl/>
        </w:rPr>
        <w:t xml:space="preserve">שלוש עשרה </w:t>
      </w:r>
      <w:r w:rsidRPr="0004711E">
        <w:rPr>
          <w:rFonts w:cs="David" w:hint="cs"/>
          <w:sz w:val="28"/>
          <w:szCs w:val="28"/>
          <w:rtl/>
        </w:rPr>
        <w:t xml:space="preserve">מדינות מאסיה; </w:t>
      </w:r>
      <w:r w:rsidR="00180971">
        <w:rPr>
          <w:rFonts w:cs="David" w:hint="cs"/>
          <w:sz w:val="28"/>
          <w:szCs w:val="28"/>
          <w:rtl/>
        </w:rPr>
        <w:t xml:space="preserve">שש </w:t>
      </w:r>
      <w:r w:rsidRPr="0004711E">
        <w:rPr>
          <w:rFonts w:cs="David" w:hint="cs"/>
          <w:sz w:val="28"/>
          <w:szCs w:val="28"/>
          <w:rtl/>
        </w:rPr>
        <w:t xml:space="preserve">מדינות ממזרח אירופה; </w:t>
      </w:r>
      <w:r w:rsidR="00180971">
        <w:rPr>
          <w:rFonts w:cs="David" w:hint="cs"/>
          <w:sz w:val="28"/>
          <w:szCs w:val="28"/>
          <w:rtl/>
        </w:rPr>
        <w:t xml:space="preserve">שמונה </w:t>
      </w:r>
      <w:r w:rsidRPr="0004711E">
        <w:rPr>
          <w:rFonts w:cs="David" w:hint="cs"/>
          <w:sz w:val="28"/>
          <w:szCs w:val="28"/>
          <w:rtl/>
        </w:rPr>
        <w:t xml:space="preserve">מדינות מאמריקה הלטינית ומהקריביים; </w:t>
      </w:r>
      <w:r w:rsidR="00180971">
        <w:rPr>
          <w:rFonts w:cs="David" w:hint="cs"/>
          <w:sz w:val="28"/>
          <w:szCs w:val="28"/>
          <w:rtl/>
        </w:rPr>
        <w:t xml:space="preserve">שבע </w:t>
      </w:r>
      <w:r w:rsidRPr="0004711E">
        <w:rPr>
          <w:rFonts w:cs="David" w:hint="cs"/>
          <w:sz w:val="28"/>
          <w:szCs w:val="28"/>
          <w:rtl/>
        </w:rPr>
        <w:t>מדינות ממערב אירופה וממדינות אחרות (</w:t>
      </w:r>
      <w:r w:rsidRPr="0004711E">
        <w:rPr>
          <w:rFonts w:cs="David"/>
          <w:sz w:val="28"/>
          <w:szCs w:val="28"/>
        </w:rPr>
        <w:t>Western Europe and Other States – WEOG</w:t>
      </w:r>
      <w:r w:rsidRPr="0004711E">
        <w:rPr>
          <w:rFonts w:cs="David" w:hint="cs"/>
          <w:sz w:val="28"/>
          <w:szCs w:val="28"/>
          <w:rtl/>
        </w:rPr>
        <w:t xml:space="preserve">). חברות המועצה ייבחרו לשלוש שנים, ולא ליותר משתי תקופות ברצף. </w:t>
      </w:r>
      <w:r w:rsidRPr="0004711E">
        <w:rPr>
          <w:rFonts w:cs="David" w:hint="cs"/>
          <w:sz w:val="28"/>
          <w:szCs w:val="28"/>
          <w:rtl/>
        </w:rPr>
        <w:lastRenderedPageBreak/>
        <w:t>החברות במועצה פתוחה לכל המדינות החברות באו"ם</w:t>
      </w:r>
      <w:r w:rsidR="00E81CF3" w:rsidRPr="0004711E">
        <w:rPr>
          <w:rFonts w:cs="David" w:hint="cs"/>
          <w:sz w:val="28"/>
          <w:szCs w:val="28"/>
          <w:rtl/>
        </w:rPr>
        <w:t>. בעת הבחירה, נדרשות המדינות לקחת בחשבון את התרומה של המדינה הנבחרת לקידום זכויות האדם. העצרת הכללית רשאית להשעות חברות של מדינה מהמועצה ברוב של שני שלישים, אם היא מבצעת הפרות רחבות ושיטתיות של זכויות אדם. המדינות החברות במועצה נדרשות לעמוד בסטנדרטים הגבוהים ביותר של קידום והגנה על זכויות אדם, ישתפו פעולה עם המועצה באופן מלא וייבדקו</w:t>
      </w:r>
      <w:r w:rsidR="00692192">
        <w:rPr>
          <w:rFonts w:cs="David" w:hint="cs"/>
          <w:sz w:val="28"/>
          <w:szCs w:val="28"/>
          <w:rtl/>
        </w:rPr>
        <w:t xml:space="preserve"> על ידי </w:t>
      </w:r>
      <w:r w:rsidR="00982291">
        <w:rPr>
          <w:rFonts w:cs="David" w:hint="cs"/>
          <w:sz w:val="28"/>
          <w:szCs w:val="28"/>
          <w:rtl/>
        </w:rPr>
        <w:t>מנגנון</w:t>
      </w:r>
      <w:r w:rsidR="00E81CF3" w:rsidRPr="0004711E">
        <w:rPr>
          <w:rFonts w:cs="David" w:hint="cs"/>
          <w:sz w:val="28"/>
          <w:szCs w:val="28"/>
          <w:rtl/>
        </w:rPr>
        <w:t xml:space="preserve"> הביקורת העיתית האוניברסאלית (</w:t>
      </w:r>
      <w:r w:rsidR="00E81CF3" w:rsidRPr="0004711E">
        <w:rPr>
          <w:rFonts w:cs="David" w:hint="cs"/>
          <w:sz w:val="28"/>
          <w:szCs w:val="28"/>
        </w:rPr>
        <w:t>UPR</w:t>
      </w:r>
      <w:r w:rsidR="00E81CF3" w:rsidRPr="0004711E">
        <w:rPr>
          <w:rFonts w:cs="David" w:hint="cs"/>
          <w:sz w:val="28"/>
          <w:szCs w:val="28"/>
          <w:rtl/>
        </w:rPr>
        <w:t>) במהלך תקופת חברות</w:t>
      </w:r>
      <w:r w:rsidR="00982291">
        <w:rPr>
          <w:rFonts w:cs="David" w:hint="cs"/>
          <w:sz w:val="28"/>
          <w:szCs w:val="28"/>
          <w:rtl/>
        </w:rPr>
        <w:t>ן</w:t>
      </w:r>
      <w:r w:rsidR="00E81CF3" w:rsidRPr="0004711E">
        <w:rPr>
          <w:rFonts w:cs="David" w:hint="cs"/>
          <w:sz w:val="28"/>
          <w:szCs w:val="28"/>
          <w:rtl/>
        </w:rPr>
        <w:t>.</w:t>
      </w:r>
    </w:p>
    <w:p w:rsidR="00E81CF3" w:rsidRPr="0004711E" w:rsidRDefault="00E81CF3" w:rsidP="008B316C">
      <w:pPr>
        <w:spacing w:after="0" w:line="360" w:lineRule="auto"/>
        <w:jc w:val="both"/>
        <w:rPr>
          <w:rFonts w:cs="David"/>
          <w:sz w:val="28"/>
          <w:szCs w:val="28"/>
          <w:rtl/>
        </w:rPr>
      </w:pPr>
    </w:p>
    <w:p w:rsidR="00E81CF3" w:rsidRPr="0004711E" w:rsidRDefault="00E81CF3" w:rsidP="008B316C">
      <w:pPr>
        <w:spacing w:after="0" w:line="360" w:lineRule="auto"/>
        <w:jc w:val="both"/>
        <w:rPr>
          <w:rFonts w:cs="David"/>
          <w:sz w:val="28"/>
          <w:szCs w:val="28"/>
          <w:rtl/>
        </w:rPr>
      </w:pPr>
      <w:r w:rsidRPr="0004711E">
        <w:rPr>
          <w:rFonts w:cs="David" w:hint="cs"/>
          <w:sz w:val="28"/>
          <w:szCs w:val="28"/>
          <w:rtl/>
        </w:rPr>
        <w:t>המועצה תקבע לא פחות משלושה מושבים בשנה, למשך עשרה שבועות לפחות, והיא תוכל לכנס מושבים מיוחדים בעת הצורך, לבקשת מדינה חברה במועצה ותמיכה של שליש מהמדינות החברות.</w:t>
      </w:r>
    </w:p>
    <w:p w:rsidR="00E41A13" w:rsidRPr="0004711E" w:rsidRDefault="00E41A13" w:rsidP="008B316C">
      <w:pPr>
        <w:spacing w:after="0" w:line="360" w:lineRule="auto"/>
        <w:jc w:val="both"/>
        <w:rPr>
          <w:rFonts w:cs="David"/>
          <w:sz w:val="28"/>
          <w:szCs w:val="28"/>
          <w:rtl/>
        </w:rPr>
      </w:pPr>
    </w:p>
    <w:p w:rsidR="00DA6A5B" w:rsidRPr="0004711E" w:rsidRDefault="003049C9" w:rsidP="00180971">
      <w:pPr>
        <w:spacing w:after="0" w:line="360" w:lineRule="auto"/>
        <w:jc w:val="both"/>
        <w:rPr>
          <w:rFonts w:cs="David"/>
          <w:sz w:val="28"/>
          <w:szCs w:val="28"/>
          <w:rtl/>
        </w:rPr>
      </w:pPr>
      <w:r w:rsidRPr="0004711E">
        <w:rPr>
          <w:rFonts w:cs="David" w:hint="cs"/>
          <w:sz w:val="28"/>
          <w:szCs w:val="28"/>
          <w:rtl/>
        </w:rPr>
        <w:t xml:space="preserve">ההחלטה על </w:t>
      </w:r>
      <w:r w:rsidR="00AD6901" w:rsidRPr="0004711E">
        <w:rPr>
          <w:rFonts w:cs="David" w:hint="cs"/>
          <w:sz w:val="28"/>
          <w:szCs w:val="28"/>
          <w:rtl/>
        </w:rPr>
        <w:t>פירוק נציבות זכויות האדם</w:t>
      </w:r>
      <w:r w:rsidRPr="0004711E">
        <w:rPr>
          <w:rFonts w:cs="David" w:hint="cs"/>
          <w:sz w:val="28"/>
          <w:szCs w:val="28"/>
          <w:rtl/>
        </w:rPr>
        <w:t xml:space="preserve"> בגלל תפקודה הלקוי והקמת מועצת זכויות האדם לא הובילה לשינוי המיוחל</w:t>
      </w:r>
      <w:r w:rsidR="00591B6B" w:rsidRPr="0004711E">
        <w:rPr>
          <w:rFonts w:cs="David" w:hint="cs"/>
          <w:sz w:val="28"/>
          <w:szCs w:val="28"/>
          <w:rtl/>
        </w:rPr>
        <w:t>, בעיקר לא בהקשר הישראלי</w:t>
      </w:r>
      <w:r w:rsidRPr="0004711E">
        <w:rPr>
          <w:rFonts w:cs="David" w:hint="cs"/>
          <w:sz w:val="28"/>
          <w:szCs w:val="28"/>
          <w:rtl/>
        </w:rPr>
        <w:t xml:space="preserve">. </w:t>
      </w:r>
      <w:r w:rsidR="00DA6A5B" w:rsidRPr="0004711E">
        <w:rPr>
          <w:rFonts w:cs="David" w:hint="cs"/>
          <w:sz w:val="28"/>
          <w:szCs w:val="28"/>
          <w:rtl/>
        </w:rPr>
        <w:t xml:space="preserve">הרכבן האזורי של הקבוצות </w:t>
      </w:r>
      <w:r w:rsidR="00180971">
        <w:rPr>
          <w:rFonts w:cs="David" w:hint="cs"/>
          <w:sz w:val="28"/>
          <w:szCs w:val="28"/>
          <w:rtl/>
        </w:rPr>
        <w:t xml:space="preserve">במועצה </w:t>
      </w:r>
      <w:r w:rsidR="00DA6A5B" w:rsidRPr="0004711E">
        <w:rPr>
          <w:rFonts w:cs="David" w:hint="cs"/>
          <w:sz w:val="28"/>
          <w:szCs w:val="28"/>
          <w:rtl/>
        </w:rPr>
        <w:t xml:space="preserve">מבטיח רוב אוטומטי נגד ישראל (מדינות ערב, מדינות מוסלמיות ומדינות לא מזדהות יהוו </w:t>
      </w:r>
      <w:r w:rsidR="00232082">
        <w:rPr>
          <w:rFonts w:cs="David" w:hint="cs"/>
          <w:sz w:val="28"/>
          <w:szCs w:val="28"/>
          <w:rtl/>
        </w:rPr>
        <w:t xml:space="preserve">ביחד </w:t>
      </w:r>
      <w:r w:rsidR="00DA6A5B" w:rsidRPr="0004711E">
        <w:rPr>
          <w:rFonts w:cs="David" w:hint="cs"/>
          <w:sz w:val="28"/>
          <w:szCs w:val="28"/>
          <w:rtl/>
        </w:rPr>
        <w:t xml:space="preserve">תמיד את הרוב במועצה). מדינות ערב התנגדו לחברותה של ישראל בקבוצה האסייתית. גם בקבוצת </w:t>
      </w:r>
      <w:r w:rsidR="00DA6A5B" w:rsidRPr="0004711E">
        <w:rPr>
          <w:rFonts w:cs="David" w:hint="cs"/>
          <w:sz w:val="28"/>
          <w:szCs w:val="28"/>
        </w:rPr>
        <w:t>WEOG</w:t>
      </w:r>
      <w:r w:rsidR="00DA6A5B" w:rsidRPr="0004711E">
        <w:rPr>
          <w:rFonts w:cs="David" w:hint="cs"/>
          <w:sz w:val="28"/>
          <w:szCs w:val="28"/>
          <w:rtl/>
        </w:rPr>
        <w:t xml:space="preserve">, שלכאורה לא הייתה גיאוגרפית טהורה, אלא נבנתה ממדינות מערביות, לא הייתה ישראל חברה. כך יצא שישראל </w:t>
      </w:r>
      <w:r w:rsidR="001C7A32" w:rsidRPr="0004711E">
        <w:rPr>
          <w:rFonts w:cs="David" w:hint="cs"/>
          <w:sz w:val="28"/>
          <w:szCs w:val="28"/>
          <w:rtl/>
        </w:rPr>
        <w:t>הייתה המדינה היחידה באו"ם ש</w:t>
      </w:r>
      <w:r w:rsidR="00DA6A5B" w:rsidRPr="0004711E">
        <w:rPr>
          <w:rFonts w:cs="David" w:hint="cs"/>
          <w:sz w:val="28"/>
          <w:szCs w:val="28"/>
          <w:rtl/>
        </w:rPr>
        <w:t>הורחקה מכלל הקבוצות המרכיבות את המועצה</w:t>
      </w:r>
      <w:r w:rsidR="00DA6A5B" w:rsidRPr="0004711E">
        <w:rPr>
          <w:rStyle w:val="a7"/>
          <w:rFonts w:cs="David"/>
          <w:sz w:val="28"/>
          <w:szCs w:val="28"/>
          <w:rtl/>
        </w:rPr>
        <w:footnoteReference w:id="158"/>
      </w:r>
      <w:r w:rsidR="00DA6A5B" w:rsidRPr="0004711E">
        <w:rPr>
          <w:rFonts w:cs="David" w:hint="cs"/>
          <w:sz w:val="28"/>
          <w:szCs w:val="28"/>
          <w:rtl/>
        </w:rPr>
        <w:t xml:space="preserve">. קבוצת </w:t>
      </w:r>
      <w:r w:rsidR="00DA6A5B" w:rsidRPr="0004711E">
        <w:rPr>
          <w:rFonts w:cs="David" w:hint="cs"/>
          <w:sz w:val="28"/>
          <w:szCs w:val="28"/>
        </w:rPr>
        <w:t>WEOG</w:t>
      </w:r>
      <w:r w:rsidR="00DA6A5B" w:rsidRPr="0004711E">
        <w:rPr>
          <w:rFonts w:cs="David" w:hint="cs"/>
          <w:sz w:val="28"/>
          <w:szCs w:val="28"/>
          <w:rtl/>
        </w:rPr>
        <w:t xml:space="preserve"> בג'נבה סירבה לצרף אליה את ישראל. כתוצאה מכך, נמנעה מישראל כליל ההשתתפות בדיונים המכינים למושבי המועצה וכל אפשרות להשפיע על המתרחש במועצה</w:t>
      </w:r>
      <w:bookmarkStart w:id="37" w:name="_Ref449958605"/>
      <w:r w:rsidR="00DA6A5B" w:rsidRPr="0004711E">
        <w:rPr>
          <w:rStyle w:val="a7"/>
          <w:rFonts w:cs="David"/>
          <w:sz w:val="28"/>
          <w:szCs w:val="28"/>
          <w:rtl/>
        </w:rPr>
        <w:footnoteReference w:id="159"/>
      </w:r>
      <w:bookmarkEnd w:id="37"/>
      <w:r w:rsidR="00DA6A5B" w:rsidRPr="0004711E">
        <w:rPr>
          <w:rFonts w:cs="David" w:hint="cs"/>
          <w:sz w:val="28"/>
          <w:szCs w:val="28"/>
          <w:rtl/>
        </w:rPr>
        <w:t xml:space="preserve">. </w:t>
      </w:r>
      <w:r w:rsidR="00BB2BF0" w:rsidRPr="0004711E">
        <w:rPr>
          <w:rFonts w:cs="David" w:hint="cs"/>
          <w:sz w:val="28"/>
          <w:szCs w:val="28"/>
          <w:rtl/>
        </w:rPr>
        <w:t xml:space="preserve">לפי עדכון של ארגון </w:t>
      </w:r>
      <w:r w:rsidR="00BB2BF0" w:rsidRPr="0004711E">
        <w:rPr>
          <w:rFonts w:cs="David" w:hint="cs"/>
          <w:sz w:val="28"/>
          <w:szCs w:val="28"/>
        </w:rPr>
        <w:t>UN W</w:t>
      </w:r>
      <w:r w:rsidR="00BB2BF0" w:rsidRPr="0004711E">
        <w:rPr>
          <w:rFonts w:cs="David"/>
          <w:sz w:val="28"/>
          <w:szCs w:val="28"/>
        </w:rPr>
        <w:t>atch</w:t>
      </w:r>
      <w:r w:rsidR="00BB2BF0" w:rsidRPr="0004711E">
        <w:rPr>
          <w:rStyle w:val="a7"/>
          <w:rFonts w:cs="David"/>
          <w:sz w:val="28"/>
          <w:szCs w:val="28"/>
          <w:rtl/>
        </w:rPr>
        <w:footnoteReference w:id="160"/>
      </w:r>
      <w:r w:rsidR="00BB2BF0" w:rsidRPr="0004711E">
        <w:rPr>
          <w:rFonts w:cs="David" w:hint="cs"/>
          <w:sz w:val="28"/>
          <w:szCs w:val="28"/>
          <w:rtl/>
        </w:rPr>
        <w:t xml:space="preserve">, נכון למחצית 2015, </w:t>
      </w:r>
      <w:r w:rsidR="001C7A32" w:rsidRPr="0004711E">
        <w:rPr>
          <w:rFonts w:cs="David" w:hint="cs"/>
          <w:sz w:val="28"/>
          <w:szCs w:val="28"/>
          <w:rtl/>
        </w:rPr>
        <w:t xml:space="preserve">התקבלו </w:t>
      </w:r>
      <w:r w:rsidR="00DA6A5B" w:rsidRPr="0004711E">
        <w:rPr>
          <w:rFonts w:cs="David" w:hint="cs"/>
          <w:sz w:val="28"/>
          <w:szCs w:val="28"/>
          <w:rtl/>
        </w:rPr>
        <w:t xml:space="preserve">במושבי המועצה </w:t>
      </w:r>
      <w:r w:rsidR="00180971">
        <w:rPr>
          <w:rFonts w:cs="David" w:hint="cs"/>
          <w:sz w:val="28"/>
          <w:szCs w:val="28"/>
          <w:rtl/>
        </w:rPr>
        <w:t>שישים ואחת</w:t>
      </w:r>
      <w:r w:rsidR="00180971" w:rsidRPr="0004711E">
        <w:rPr>
          <w:rFonts w:cs="David" w:hint="cs"/>
          <w:sz w:val="28"/>
          <w:szCs w:val="28"/>
          <w:rtl/>
        </w:rPr>
        <w:t xml:space="preserve"> </w:t>
      </w:r>
      <w:r w:rsidR="00DA6A5B" w:rsidRPr="0004711E">
        <w:rPr>
          <w:rFonts w:cs="David" w:hint="cs"/>
          <w:sz w:val="28"/>
          <w:szCs w:val="28"/>
          <w:rtl/>
        </w:rPr>
        <w:t xml:space="preserve">החלטות </w:t>
      </w:r>
      <w:r w:rsidR="00BB2BF0" w:rsidRPr="0004711E">
        <w:rPr>
          <w:rFonts w:cs="David" w:hint="cs"/>
          <w:sz w:val="28"/>
          <w:szCs w:val="28"/>
          <w:rtl/>
        </w:rPr>
        <w:t>כנגד ישראל ו</w:t>
      </w:r>
      <w:r w:rsidR="00180971">
        <w:rPr>
          <w:rFonts w:cs="David" w:hint="cs"/>
          <w:sz w:val="28"/>
          <w:szCs w:val="28"/>
          <w:rtl/>
        </w:rPr>
        <w:t>חמישים ושש</w:t>
      </w:r>
      <w:r w:rsidR="00BB2BF0" w:rsidRPr="0004711E">
        <w:rPr>
          <w:rFonts w:cs="David" w:hint="cs"/>
          <w:sz w:val="28"/>
          <w:szCs w:val="28"/>
          <w:rtl/>
        </w:rPr>
        <w:t xml:space="preserve"> החלטות כנגד כל שאר </w:t>
      </w:r>
      <w:r w:rsidR="00DA6A5B" w:rsidRPr="0004711E">
        <w:rPr>
          <w:rFonts w:cs="David" w:hint="cs"/>
          <w:sz w:val="28"/>
          <w:szCs w:val="28"/>
          <w:rtl/>
        </w:rPr>
        <w:t>מדינות העולם</w:t>
      </w:r>
      <w:r w:rsidR="00BB2BF0" w:rsidRPr="0004711E">
        <w:rPr>
          <w:rFonts w:cs="David" w:hint="cs"/>
          <w:sz w:val="28"/>
          <w:szCs w:val="28"/>
          <w:rtl/>
        </w:rPr>
        <w:t xml:space="preserve"> גם יחד</w:t>
      </w:r>
      <w:r w:rsidR="00DA6A5B" w:rsidRPr="0004711E">
        <w:rPr>
          <w:rFonts w:cs="David" w:hint="cs"/>
          <w:sz w:val="28"/>
          <w:szCs w:val="28"/>
          <w:rtl/>
        </w:rPr>
        <w:t xml:space="preserve">. </w:t>
      </w:r>
      <w:r w:rsidR="00BB2BF0" w:rsidRPr="0004711E">
        <w:rPr>
          <w:rFonts w:cs="David" w:hint="cs"/>
          <w:sz w:val="28"/>
          <w:szCs w:val="28"/>
          <w:rtl/>
        </w:rPr>
        <w:t xml:space="preserve">לפי אותו עדכון, </w:t>
      </w:r>
      <w:r w:rsidR="00180971">
        <w:rPr>
          <w:rFonts w:cs="David" w:hint="cs"/>
          <w:sz w:val="28"/>
          <w:szCs w:val="28"/>
          <w:rtl/>
        </w:rPr>
        <w:t xml:space="preserve">שבעה </w:t>
      </w:r>
      <w:r w:rsidR="00DA6A5B" w:rsidRPr="0004711E">
        <w:rPr>
          <w:rFonts w:cs="David" w:hint="cs"/>
          <w:sz w:val="28"/>
          <w:szCs w:val="28"/>
          <w:rtl/>
        </w:rPr>
        <w:t>מ</w:t>
      </w:r>
      <w:r w:rsidR="00BB2BF0" w:rsidRPr="0004711E">
        <w:rPr>
          <w:rFonts w:cs="David" w:hint="cs"/>
          <w:sz w:val="28"/>
          <w:szCs w:val="28"/>
          <w:rtl/>
        </w:rPr>
        <w:t xml:space="preserve">תוך </w:t>
      </w:r>
      <w:r w:rsidR="00180971">
        <w:rPr>
          <w:rFonts w:cs="David" w:hint="cs"/>
          <w:sz w:val="28"/>
          <w:szCs w:val="28"/>
          <w:rtl/>
        </w:rPr>
        <w:t xml:space="preserve">שבעה עשר </w:t>
      </w:r>
      <w:r w:rsidR="00DA6A5B" w:rsidRPr="0004711E">
        <w:rPr>
          <w:rFonts w:cs="David" w:hint="cs"/>
          <w:sz w:val="28"/>
          <w:szCs w:val="28"/>
          <w:rtl/>
        </w:rPr>
        <w:t>המושבים המיוחדים שכינסה המועצה</w:t>
      </w:r>
      <w:r w:rsidR="00180971">
        <w:rPr>
          <w:rFonts w:cs="David" w:hint="cs"/>
          <w:sz w:val="28"/>
          <w:szCs w:val="28"/>
          <w:rtl/>
        </w:rPr>
        <w:t>,</w:t>
      </w:r>
      <w:r w:rsidR="00DA6A5B" w:rsidRPr="0004711E">
        <w:rPr>
          <w:rFonts w:cs="David" w:hint="cs"/>
          <w:sz w:val="28"/>
          <w:szCs w:val="28"/>
          <w:rtl/>
        </w:rPr>
        <w:t xml:space="preserve"> כונסו כדי לדון בישראל. </w:t>
      </w:r>
    </w:p>
    <w:p w:rsidR="00DA6A5B" w:rsidRPr="0004711E" w:rsidRDefault="00DA6A5B" w:rsidP="008B316C">
      <w:pPr>
        <w:spacing w:after="0" w:line="360" w:lineRule="auto"/>
        <w:jc w:val="both"/>
        <w:rPr>
          <w:rFonts w:cs="David"/>
          <w:sz w:val="28"/>
          <w:szCs w:val="28"/>
          <w:rtl/>
        </w:rPr>
      </w:pPr>
    </w:p>
    <w:p w:rsidR="00AD6901" w:rsidRPr="0004711E" w:rsidRDefault="00DA6A5B" w:rsidP="007A43E8">
      <w:pPr>
        <w:spacing w:after="0" w:line="360" w:lineRule="auto"/>
        <w:jc w:val="both"/>
        <w:rPr>
          <w:rFonts w:cs="David"/>
          <w:sz w:val="28"/>
          <w:szCs w:val="28"/>
          <w:rtl/>
        </w:rPr>
      </w:pPr>
      <w:r w:rsidRPr="0004711E">
        <w:rPr>
          <w:rFonts w:cs="David" w:hint="cs"/>
          <w:sz w:val="28"/>
          <w:szCs w:val="28"/>
          <w:rtl/>
        </w:rPr>
        <w:lastRenderedPageBreak/>
        <w:t>נראה</w:t>
      </w:r>
      <w:r w:rsidR="00180971">
        <w:rPr>
          <w:rFonts w:cs="David" w:hint="cs"/>
          <w:sz w:val="28"/>
          <w:szCs w:val="28"/>
          <w:rtl/>
        </w:rPr>
        <w:t>,</w:t>
      </w:r>
      <w:r w:rsidRPr="0004711E">
        <w:rPr>
          <w:rFonts w:cs="David" w:hint="cs"/>
          <w:sz w:val="28"/>
          <w:szCs w:val="28"/>
          <w:rtl/>
        </w:rPr>
        <w:t xml:space="preserve"> כי הביטוי הקשה </w:t>
      </w:r>
      <w:r w:rsidR="00CA009C" w:rsidRPr="0004711E">
        <w:rPr>
          <w:rFonts w:cs="David" w:hint="cs"/>
          <w:sz w:val="28"/>
          <w:szCs w:val="28"/>
          <w:rtl/>
        </w:rPr>
        <w:t xml:space="preserve">ביותר </w:t>
      </w:r>
      <w:r w:rsidRPr="0004711E">
        <w:rPr>
          <w:rFonts w:cs="David" w:hint="cs"/>
          <w:sz w:val="28"/>
          <w:szCs w:val="28"/>
          <w:rtl/>
        </w:rPr>
        <w:t>להטי</w:t>
      </w:r>
      <w:r w:rsidR="00180971">
        <w:rPr>
          <w:rFonts w:cs="David" w:hint="cs"/>
          <w:sz w:val="28"/>
          <w:szCs w:val="28"/>
          <w:rtl/>
        </w:rPr>
        <w:t>ית</w:t>
      </w:r>
      <w:r w:rsidRPr="0004711E">
        <w:rPr>
          <w:rFonts w:cs="David" w:hint="cs"/>
          <w:sz w:val="28"/>
          <w:szCs w:val="28"/>
          <w:rtl/>
        </w:rPr>
        <w:t xml:space="preserve"> המועצה כנגד ישראל הוא העובדה כי במצע הנושאים הקבועים לדיון במועצה (</w:t>
      </w:r>
      <w:r w:rsidRPr="0004711E">
        <w:rPr>
          <w:rFonts w:cs="David"/>
          <w:sz w:val="28"/>
          <w:szCs w:val="28"/>
        </w:rPr>
        <w:t>agenda</w:t>
      </w:r>
      <w:r w:rsidRPr="0004711E">
        <w:rPr>
          <w:rFonts w:cs="David" w:hint="cs"/>
          <w:sz w:val="28"/>
          <w:szCs w:val="28"/>
          <w:rtl/>
        </w:rPr>
        <w:t>) יש סעיף מיוחד, סעיף 7, המתייחס ל"מצב זכויות האדם בפלסטין ובשטחים ערביים כבושים אחרים"</w:t>
      </w:r>
      <w:r w:rsidRPr="0004711E">
        <w:rPr>
          <w:rStyle w:val="a7"/>
          <w:rFonts w:cs="David"/>
          <w:sz w:val="28"/>
          <w:szCs w:val="28"/>
          <w:rtl/>
        </w:rPr>
        <w:footnoteReference w:id="161"/>
      </w:r>
      <w:r w:rsidRPr="0004711E">
        <w:rPr>
          <w:rFonts w:cs="David" w:hint="cs"/>
          <w:sz w:val="28"/>
          <w:szCs w:val="28"/>
          <w:rtl/>
        </w:rPr>
        <w:t xml:space="preserve">. זהו למעשה סעיף שמייחד את הדיון בעניינה של ישראל, ומפריד אותו מהדיון בעניינן של כל </w:t>
      </w:r>
      <w:r w:rsidR="007A43E8">
        <w:rPr>
          <w:rFonts w:cs="David" w:hint="cs"/>
          <w:sz w:val="28"/>
          <w:szCs w:val="28"/>
          <w:rtl/>
        </w:rPr>
        <w:t>שאר</w:t>
      </w:r>
      <w:r w:rsidR="007A43E8" w:rsidRPr="0004711E">
        <w:rPr>
          <w:rFonts w:cs="David" w:hint="cs"/>
          <w:sz w:val="28"/>
          <w:szCs w:val="28"/>
          <w:rtl/>
        </w:rPr>
        <w:t xml:space="preserve"> </w:t>
      </w:r>
      <w:r w:rsidRPr="0004711E">
        <w:rPr>
          <w:rFonts w:cs="David" w:hint="cs"/>
          <w:sz w:val="28"/>
          <w:szCs w:val="28"/>
          <w:rtl/>
        </w:rPr>
        <w:t>המדינות, הקבוע בסעיף 4 למצע הנושאים.</w:t>
      </w:r>
      <w:r w:rsidR="00176430" w:rsidRPr="0004711E">
        <w:rPr>
          <w:rFonts w:cs="David" w:hint="cs"/>
          <w:sz w:val="28"/>
          <w:szCs w:val="28"/>
          <w:rtl/>
        </w:rPr>
        <w:t xml:space="preserve"> אין עוד מדינה בעולם שיש סעיף מיוחד במצע הנוגע לה בלבד.</w:t>
      </w:r>
    </w:p>
    <w:p w:rsidR="00BB2BF0" w:rsidRPr="0004711E" w:rsidRDefault="00BB2BF0" w:rsidP="008B316C">
      <w:pPr>
        <w:spacing w:after="0" w:line="360" w:lineRule="auto"/>
        <w:jc w:val="both"/>
        <w:rPr>
          <w:rFonts w:cs="David"/>
          <w:sz w:val="28"/>
          <w:szCs w:val="28"/>
          <w:rtl/>
        </w:rPr>
      </w:pPr>
    </w:p>
    <w:p w:rsidR="00591B6B" w:rsidRPr="0004711E" w:rsidRDefault="00591B6B" w:rsidP="00232082">
      <w:pPr>
        <w:spacing w:after="0" w:line="360" w:lineRule="auto"/>
        <w:jc w:val="both"/>
        <w:rPr>
          <w:rFonts w:cs="David"/>
          <w:sz w:val="28"/>
          <w:szCs w:val="28"/>
          <w:rtl/>
        </w:rPr>
      </w:pPr>
      <w:r w:rsidRPr="0004711E">
        <w:rPr>
          <w:rFonts w:cs="David" w:hint="cs"/>
          <w:sz w:val="28"/>
          <w:szCs w:val="28"/>
          <w:rtl/>
        </w:rPr>
        <w:t>כבר בדצמבר 2006, שנת הקמתה של המועצה, הביע מזכ"ל האו"ם דאז, קופי אנאן, את אכזבתו מתפקודה של המועצה בחודשים הספורים מאז הקמתה ו</w:t>
      </w:r>
      <w:r w:rsidR="00232082">
        <w:rPr>
          <w:rFonts w:cs="David" w:hint="cs"/>
          <w:sz w:val="28"/>
          <w:szCs w:val="28"/>
          <w:rtl/>
        </w:rPr>
        <w:t>מ</w:t>
      </w:r>
      <w:r w:rsidRPr="0004711E">
        <w:rPr>
          <w:rFonts w:cs="David" w:hint="cs"/>
          <w:sz w:val="28"/>
          <w:szCs w:val="28"/>
          <w:rtl/>
        </w:rPr>
        <w:t>כך שאינה דנה בכל המצבים המצריכים דיון בעולם, וביקר אותה באופן מפורש בהתמקדותה חסרת הפרופורציה בישראל</w:t>
      </w:r>
      <w:r w:rsidRPr="0004711E">
        <w:rPr>
          <w:rStyle w:val="a7"/>
          <w:rFonts w:cs="David"/>
          <w:sz w:val="28"/>
          <w:szCs w:val="28"/>
          <w:rtl/>
        </w:rPr>
        <w:footnoteReference w:id="162"/>
      </w:r>
      <w:r w:rsidRPr="0004711E">
        <w:rPr>
          <w:rFonts w:cs="David" w:hint="cs"/>
          <w:sz w:val="28"/>
          <w:szCs w:val="28"/>
          <w:rtl/>
        </w:rPr>
        <w:t>. גם מחליפו בתפקיד, באן קי מון, החרה החזיק אחריו וביקר את המועצה על "החלטתה לבודד סעיף מצע אזורי אחד" (קרי, סעיף 7), בהתחשב בהיקף הטענות להפרת זכויות אדם בעולם</w:t>
      </w:r>
      <w:r w:rsidRPr="0004711E">
        <w:rPr>
          <w:rStyle w:val="a7"/>
          <w:rFonts w:cs="David"/>
          <w:sz w:val="28"/>
          <w:szCs w:val="28"/>
          <w:rtl/>
        </w:rPr>
        <w:footnoteReference w:id="163"/>
      </w:r>
      <w:r w:rsidRPr="0004711E">
        <w:rPr>
          <w:rFonts w:cs="David" w:hint="cs"/>
          <w:sz w:val="28"/>
          <w:szCs w:val="28"/>
          <w:rtl/>
        </w:rPr>
        <w:t>. גם שגרירות ארצות הברית לאו"ם, סוזאן רייס</w:t>
      </w:r>
      <w:r w:rsidRPr="0004711E">
        <w:rPr>
          <w:rStyle w:val="a7"/>
          <w:rFonts w:cs="David"/>
          <w:sz w:val="28"/>
          <w:szCs w:val="28"/>
          <w:rtl/>
        </w:rPr>
        <w:footnoteReference w:id="164"/>
      </w:r>
      <w:r w:rsidRPr="0004711E">
        <w:rPr>
          <w:rFonts w:cs="David" w:hint="cs"/>
          <w:sz w:val="28"/>
          <w:szCs w:val="28"/>
          <w:rtl/>
        </w:rPr>
        <w:t xml:space="preserve"> וסמנתה פאוור</w:t>
      </w:r>
      <w:r w:rsidRPr="0004711E">
        <w:rPr>
          <w:rStyle w:val="a7"/>
          <w:rFonts w:cs="David"/>
          <w:sz w:val="28"/>
          <w:szCs w:val="28"/>
          <w:rtl/>
        </w:rPr>
        <w:footnoteReference w:id="165"/>
      </w:r>
      <w:r w:rsidR="009E6DCE" w:rsidRPr="0004711E">
        <w:rPr>
          <w:rFonts w:cs="David" w:hint="cs"/>
          <w:sz w:val="28"/>
          <w:szCs w:val="28"/>
          <w:rtl/>
        </w:rPr>
        <w:t>,</w:t>
      </w:r>
      <w:r w:rsidRPr="0004711E">
        <w:rPr>
          <w:rFonts w:cs="David" w:hint="cs"/>
          <w:sz w:val="28"/>
          <w:szCs w:val="28"/>
          <w:rtl/>
        </w:rPr>
        <w:t xml:space="preserve"> ביקרו את המועצה בלשון קשה על יחסה ה</w:t>
      </w:r>
      <w:r w:rsidR="009E6DCE" w:rsidRPr="0004711E">
        <w:rPr>
          <w:rFonts w:cs="David" w:hint="cs"/>
          <w:sz w:val="28"/>
          <w:szCs w:val="28"/>
          <w:rtl/>
        </w:rPr>
        <w:t>מ</w:t>
      </w:r>
      <w:r w:rsidRPr="0004711E">
        <w:rPr>
          <w:rFonts w:cs="David" w:hint="cs"/>
          <w:sz w:val="28"/>
          <w:szCs w:val="28"/>
          <w:rtl/>
        </w:rPr>
        <w:t>וטה והחד-צדדי כלפי ישראל.</w:t>
      </w:r>
    </w:p>
    <w:p w:rsidR="00591B6B" w:rsidRPr="0004711E" w:rsidRDefault="00591B6B" w:rsidP="008B316C">
      <w:pPr>
        <w:spacing w:after="0" w:line="360" w:lineRule="auto"/>
        <w:jc w:val="both"/>
        <w:rPr>
          <w:rFonts w:cs="David"/>
          <w:sz w:val="28"/>
          <w:szCs w:val="28"/>
          <w:rtl/>
        </w:rPr>
      </w:pPr>
    </w:p>
    <w:p w:rsidR="00DC30CC" w:rsidRPr="0004711E" w:rsidRDefault="00C806E4" w:rsidP="00BF4FE5">
      <w:pPr>
        <w:spacing w:after="0" w:line="360" w:lineRule="auto"/>
        <w:jc w:val="both"/>
        <w:rPr>
          <w:rFonts w:cs="David"/>
          <w:sz w:val="28"/>
          <w:szCs w:val="28"/>
          <w:rtl/>
        </w:rPr>
      </w:pPr>
      <w:r w:rsidRPr="0004711E">
        <w:rPr>
          <w:rFonts w:cs="David" w:hint="cs"/>
          <w:sz w:val="28"/>
          <w:szCs w:val="28"/>
          <w:rtl/>
        </w:rPr>
        <w:t>ראש הממשלה, בנימין נתניהו, טען ש</w:t>
      </w:r>
      <w:r w:rsidR="009E6DCE" w:rsidRPr="0004711E">
        <w:rPr>
          <w:rFonts w:cs="David" w:hint="cs"/>
          <w:sz w:val="28"/>
          <w:szCs w:val="28"/>
          <w:rtl/>
        </w:rPr>
        <w:t>ל</w:t>
      </w:r>
      <w:r w:rsidRPr="0004711E">
        <w:rPr>
          <w:rFonts w:cs="David" w:hint="cs"/>
          <w:sz w:val="28"/>
          <w:szCs w:val="28"/>
          <w:rtl/>
        </w:rPr>
        <w:t xml:space="preserve">כמה גופים בינלאומיים, ובהם מועצת זכויות האדם, יש </w:t>
      </w:r>
      <w:r w:rsidRPr="0004711E">
        <w:rPr>
          <w:rFonts w:cs="David"/>
          <w:sz w:val="28"/>
          <w:szCs w:val="28"/>
        </w:rPr>
        <w:t>triple standard</w:t>
      </w:r>
      <w:r w:rsidR="009E6DCE" w:rsidRPr="0004711E">
        <w:rPr>
          <w:rFonts w:cs="David" w:hint="cs"/>
          <w:sz w:val="28"/>
          <w:szCs w:val="28"/>
          <w:rtl/>
        </w:rPr>
        <w:t xml:space="preserve"> (ניתן להבין</w:t>
      </w:r>
      <w:r w:rsidRPr="0004711E">
        <w:rPr>
          <w:rFonts w:cs="David" w:hint="cs"/>
          <w:sz w:val="28"/>
          <w:szCs w:val="28"/>
          <w:rtl/>
        </w:rPr>
        <w:t xml:space="preserve"> </w:t>
      </w:r>
      <w:r w:rsidR="009E6DCE" w:rsidRPr="0004711E">
        <w:rPr>
          <w:rFonts w:cs="David" w:hint="cs"/>
          <w:sz w:val="28"/>
          <w:szCs w:val="28"/>
          <w:rtl/>
        </w:rPr>
        <w:t>שכוונתו ל"</w:t>
      </w:r>
      <w:r w:rsidRPr="0004711E">
        <w:rPr>
          <w:rFonts w:cs="David" w:hint="cs"/>
          <w:sz w:val="28"/>
          <w:szCs w:val="28"/>
          <w:rtl/>
        </w:rPr>
        <w:t>עולם הנאור</w:t>
      </w:r>
      <w:r w:rsidR="009E6DCE" w:rsidRPr="0004711E">
        <w:rPr>
          <w:rFonts w:cs="David" w:hint="cs"/>
          <w:sz w:val="28"/>
          <w:szCs w:val="28"/>
          <w:rtl/>
        </w:rPr>
        <w:t>"</w:t>
      </w:r>
      <w:r w:rsidRPr="0004711E">
        <w:rPr>
          <w:rFonts w:cs="David" w:hint="cs"/>
          <w:sz w:val="28"/>
          <w:szCs w:val="28"/>
          <w:rtl/>
        </w:rPr>
        <w:t xml:space="preserve">, </w:t>
      </w:r>
      <w:r w:rsidR="009E6DCE" w:rsidRPr="0004711E">
        <w:rPr>
          <w:rFonts w:cs="David" w:hint="cs"/>
          <w:sz w:val="28"/>
          <w:szCs w:val="28"/>
          <w:rtl/>
        </w:rPr>
        <w:t>"</w:t>
      </w:r>
      <w:r w:rsidRPr="0004711E">
        <w:rPr>
          <w:rFonts w:cs="David" w:hint="cs"/>
          <w:sz w:val="28"/>
          <w:szCs w:val="28"/>
          <w:rtl/>
        </w:rPr>
        <w:t>העולם הלא נאור</w:t>
      </w:r>
      <w:r w:rsidR="009E6DCE" w:rsidRPr="0004711E">
        <w:rPr>
          <w:rFonts w:cs="David" w:hint="cs"/>
          <w:sz w:val="28"/>
          <w:szCs w:val="28"/>
          <w:rtl/>
        </w:rPr>
        <w:t>"</w:t>
      </w:r>
      <w:r w:rsidRPr="0004711E">
        <w:rPr>
          <w:rFonts w:cs="David" w:hint="cs"/>
          <w:sz w:val="28"/>
          <w:szCs w:val="28"/>
          <w:rtl/>
        </w:rPr>
        <w:t xml:space="preserve"> וישראל</w:t>
      </w:r>
      <w:r w:rsidR="009E6DCE" w:rsidRPr="0004711E">
        <w:rPr>
          <w:rFonts w:cs="David" w:hint="cs"/>
          <w:sz w:val="28"/>
          <w:szCs w:val="28"/>
          <w:rtl/>
        </w:rPr>
        <w:t>)</w:t>
      </w:r>
      <w:r w:rsidRPr="0004711E">
        <w:rPr>
          <w:rFonts w:cs="David" w:hint="cs"/>
          <w:sz w:val="28"/>
          <w:szCs w:val="28"/>
          <w:rtl/>
        </w:rPr>
        <w:t>. ישראל זוכה ליחס קשה הרבה מעבר לכל מדינה אחרת, אפילו מדינות שמפרות זכויות אדם באופן קשה, כמו צפון קוריאה, איראן או סוריה</w:t>
      </w:r>
      <w:r w:rsidRPr="0004711E">
        <w:rPr>
          <w:rStyle w:val="a7"/>
          <w:rFonts w:cs="David"/>
          <w:sz w:val="28"/>
          <w:szCs w:val="28"/>
          <w:rtl/>
        </w:rPr>
        <w:footnoteReference w:id="166"/>
      </w:r>
      <w:r w:rsidRPr="0004711E">
        <w:rPr>
          <w:rFonts w:cs="David" w:hint="cs"/>
          <w:sz w:val="28"/>
          <w:szCs w:val="28"/>
          <w:rtl/>
        </w:rPr>
        <w:t xml:space="preserve">. </w:t>
      </w:r>
      <w:r w:rsidR="00464BD7" w:rsidRPr="0004711E">
        <w:rPr>
          <w:rFonts w:cs="David" w:hint="cs"/>
          <w:sz w:val="28"/>
          <w:szCs w:val="28"/>
          <w:rtl/>
        </w:rPr>
        <w:t xml:space="preserve">לנוכח ההטיה של המועצה, </w:t>
      </w:r>
      <w:r w:rsidR="00CC7CA6" w:rsidRPr="0004711E">
        <w:rPr>
          <w:rFonts w:cs="David" w:hint="cs"/>
          <w:sz w:val="28"/>
          <w:szCs w:val="28"/>
          <w:rtl/>
        </w:rPr>
        <w:t>במאי 2012</w:t>
      </w:r>
      <w:r w:rsidR="00BB7B72" w:rsidRPr="0004711E">
        <w:rPr>
          <w:rFonts w:cs="David" w:hint="cs"/>
          <w:sz w:val="28"/>
          <w:szCs w:val="28"/>
          <w:rtl/>
        </w:rPr>
        <w:t xml:space="preserve">, בעקבות החלטת המועצה להקים את ועדת </w:t>
      </w:r>
      <w:r w:rsidR="00BB7B72" w:rsidRPr="0004711E">
        <w:rPr>
          <w:rFonts w:cs="David" w:hint="cs"/>
          <w:sz w:val="28"/>
          <w:szCs w:val="28"/>
          <w:rtl/>
        </w:rPr>
        <w:lastRenderedPageBreak/>
        <w:t>ההתנחלויות</w:t>
      </w:r>
      <w:r w:rsidR="00BB7B72" w:rsidRPr="0004711E">
        <w:rPr>
          <w:rStyle w:val="a7"/>
          <w:rFonts w:cs="David"/>
          <w:sz w:val="28"/>
          <w:szCs w:val="28"/>
          <w:rtl/>
        </w:rPr>
        <w:footnoteReference w:id="167"/>
      </w:r>
      <w:r w:rsidR="00BB7B72" w:rsidRPr="0004711E">
        <w:rPr>
          <w:rFonts w:cs="David" w:hint="cs"/>
          <w:sz w:val="28"/>
          <w:szCs w:val="28"/>
          <w:rtl/>
        </w:rPr>
        <w:t>,</w:t>
      </w:r>
      <w:r w:rsidR="00CC7CA6" w:rsidRPr="0004711E">
        <w:rPr>
          <w:rFonts w:cs="David" w:hint="cs"/>
          <w:sz w:val="28"/>
          <w:szCs w:val="28"/>
          <w:rtl/>
        </w:rPr>
        <w:t xml:space="preserve"> הודיעה מדינת ישראל כי היא משעה את קשריה עם </w:t>
      </w:r>
      <w:r w:rsidR="0090541F" w:rsidRPr="0004711E">
        <w:rPr>
          <w:rFonts w:cs="David" w:hint="cs"/>
          <w:sz w:val="28"/>
          <w:szCs w:val="28"/>
          <w:rtl/>
        </w:rPr>
        <w:t>ה</w:t>
      </w:r>
      <w:r w:rsidR="00CC7CA6" w:rsidRPr="0004711E">
        <w:rPr>
          <w:rFonts w:cs="David" w:hint="cs"/>
          <w:sz w:val="28"/>
          <w:szCs w:val="28"/>
          <w:rtl/>
        </w:rPr>
        <w:t>מועצה</w:t>
      </w:r>
      <w:r w:rsidR="0090541F" w:rsidRPr="0004711E">
        <w:rPr>
          <w:rFonts w:cs="David" w:hint="cs"/>
          <w:sz w:val="28"/>
          <w:szCs w:val="28"/>
          <w:rtl/>
        </w:rPr>
        <w:t xml:space="preserve"> </w:t>
      </w:r>
      <w:r w:rsidR="00CC7CA6" w:rsidRPr="0004711E">
        <w:rPr>
          <w:rFonts w:cs="David" w:hint="cs"/>
          <w:sz w:val="28"/>
          <w:szCs w:val="28"/>
          <w:rtl/>
        </w:rPr>
        <w:t>ועם משרד הנציב העליון לזכויות האדם של האו"ם</w:t>
      </w:r>
      <w:r w:rsidR="00CC7CA6" w:rsidRPr="0004711E">
        <w:rPr>
          <w:rStyle w:val="a7"/>
          <w:rFonts w:cs="David"/>
          <w:sz w:val="28"/>
          <w:szCs w:val="28"/>
          <w:rtl/>
        </w:rPr>
        <w:footnoteReference w:id="168"/>
      </w:r>
      <w:r w:rsidR="00CC7CA6" w:rsidRPr="0004711E">
        <w:rPr>
          <w:rFonts w:cs="David" w:hint="cs"/>
          <w:sz w:val="28"/>
          <w:szCs w:val="28"/>
          <w:rtl/>
        </w:rPr>
        <w:t>.</w:t>
      </w:r>
      <w:r w:rsidR="00AD6901" w:rsidRPr="0004711E">
        <w:rPr>
          <w:rFonts w:cs="David" w:hint="cs"/>
          <w:sz w:val="28"/>
          <w:szCs w:val="28"/>
          <w:rtl/>
        </w:rPr>
        <w:t xml:space="preserve"> </w:t>
      </w:r>
      <w:r w:rsidR="00DC30CC" w:rsidRPr="0004711E">
        <w:rPr>
          <w:rFonts w:cs="David" w:hint="cs"/>
          <w:sz w:val="28"/>
          <w:szCs w:val="28"/>
          <w:rtl/>
        </w:rPr>
        <w:t xml:space="preserve">הגיעו הדברים לידי כך, שמדינת ישראל כמעט שלא הופיעה במופע הדיווח השני של </w:t>
      </w:r>
      <w:r w:rsidR="00BF4FE5">
        <w:rPr>
          <w:rFonts w:cs="David" w:hint="cs"/>
          <w:sz w:val="28"/>
          <w:szCs w:val="28"/>
          <w:rtl/>
        </w:rPr>
        <w:t xml:space="preserve">מנגנון הביקורת </w:t>
      </w:r>
      <w:r w:rsidR="00BF4FE5" w:rsidRPr="0004711E">
        <w:rPr>
          <w:rFonts w:cs="David" w:hint="cs"/>
          <w:sz w:val="28"/>
          <w:szCs w:val="28"/>
          <w:rtl/>
        </w:rPr>
        <w:t xml:space="preserve">העיתית האוניברסאלית </w:t>
      </w:r>
      <w:r w:rsidR="00BF4FE5">
        <w:rPr>
          <w:rFonts w:cs="David" w:hint="cs"/>
          <w:sz w:val="28"/>
          <w:szCs w:val="28"/>
          <w:rtl/>
        </w:rPr>
        <w:t>(</w:t>
      </w:r>
      <w:r w:rsidR="00DC30CC" w:rsidRPr="0004711E">
        <w:rPr>
          <w:rFonts w:cs="David" w:hint="cs"/>
          <w:sz w:val="28"/>
          <w:szCs w:val="28"/>
          <w:rtl/>
        </w:rPr>
        <w:t>ה-</w:t>
      </w:r>
      <w:r w:rsidR="00DC30CC" w:rsidRPr="0004711E">
        <w:rPr>
          <w:rFonts w:cs="David" w:hint="cs"/>
          <w:sz w:val="28"/>
          <w:szCs w:val="28"/>
        </w:rPr>
        <w:t>UPR</w:t>
      </w:r>
      <w:r w:rsidR="00BF4FE5">
        <w:rPr>
          <w:rFonts w:cs="David" w:hint="cs"/>
          <w:sz w:val="28"/>
          <w:szCs w:val="28"/>
          <w:rtl/>
        </w:rPr>
        <w:t>)</w:t>
      </w:r>
      <w:r w:rsidR="00DC30CC" w:rsidRPr="0004711E">
        <w:rPr>
          <w:rFonts w:cs="David" w:hint="cs"/>
          <w:sz w:val="28"/>
          <w:szCs w:val="28"/>
          <w:rtl/>
        </w:rPr>
        <w:t xml:space="preserve">. </w:t>
      </w:r>
      <w:r w:rsidR="00ED36FE" w:rsidRPr="0004711E">
        <w:rPr>
          <w:rFonts w:cs="David" w:hint="cs"/>
          <w:sz w:val="28"/>
          <w:szCs w:val="28"/>
          <w:rtl/>
        </w:rPr>
        <w:t xml:space="preserve">מסע השכנועים והלחצים הדיפלומטי הוביל בסופו של דבר לכך שישראל </w:t>
      </w:r>
      <w:r w:rsidR="00DC30CC" w:rsidRPr="0004711E">
        <w:rPr>
          <w:rFonts w:cs="David" w:hint="cs"/>
          <w:sz w:val="28"/>
          <w:szCs w:val="28"/>
          <w:rtl/>
        </w:rPr>
        <w:t>הופיע</w:t>
      </w:r>
      <w:r w:rsidR="00ED36FE" w:rsidRPr="0004711E">
        <w:rPr>
          <w:rFonts w:cs="David" w:hint="cs"/>
          <w:sz w:val="28"/>
          <w:szCs w:val="28"/>
          <w:rtl/>
        </w:rPr>
        <w:t>ה</w:t>
      </w:r>
      <w:r w:rsidR="00DC30CC" w:rsidRPr="0004711E">
        <w:rPr>
          <w:rFonts w:cs="David" w:hint="cs"/>
          <w:sz w:val="28"/>
          <w:szCs w:val="28"/>
          <w:rtl/>
        </w:rPr>
        <w:t xml:space="preserve"> בפני ה-</w:t>
      </w:r>
      <w:r w:rsidR="00DC30CC" w:rsidRPr="0004711E">
        <w:rPr>
          <w:rFonts w:cs="David" w:hint="cs"/>
          <w:sz w:val="28"/>
          <w:szCs w:val="28"/>
        </w:rPr>
        <w:t>UPR</w:t>
      </w:r>
      <w:r w:rsidR="00DC30CC" w:rsidRPr="0004711E">
        <w:rPr>
          <w:rFonts w:cs="David" w:hint="cs"/>
          <w:sz w:val="28"/>
          <w:szCs w:val="28"/>
          <w:rtl/>
        </w:rPr>
        <w:t xml:space="preserve">, </w:t>
      </w:r>
      <w:r w:rsidR="00775F0E" w:rsidRPr="0004711E">
        <w:rPr>
          <w:rFonts w:cs="David" w:hint="cs"/>
          <w:sz w:val="28"/>
          <w:szCs w:val="28"/>
          <w:rtl/>
        </w:rPr>
        <w:t xml:space="preserve">במסגרת הסכם לא רשמי אליו הגיעה עם </w:t>
      </w:r>
      <w:r w:rsidR="00DC30CC" w:rsidRPr="0004711E">
        <w:rPr>
          <w:rFonts w:cs="David" w:hint="cs"/>
          <w:sz w:val="28"/>
          <w:szCs w:val="28"/>
          <w:rtl/>
        </w:rPr>
        <w:t>קבוצת המדינות החברות ב-</w:t>
      </w:r>
      <w:r w:rsidR="00DC30CC" w:rsidRPr="0004711E">
        <w:rPr>
          <w:rFonts w:cs="David" w:hint="cs"/>
          <w:sz w:val="28"/>
          <w:szCs w:val="28"/>
        </w:rPr>
        <w:t>WEOG</w:t>
      </w:r>
      <w:r w:rsidR="00775F0E" w:rsidRPr="0004711E">
        <w:rPr>
          <w:rFonts w:cs="David" w:hint="cs"/>
          <w:sz w:val="28"/>
          <w:szCs w:val="28"/>
          <w:rtl/>
        </w:rPr>
        <w:t>. לפי ההסכם, לאחר הופעתה ב-</w:t>
      </w:r>
      <w:r w:rsidR="00775F0E" w:rsidRPr="0004711E">
        <w:rPr>
          <w:rFonts w:cs="David" w:hint="cs"/>
          <w:sz w:val="28"/>
          <w:szCs w:val="28"/>
        </w:rPr>
        <w:t>UPR</w:t>
      </w:r>
      <w:r w:rsidR="00123853" w:rsidRPr="0004711E">
        <w:rPr>
          <w:rFonts w:cs="David" w:hint="cs"/>
          <w:sz w:val="28"/>
          <w:szCs w:val="28"/>
          <w:rtl/>
        </w:rPr>
        <w:t xml:space="preserve"> וחידוש קשריה עם מועצת זכויות האדם</w:t>
      </w:r>
      <w:r w:rsidR="00775F0E" w:rsidRPr="0004711E">
        <w:rPr>
          <w:rFonts w:cs="David" w:hint="cs"/>
          <w:sz w:val="28"/>
          <w:szCs w:val="28"/>
          <w:rtl/>
        </w:rPr>
        <w:t xml:space="preserve">, תצטרף ישראל לקבוצת </w:t>
      </w:r>
      <w:r w:rsidR="00775F0E" w:rsidRPr="0004711E">
        <w:rPr>
          <w:rFonts w:cs="David" w:hint="cs"/>
          <w:sz w:val="28"/>
          <w:szCs w:val="28"/>
        </w:rPr>
        <w:t>WEOG</w:t>
      </w:r>
      <w:r w:rsidR="00775F0E" w:rsidRPr="0004711E">
        <w:rPr>
          <w:rFonts w:cs="David" w:hint="cs"/>
          <w:sz w:val="28"/>
          <w:szCs w:val="28"/>
          <w:rtl/>
        </w:rPr>
        <w:t xml:space="preserve"> בג'נבה</w:t>
      </w:r>
      <w:r w:rsidR="00DC30CC" w:rsidRPr="0004711E">
        <w:rPr>
          <w:rFonts w:cs="David" w:hint="cs"/>
          <w:sz w:val="28"/>
          <w:szCs w:val="28"/>
          <w:rtl/>
        </w:rPr>
        <w:t xml:space="preserve"> (מה ש</w:t>
      </w:r>
      <w:r w:rsidR="00775F0E" w:rsidRPr="0004711E">
        <w:rPr>
          <w:rFonts w:cs="David" w:hint="cs"/>
          <w:sz w:val="28"/>
          <w:szCs w:val="28"/>
          <w:rtl/>
        </w:rPr>
        <w:t>י</w:t>
      </w:r>
      <w:r w:rsidR="00DC30CC" w:rsidRPr="0004711E">
        <w:rPr>
          <w:rFonts w:cs="David" w:hint="cs"/>
          <w:sz w:val="28"/>
          <w:szCs w:val="28"/>
          <w:rtl/>
        </w:rPr>
        <w:t xml:space="preserve">אפשר </w:t>
      </w:r>
      <w:r w:rsidR="00775F0E" w:rsidRPr="0004711E">
        <w:rPr>
          <w:rFonts w:cs="David" w:hint="cs"/>
          <w:sz w:val="28"/>
          <w:szCs w:val="28"/>
          <w:rtl/>
        </w:rPr>
        <w:t xml:space="preserve">לה </w:t>
      </w:r>
      <w:r w:rsidR="00DC30CC" w:rsidRPr="0004711E">
        <w:rPr>
          <w:rFonts w:cs="David" w:hint="cs"/>
          <w:sz w:val="28"/>
          <w:szCs w:val="28"/>
          <w:rtl/>
        </w:rPr>
        <w:t>שיח עם אישים של האו"ם, קבלת מידע, חברות במועצה מטעם הקבוצה וכו')</w:t>
      </w:r>
      <w:r w:rsidR="00775F0E" w:rsidRPr="0004711E">
        <w:rPr>
          <w:rFonts w:cs="David" w:hint="cs"/>
          <w:sz w:val="28"/>
          <w:szCs w:val="28"/>
          <w:rtl/>
        </w:rPr>
        <w:t>.</w:t>
      </w:r>
      <w:r w:rsidR="00DC30CC" w:rsidRPr="0004711E">
        <w:rPr>
          <w:rFonts w:cs="David" w:hint="cs"/>
          <w:sz w:val="28"/>
          <w:szCs w:val="28"/>
          <w:rtl/>
        </w:rPr>
        <w:t xml:space="preserve"> </w:t>
      </w:r>
      <w:r w:rsidR="00775F0E" w:rsidRPr="0004711E">
        <w:rPr>
          <w:rFonts w:cs="David" w:hint="cs"/>
          <w:sz w:val="28"/>
          <w:szCs w:val="28"/>
          <w:rtl/>
        </w:rPr>
        <w:t xml:space="preserve">כן הסכימו </w:t>
      </w:r>
      <w:r w:rsidR="00DC30CC" w:rsidRPr="0004711E">
        <w:rPr>
          <w:rFonts w:cs="David" w:hint="cs"/>
          <w:sz w:val="28"/>
          <w:szCs w:val="28"/>
          <w:rtl/>
        </w:rPr>
        <w:t xml:space="preserve">מדינות </w:t>
      </w:r>
      <w:r w:rsidR="00775F0E" w:rsidRPr="0004711E">
        <w:rPr>
          <w:rFonts w:cs="David" w:hint="cs"/>
          <w:sz w:val="28"/>
          <w:szCs w:val="28"/>
          <w:rtl/>
        </w:rPr>
        <w:t xml:space="preserve">מערב אירופה </w:t>
      </w:r>
      <w:r w:rsidR="00DC30CC" w:rsidRPr="0004711E">
        <w:rPr>
          <w:rFonts w:cs="David" w:hint="cs"/>
          <w:sz w:val="28"/>
          <w:szCs w:val="28"/>
          <w:rtl/>
        </w:rPr>
        <w:t>שלא להתבטא במסגרת הדיונים הנוגעים לסעיף 7 ב</w:t>
      </w:r>
      <w:r w:rsidR="00775F0E" w:rsidRPr="0004711E">
        <w:rPr>
          <w:rFonts w:cs="David" w:hint="cs"/>
          <w:sz w:val="28"/>
          <w:szCs w:val="28"/>
          <w:rtl/>
        </w:rPr>
        <w:t xml:space="preserve">מצע </w:t>
      </w:r>
      <w:r w:rsidR="00DC30CC" w:rsidRPr="0004711E">
        <w:rPr>
          <w:rFonts w:cs="David" w:hint="cs"/>
          <w:sz w:val="28"/>
          <w:szCs w:val="28"/>
          <w:rtl/>
        </w:rPr>
        <w:t xml:space="preserve">של המועצה במשך </w:t>
      </w:r>
      <w:r w:rsidR="00775F0E" w:rsidRPr="0004711E">
        <w:rPr>
          <w:rFonts w:cs="David" w:hint="cs"/>
          <w:sz w:val="28"/>
          <w:szCs w:val="28"/>
          <w:rtl/>
        </w:rPr>
        <w:t xml:space="preserve">כמה </w:t>
      </w:r>
      <w:r w:rsidR="00DC30CC" w:rsidRPr="0004711E">
        <w:rPr>
          <w:rFonts w:cs="David" w:hint="cs"/>
          <w:sz w:val="28"/>
          <w:szCs w:val="28"/>
          <w:rtl/>
        </w:rPr>
        <w:t>מושבים</w:t>
      </w:r>
      <w:r w:rsidR="00775F0E" w:rsidRPr="0004711E">
        <w:rPr>
          <w:rFonts w:cs="David" w:hint="cs"/>
          <w:sz w:val="28"/>
          <w:szCs w:val="28"/>
          <w:rtl/>
        </w:rPr>
        <w:t>, מה שיהפוך את המושבים הללו לחסרי תוכן</w:t>
      </w:r>
      <w:r w:rsidR="00775F0E" w:rsidRPr="0004711E">
        <w:rPr>
          <w:rStyle w:val="a7"/>
          <w:rFonts w:cs="David"/>
          <w:sz w:val="28"/>
          <w:szCs w:val="28"/>
          <w:rtl/>
        </w:rPr>
        <w:footnoteReference w:id="169"/>
      </w:r>
      <w:r w:rsidR="00DC30CC" w:rsidRPr="0004711E">
        <w:rPr>
          <w:rFonts w:cs="David" w:hint="cs"/>
          <w:sz w:val="28"/>
          <w:szCs w:val="28"/>
          <w:rtl/>
        </w:rPr>
        <w:t xml:space="preserve">. </w:t>
      </w:r>
      <w:r w:rsidR="00123853" w:rsidRPr="0004711E">
        <w:rPr>
          <w:rFonts w:cs="David" w:hint="cs"/>
          <w:sz w:val="28"/>
          <w:szCs w:val="28"/>
          <w:rtl/>
        </w:rPr>
        <w:t xml:space="preserve">ואכן, החל מיום 01.01.14 חברה ישראל בקבוצת </w:t>
      </w:r>
      <w:r w:rsidR="00123853" w:rsidRPr="0004711E">
        <w:rPr>
          <w:rFonts w:cs="David" w:hint="cs"/>
          <w:sz w:val="28"/>
          <w:szCs w:val="28"/>
        </w:rPr>
        <w:t>WEOG</w:t>
      </w:r>
      <w:r w:rsidR="00123853" w:rsidRPr="0004711E">
        <w:rPr>
          <w:rFonts w:cs="David" w:hint="cs"/>
          <w:sz w:val="28"/>
          <w:szCs w:val="28"/>
          <w:rtl/>
        </w:rPr>
        <w:t xml:space="preserve"> בג'נבה.</w:t>
      </w:r>
    </w:p>
    <w:p w:rsidR="00775F0E" w:rsidRPr="0004711E" w:rsidRDefault="00775F0E" w:rsidP="008B316C">
      <w:pPr>
        <w:spacing w:after="0" w:line="360" w:lineRule="auto"/>
        <w:jc w:val="both"/>
        <w:rPr>
          <w:rFonts w:cs="David"/>
          <w:sz w:val="28"/>
          <w:szCs w:val="28"/>
          <w:rtl/>
        </w:rPr>
      </w:pPr>
    </w:p>
    <w:p w:rsidR="00733E8D" w:rsidRPr="0004711E" w:rsidRDefault="00183268" w:rsidP="007A43E8">
      <w:pPr>
        <w:spacing w:after="0" w:line="360" w:lineRule="auto"/>
        <w:jc w:val="both"/>
        <w:rPr>
          <w:rFonts w:cs="David"/>
          <w:sz w:val="28"/>
          <w:szCs w:val="28"/>
          <w:rtl/>
        </w:rPr>
      </w:pPr>
      <w:r w:rsidRPr="0004711E">
        <w:rPr>
          <w:rFonts w:cs="David" w:hint="cs"/>
          <w:sz w:val="28"/>
          <w:szCs w:val="28"/>
          <w:rtl/>
        </w:rPr>
        <w:t xml:space="preserve">לפיכך, נקל לראות כי הגוף שמינה את מרבית ועדות החקירה בעניינה של ישראל, המועצה לזכויות האדם, הוא גוף פוליטי ומוטה מאוד כנגד ישראל. </w:t>
      </w:r>
      <w:r w:rsidR="00944B66" w:rsidRPr="0004711E">
        <w:rPr>
          <w:rFonts w:cs="David" w:hint="cs"/>
          <w:sz w:val="28"/>
          <w:szCs w:val="28"/>
          <w:rtl/>
        </w:rPr>
        <w:t xml:space="preserve">בדרך כלל יכול </w:t>
      </w:r>
      <w:r w:rsidR="007A43E8">
        <w:rPr>
          <w:rFonts w:cs="David" w:hint="cs"/>
          <w:sz w:val="28"/>
          <w:szCs w:val="28"/>
          <w:rtl/>
        </w:rPr>
        <w:t xml:space="preserve">הדבר </w:t>
      </w:r>
      <w:r w:rsidR="00944B66" w:rsidRPr="0004711E">
        <w:rPr>
          <w:rFonts w:cs="David" w:hint="cs"/>
          <w:sz w:val="28"/>
          <w:szCs w:val="28"/>
          <w:rtl/>
        </w:rPr>
        <w:t xml:space="preserve">להעיד גם על המוטיבציה של הגוף הזה למנות </w:t>
      </w:r>
      <w:r w:rsidR="009F6ED1">
        <w:rPr>
          <w:rFonts w:cs="David" w:hint="cs"/>
          <w:sz w:val="28"/>
          <w:szCs w:val="28"/>
          <w:rtl/>
        </w:rPr>
        <w:t xml:space="preserve">ועדות חקירה </w:t>
      </w:r>
      <w:r w:rsidR="00944B66" w:rsidRPr="0004711E">
        <w:rPr>
          <w:rFonts w:cs="David" w:hint="cs"/>
          <w:sz w:val="28"/>
          <w:szCs w:val="28"/>
          <w:rtl/>
        </w:rPr>
        <w:t xml:space="preserve">שיעסקו בעניינה של ישראל. </w:t>
      </w:r>
      <w:r w:rsidR="00733E8D" w:rsidRPr="0004711E">
        <w:rPr>
          <w:rFonts w:cs="David" w:hint="cs"/>
          <w:sz w:val="28"/>
          <w:szCs w:val="28"/>
          <w:rtl/>
        </w:rPr>
        <w:t xml:space="preserve">כך, לדוגמה, כל ועדות החקירה של מועצת זכויות האדם מונו מייד אחרי האירוע, ולא אחת כשהאירוע עדיין בשיאו, וזאת למרות שההעדפה בשיטה הבינלאומית היא לאפשר למדינה לחקור בעצמה, לפני פתיחה בחקירה בינלאומית. יש ברכיב הזה, של מועד הפתיחה בחקירה בטרם הסתיימה חקירת המדינה הנוגעת בדבר, כדי להעיד על מוטיבציה </w:t>
      </w:r>
      <w:r w:rsidR="00AD386D" w:rsidRPr="0004711E">
        <w:rPr>
          <w:rFonts w:cs="David" w:hint="cs"/>
          <w:sz w:val="28"/>
          <w:szCs w:val="28"/>
          <w:rtl/>
        </w:rPr>
        <w:t>פוליטית ולא עניינית לחקירה. עיון ברשימת המדינות</w:t>
      </w:r>
      <w:r w:rsidR="007A43E8">
        <w:rPr>
          <w:rFonts w:cs="David" w:hint="cs"/>
          <w:sz w:val="28"/>
          <w:szCs w:val="28"/>
          <w:rtl/>
        </w:rPr>
        <w:t>,</w:t>
      </w:r>
      <w:r w:rsidR="00AD386D" w:rsidRPr="0004711E">
        <w:rPr>
          <w:rFonts w:cs="David" w:hint="cs"/>
          <w:sz w:val="28"/>
          <w:szCs w:val="28"/>
          <w:rtl/>
        </w:rPr>
        <w:t xml:space="preserve"> שכנגדן פתחה המועצה בחקירה</w:t>
      </w:r>
      <w:r w:rsidR="007A43E8">
        <w:rPr>
          <w:rFonts w:cs="David" w:hint="cs"/>
          <w:sz w:val="28"/>
          <w:szCs w:val="28"/>
          <w:rtl/>
        </w:rPr>
        <w:t>,</w:t>
      </w:r>
      <w:r w:rsidR="00AD386D" w:rsidRPr="0004711E">
        <w:rPr>
          <w:rFonts w:cs="David" w:hint="cs"/>
          <w:sz w:val="28"/>
          <w:szCs w:val="28"/>
          <w:rtl/>
        </w:rPr>
        <w:t xml:space="preserve"> מעיד על כך שבדרך כלל ייחקרו רק מדינות חלשות פוליטית.</w:t>
      </w:r>
    </w:p>
    <w:p w:rsidR="00733E8D" w:rsidRPr="0004711E" w:rsidRDefault="00733E8D" w:rsidP="008B316C">
      <w:pPr>
        <w:spacing w:after="0" w:line="360" w:lineRule="auto"/>
        <w:jc w:val="both"/>
        <w:rPr>
          <w:rFonts w:cs="David"/>
          <w:sz w:val="28"/>
          <w:szCs w:val="28"/>
          <w:rtl/>
        </w:rPr>
      </w:pPr>
    </w:p>
    <w:p w:rsidR="00183268" w:rsidRPr="0004711E" w:rsidRDefault="00183268" w:rsidP="007A43E8">
      <w:pPr>
        <w:spacing w:after="0" w:line="360" w:lineRule="auto"/>
        <w:jc w:val="both"/>
        <w:rPr>
          <w:rFonts w:cs="David"/>
          <w:sz w:val="28"/>
          <w:szCs w:val="28"/>
          <w:rtl/>
        </w:rPr>
      </w:pPr>
      <w:r w:rsidRPr="0004711E">
        <w:rPr>
          <w:rFonts w:cs="David" w:hint="cs"/>
          <w:sz w:val="28"/>
          <w:szCs w:val="28"/>
          <w:rtl/>
        </w:rPr>
        <w:t xml:space="preserve">בדומה למועצה, גם </w:t>
      </w:r>
      <w:r w:rsidRPr="0004711E">
        <w:rPr>
          <w:rFonts w:cs="David" w:hint="cs"/>
          <w:b/>
          <w:bCs/>
          <w:sz w:val="28"/>
          <w:szCs w:val="28"/>
          <w:rtl/>
        </w:rPr>
        <w:t>העצרת הכללית של האו"ם</w:t>
      </w:r>
      <w:r w:rsidR="00944B66" w:rsidRPr="0004711E">
        <w:rPr>
          <w:rFonts w:cs="David" w:hint="cs"/>
          <w:sz w:val="28"/>
          <w:szCs w:val="28"/>
          <w:rtl/>
        </w:rPr>
        <w:t>, לה כפופה המועצה,</w:t>
      </w:r>
      <w:r w:rsidRPr="0004711E">
        <w:rPr>
          <w:rFonts w:cs="David" w:hint="cs"/>
          <w:sz w:val="28"/>
          <w:szCs w:val="28"/>
          <w:rtl/>
        </w:rPr>
        <w:t xml:space="preserve"> היא גוף שיש בו רוב פוליטי אוטומטי כנגד ישראל, ושגם המוטיבציה שלה כנגד ישראל מוטה באופן חריג. </w:t>
      </w:r>
      <w:r w:rsidR="00944B66" w:rsidRPr="0004711E">
        <w:rPr>
          <w:rFonts w:cs="David" w:hint="cs"/>
          <w:sz w:val="28"/>
          <w:szCs w:val="28"/>
          <w:rtl/>
        </w:rPr>
        <w:t xml:space="preserve">כך, לדוגמה, במושב ה-70 של העצרת הכללית התקבלו </w:t>
      </w:r>
      <w:r w:rsidR="007A43E8">
        <w:rPr>
          <w:rFonts w:cs="David" w:hint="cs"/>
          <w:sz w:val="28"/>
          <w:szCs w:val="28"/>
          <w:rtl/>
        </w:rPr>
        <w:t>עשרים</w:t>
      </w:r>
      <w:r w:rsidR="007A43E8" w:rsidRPr="0004711E">
        <w:rPr>
          <w:rFonts w:cs="David" w:hint="cs"/>
          <w:sz w:val="28"/>
          <w:szCs w:val="28"/>
          <w:rtl/>
        </w:rPr>
        <w:t xml:space="preserve"> </w:t>
      </w:r>
      <w:r w:rsidR="00944B66" w:rsidRPr="0004711E">
        <w:rPr>
          <w:rFonts w:cs="David" w:hint="cs"/>
          <w:sz w:val="28"/>
          <w:szCs w:val="28"/>
          <w:rtl/>
        </w:rPr>
        <w:t xml:space="preserve">החלטות </w:t>
      </w:r>
      <w:r w:rsidR="00944B66" w:rsidRPr="0004711E">
        <w:rPr>
          <w:rFonts w:cs="David" w:hint="cs"/>
          <w:sz w:val="28"/>
          <w:szCs w:val="28"/>
          <w:rtl/>
        </w:rPr>
        <w:lastRenderedPageBreak/>
        <w:t xml:space="preserve">המבקרות את ישראל, לעומת </w:t>
      </w:r>
      <w:r w:rsidR="007A43E8">
        <w:rPr>
          <w:rFonts w:cs="David" w:hint="cs"/>
          <w:sz w:val="28"/>
          <w:szCs w:val="28"/>
          <w:rtl/>
        </w:rPr>
        <w:t>שלוש</w:t>
      </w:r>
      <w:r w:rsidR="007A43E8" w:rsidRPr="0004711E">
        <w:rPr>
          <w:rFonts w:cs="David" w:hint="cs"/>
          <w:sz w:val="28"/>
          <w:szCs w:val="28"/>
          <w:rtl/>
        </w:rPr>
        <w:t xml:space="preserve"> </w:t>
      </w:r>
      <w:r w:rsidR="00944B66" w:rsidRPr="0004711E">
        <w:rPr>
          <w:rFonts w:cs="David" w:hint="cs"/>
          <w:sz w:val="28"/>
          <w:szCs w:val="28"/>
          <w:rtl/>
        </w:rPr>
        <w:t>החלטות כנגד מדינות אחרות בעולם (איראן, סוריה וצפון קוריאה)</w:t>
      </w:r>
      <w:r w:rsidR="00944B66" w:rsidRPr="0004711E">
        <w:rPr>
          <w:rStyle w:val="a7"/>
          <w:rFonts w:cs="David"/>
          <w:sz w:val="28"/>
          <w:szCs w:val="28"/>
          <w:rtl/>
        </w:rPr>
        <w:footnoteReference w:id="170"/>
      </w:r>
      <w:r w:rsidR="00944B66" w:rsidRPr="0004711E">
        <w:rPr>
          <w:rFonts w:cs="David" w:hint="cs"/>
          <w:sz w:val="28"/>
          <w:szCs w:val="28"/>
          <w:rtl/>
        </w:rPr>
        <w:t xml:space="preserve">. גם </w:t>
      </w:r>
      <w:r w:rsidR="009F6ED1">
        <w:rPr>
          <w:rFonts w:cs="David" w:hint="cs"/>
          <w:sz w:val="28"/>
          <w:szCs w:val="28"/>
          <w:rtl/>
        </w:rPr>
        <w:t xml:space="preserve">ועדות חקירה </w:t>
      </w:r>
      <w:r w:rsidR="00944B66" w:rsidRPr="0004711E">
        <w:rPr>
          <w:rFonts w:cs="David" w:hint="cs"/>
          <w:sz w:val="28"/>
          <w:szCs w:val="28"/>
          <w:rtl/>
        </w:rPr>
        <w:t>שימונו</w:t>
      </w:r>
      <w:r w:rsidR="00692192">
        <w:rPr>
          <w:rFonts w:cs="David" w:hint="cs"/>
          <w:sz w:val="28"/>
          <w:szCs w:val="28"/>
          <w:rtl/>
        </w:rPr>
        <w:t xml:space="preserve"> על ידי </w:t>
      </w:r>
      <w:r w:rsidR="00944B66" w:rsidRPr="0004711E">
        <w:rPr>
          <w:rFonts w:cs="David" w:hint="cs"/>
          <w:sz w:val="28"/>
          <w:szCs w:val="28"/>
          <w:rtl/>
        </w:rPr>
        <w:t>העצרת, ככל שימונו, יבואו לעולם בדרך כלל מתוך מוטיבציה פוליטית כנגד ישראל.</w:t>
      </w:r>
    </w:p>
    <w:p w:rsidR="00944B66" w:rsidRPr="0004711E" w:rsidRDefault="00944B66" w:rsidP="008B316C">
      <w:pPr>
        <w:spacing w:after="0" w:line="360" w:lineRule="auto"/>
        <w:jc w:val="both"/>
        <w:rPr>
          <w:rFonts w:cs="David"/>
          <w:sz w:val="28"/>
          <w:szCs w:val="28"/>
          <w:rtl/>
        </w:rPr>
      </w:pPr>
    </w:p>
    <w:p w:rsidR="009E6DCE" w:rsidRPr="0004711E" w:rsidRDefault="00247034" w:rsidP="007A43E8">
      <w:pPr>
        <w:spacing w:after="0" w:line="360" w:lineRule="auto"/>
        <w:jc w:val="both"/>
        <w:rPr>
          <w:rFonts w:cs="David"/>
          <w:sz w:val="28"/>
          <w:szCs w:val="28"/>
          <w:rtl/>
        </w:rPr>
      </w:pPr>
      <w:r w:rsidRPr="0004711E">
        <w:rPr>
          <w:rFonts w:cs="David" w:hint="cs"/>
          <w:sz w:val="28"/>
          <w:szCs w:val="28"/>
          <w:rtl/>
        </w:rPr>
        <w:t>ובכן נשאלת השאלה</w:t>
      </w:r>
      <w:r w:rsidR="007A43E8">
        <w:rPr>
          <w:rFonts w:cs="David" w:hint="cs"/>
          <w:sz w:val="28"/>
          <w:szCs w:val="28"/>
          <w:rtl/>
        </w:rPr>
        <w:t>:</w:t>
      </w:r>
      <w:r w:rsidRPr="0004711E">
        <w:rPr>
          <w:rFonts w:cs="David" w:hint="cs"/>
          <w:sz w:val="28"/>
          <w:szCs w:val="28"/>
          <w:rtl/>
        </w:rPr>
        <w:t xml:space="preserve"> איזה משקל צריך לתת ל</w:t>
      </w:r>
      <w:r w:rsidR="009E6DCE" w:rsidRPr="0004711E">
        <w:rPr>
          <w:rFonts w:cs="David" w:hint="cs"/>
          <w:sz w:val="28"/>
          <w:szCs w:val="28"/>
          <w:rtl/>
        </w:rPr>
        <w:t>זהות ה</w:t>
      </w:r>
      <w:r w:rsidRPr="0004711E">
        <w:rPr>
          <w:rFonts w:cs="David" w:hint="cs"/>
          <w:sz w:val="28"/>
          <w:szCs w:val="28"/>
          <w:rtl/>
        </w:rPr>
        <w:t xml:space="preserve">גוף </w:t>
      </w:r>
      <w:r w:rsidR="009E6DCE" w:rsidRPr="0004711E">
        <w:rPr>
          <w:rFonts w:cs="David" w:hint="cs"/>
          <w:sz w:val="28"/>
          <w:szCs w:val="28"/>
          <w:rtl/>
        </w:rPr>
        <w:t>ש</w:t>
      </w:r>
      <w:r w:rsidRPr="0004711E">
        <w:rPr>
          <w:rFonts w:cs="David" w:hint="cs"/>
          <w:sz w:val="28"/>
          <w:szCs w:val="28"/>
          <w:rtl/>
        </w:rPr>
        <w:t xml:space="preserve">מינה את </w:t>
      </w:r>
      <w:r w:rsidR="009C039C">
        <w:rPr>
          <w:rFonts w:cs="David" w:hint="cs"/>
          <w:sz w:val="28"/>
          <w:szCs w:val="28"/>
          <w:rtl/>
        </w:rPr>
        <w:t>ועדת החקירה</w:t>
      </w:r>
      <w:r w:rsidRPr="0004711E">
        <w:rPr>
          <w:rFonts w:cs="David" w:hint="cs"/>
          <w:sz w:val="28"/>
          <w:szCs w:val="28"/>
          <w:rtl/>
        </w:rPr>
        <w:t xml:space="preserve"> שבוחן את עניינה של ישראל</w:t>
      </w:r>
      <w:r w:rsidR="007A43E8">
        <w:rPr>
          <w:rFonts w:cs="David" w:hint="cs"/>
          <w:sz w:val="28"/>
          <w:szCs w:val="28"/>
          <w:rtl/>
        </w:rPr>
        <w:t>?</w:t>
      </w:r>
      <w:r w:rsidRPr="0004711E">
        <w:rPr>
          <w:rFonts w:cs="David" w:hint="cs"/>
          <w:sz w:val="28"/>
          <w:szCs w:val="28"/>
          <w:rtl/>
        </w:rPr>
        <w:t xml:space="preserve"> רכיב אחד שיש לבחון נוגע ללגיטימציה הבינלאומית שממנה נהנה הגוף ולשאלה אם הוא פועל על סמך מניעים פוליטיים או אובייקטיביים. </w:t>
      </w:r>
      <w:r w:rsidR="00591141" w:rsidRPr="0004711E">
        <w:rPr>
          <w:rFonts w:cs="David" w:hint="cs"/>
          <w:sz w:val="28"/>
          <w:szCs w:val="28"/>
          <w:rtl/>
        </w:rPr>
        <w:t>יש מתח מובנה בין רצו</w:t>
      </w:r>
      <w:r w:rsidR="007A43E8">
        <w:rPr>
          <w:rFonts w:cs="David" w:hint="cs"/>
          <w:sz w:val="28"/>
          <w:szCs w:val="28"/>
          <w:rtl/>
        </w:rPr>
        <w:t>נה</w:t>
      </w:r>
      <w:r w:rsidR="00591141" w:rsidRPr="0004711E">
        <w:rPr>
          <w:rFonts w:cs="David" w:hint="cs"/>
          <w:sz w:val="28"/>
          <w:szCs w:val="28"/>
          <w:rtl/>
        </w:rPr>
        <w:t xml:space="preserve"> של ישראל לפרוש את טיעוניה כדי להשפיע על דרך תיאור הנרטיב</w:t>
      </w:r>
      <w:r w:rsidR="00692192">
        <w:rPr>
          <w:rFonts w:cs="David" w:hint="cs"/>
          <w:sz w:val="28"/>
          <w:szCs w:val="28"/>
          <w:rtl/>
        </w:rPr>
        <w:t xml:space="preserve"> על ידי </w:t>
      </w:r>
      <w:r w:rsidR="009C039C">
        <w:rPr>
          <w:rFonts w:cs="David" w:hint="cs"/>
          <w:sz w:val="28"/>
          <w:szCs w:val="28"/>
          <w:rtl/>
        </w:rPr>
        <w:t>ועדת החקירה</w:t>
      </w:r>
      <w:r w:rsidR="00591141" w:rsidRPr="0004711E">
        <w:rPr>
          <w:rFonts w:cs="David" w:hint="cs"/>
          <w:sz w:val="28"/>
          <w:szCs w:val="28"/>
          <w:rtl/>
        </w:rPr>
        <w:t xml:space="preserve"> ועל מסקנותיו והמלצותיו, לבין מתן לגיטימציה לגוף שמינה את </w:t>
      </w:r>
      <w:r w:rsidR="001165FD">
        <w:rPr>
          <w:rFonts w:cs="David" w:hint="cs"/>
          <w:sz w:val="28"/>
          <w:szCs w:val="28"/>
          <w:rtl/>
        </w:rPr>
        <w:t>הוועדה</w:t>
      </w:r>
      <w:r w:rsidR="00591141" w:rsidRPr="0004711E">
        <w:rPr>
          <w:rFonts w:cs="David" w:hint="cs"/>
          <w:sz w:val="28"/>
          <w:szCs w:val="28"/>
          <w:rtl/>
        </w:rPr>
        <w:t>, ש</w:t>
      </w:r>
      <w:r w:rsidR="009E6DCE" w:rsidRPr="0004711E">
        <w:rPr>
          <w:rFonts w:cs="David" w:hint="cs"/>
          <w:sz w:val="28"/>
          <w:szCs w:val="28"/>
          <w:rtl/>
        </w:rPr>
        <w:t xml:space="preserve">לעיתים </w:t>
      </w:r>
      <w:r w:rsidR="00591141" w:rsidRPr="0004711E">
        <w:rPr>
          <w:rFonts w:cs="David" w:hint="cs"/>
          <w:sz w:val="28"/>
          <w:szCs w:val="28"/>
          <w:rtl/>
        </w:rPr>
        <w:t>אינו ראוי ללגיטימציה כזו מטעמי</w:t>
      </w:r>
      <w:r w:rsidR="009E6DCE" w:rsidRPr="0004711E">
        <w:rPr>
          <w:rFonts w:cs="David" w:hint="cs"/>
          <w:sz w:val="28"/>
          <w:szCs w:val="28"/>
          <w:rtl/>
        </w:rPr>
        <w:t xml:space="preserve"> משוא פנים והטיה פוליטית</w:t>
      </w:r>
      <w:r w:rsidR="00591141" w:rsidRPr="0004711E">
        <w:rPr>
          <w:rFonts w:cs="David" w:hint="cs"/>
          <w:sz w:val="28"/>
          <w:szCs w:val="28"/>
          <w:rtl/>
        </w:rPr>
        <w:t>. יהיו מקרי קיצון, בהם לגוף הממנה אין כל לגיטימציה לקיים את הבדיקה וההטיה שלו היא כה ברורה, עד כי אין אפילו התלבטות באשר לשאלת שיתוף הפעולה עמו, וברור שהתשובה לכך היא בשלילה. דוגמאות לכך יכולות להיות "טריבונאל ראסל על פלסטין"</w:t>
      </w:r>
      <w:r w:rsidR="00591141" w:rsidRPr="0004711E">
        <w:rPr>
          <w:rStyle w:val="a7"/>
          <w:rFonts w:cs="David"/>
          <w:sz w:val="28"/>
          <w:szCs w:val="28"/>
          <w:rtl/>
        </w:rPr>
        <w:footnoteReference w:id="171"/>
      </w:r>
      <w:r w:rsidR="00591141" w:rsidRPr="0004711E">
        <w:rPr>
          <w:rFonts w:cs="David" w:hint="cs"/>
          <w:sz w:val="28"/>
          <w:szCs w:val="28"/>
          <w:rtl/>
        </w:rPr>
        <w:t xml:space="preserve"> או הליגה הערבית</w:t>
      </w:r>
      <w:r w:rsidR="00591141" w:rsidRPr="0004711E">
        <w:rPr>
          <w:rStyle w:val="a7"/>
          <w:rFonts w:cs="David"/>
          <w:sz w:val="28"/>
          <w:szCs w:val="28"/>
          <w:rtl/>
        </w:rPr>
        <w:footnoteReference w:id="172"/>
      </w:r>
      <w:r w:rsidR="00591141" w:rsidRPr="0004711E">
        <w:rPr>
          <w:rFonts w:cs="David" w:hint="cs"/>
          <w:sz w:val="28"/>
          <w:szCs w:val="28"/>
          <w:rtl/>
        </w:rPr>
        <w:t xml:space="preserve">. עם זאת, ישנם מקרים שמעוררים התלבטות גדולה יותר. כך, לדוגמה, </w:t>
      </w:r>
      <w:r w:rsidR="007A43E8">
        <w:rPr>
          <w:rFonts w:cs="David" w:hint="cs"/>
          <w:sz w:val="28"/>
          <w:szCs w:val="28"/>
          <w:rtl/>
        </w:rPr>
        <w:t>בכל הנוגע ל</w:t>
      </w:r>
      <w:r w:rsidR="00591141" w:rsidRPr="0004711E">
        <w:rPr>
          <w:rFonts w:cs="David" w:hint="cs"/>
          <w:sz w:val="28"/>
          <w:szCs w:val="28"/>
          <w:rtl/>
        </w:rPr>
        <w:t xml:space="preserve">מועצת זכויות האדם. </w:t>
      </w:r>
    </w:p>
    <w:p w:rsidR="009E6DCE" w:rsidRPr="0004711E" w:rsidRDefault="009E6DCE" w:rsidP="008B316C">
      <w:pPr>
        <w:spacing w:after="0" w:line="360" w:lineRule="auto"/>
        <w:jc w:val="both"/>
        <w:rPr>
          <w:rFonts w:cs="David"/>
          <w:sz w:val="28"/>
          <w:szCs w:val="28"/>
          <w:rtl/>
        </w:rPr>
      </w:pPr>
    </w:p>
    <w:p w:rsidR="00591141" w:rsidRPr="0004711E" w:rsidRDefault="00247034" w:rsidP="00BF4FE5">
      <w:pPr>
        <w:spacing w:after="0" w:line="360" w:lineRule="auto"/>
        <w:jc w:val="both"/>
        <w:rPr>
          <w:rFonts w:cs="David"/>
          <w:sz w:val="28"/>
          <w:szCs w:val="28"/>
          <w:rtl/>
        </w:rPr>
      </w:pPr>
      <w:r w:rsidRPr="0004711E">
        <w:rPr>
          <w:rFonts w:cs="David" w:hint="cs"/>
          <w:sz w:val="28"/>
          <w:szCs w:val="28"/>
          <w:rtl/>
        </w:rPr>
        <w:t xml:space="preserve">מרואיינים רבים הסכימו, שמועצת זכויות האדם היא גוף עם היסטוריה שמוכיחה הטיה כה ברורה נגד ישראל, שיכולה להיות לישראל לגיטימציה מלאה לא לשתף פעולה עם </w:t>
      </w:r>
      <w:r w:rsidR="0074404A">
        <w:rPr>
          <w:rFonts w:cs="David" w:hint="cs"/>
          <w:sz w:val="28"/>
          <w:szCs w:val="28"/>
          <w:rtl/>
        </w:rPr>
        <w:t>ועדות</w:t>
      </w:r>
      <w:r w:rsidRPr="0004711E">
        <w:rPr>
          <w:rFonts w:cs="David" w:hint="cs"/>
          <w:sz w:val="28"/>
          <w:szCs w:val="28"/>
          <w:rtl/>
        </w:rPr>
        <w:t xml:space="preserve"> שממונ</w:t>
      </w:r>
      <w:r w:rsidR="00BF4FE5">
        <w:rPr>
          <w:rFonts w:cs="David" w:hint="cs"/>
          <w:sz w:val="28"/>
          <w:szCs w:val="28"/>
          <w:rtl/>
        </w:rPr>
        <w:t>ות</w:t>
      </w:r>
      <w:r w:rsidRPr="0004711E">
        <w:rPr>
          <w:rFonts w:cs="David" w:hint="cs"/>
          <w:sz w:val="28"/>
          <w:szCs w:val="28"/>
          <w:rtl/>
        </w:rPr>
        <w:t xml:space="preserve"> על ידה (ייתכן שעמדה דומה הייתה מושמעת כלפי העצרת הכללית, אך מאחר שאינה נוהגת למנות </w:t>
      </w:r>
      <w:r w:rsidR="0074404A">
        <w:rPr>
          <w:rFonts w:cs="David" w:hint="cs"/>
          <w:sz w:val="28"/>
          <w:szCs w:val="28"/>
          <w:rtl/>
        </w:rPr>
        <w:t>ועדות</w:t>
      </w:r>
      <w:r w:rsidRPr="0004711E">
        <w:rPr>
          <w:rFonts w:cs="David" w:hint="cs"/>
          <w:sz w:val="28"/>
          <w:szCs w:val="28"/>
          <w:rtl/>
        </w:rPr>
        <w:t xml:space="preserve"> כאלה, אין צורך לדון בעניין). </w:t>
      </w:r>
      <w:r w:rsidR="008F215E" w:rsidRPr="0004711E">
        <w:rPr>
          <w:rFonts w:cs="David" w:hint="cs"/>
          <w:sz w:val="28"/>
          <w:szCs w:val="28"/>
          <w:rtl/>
        </w:rPr>
        <w:t xml:space="preserve">חלקם סברו, שממילא שיתוף פעולה עם </w:t>
      </w:r>
      <w:r w:rsidR="009F6ED1">
        <w:rPr>
          <w:rFonts w:cs="David" w:hint="cs"/>
          <w:sz w:val="28"/>
          <w:szCs w:val="28"/>
          <w:rtl/>
        </w:rPr>
        <w:t xml:space="preserve">ועדות חקירה </w:t>
      </w:r>
      <w:r w:rsidR="008F215E" w:rsidRPr="0004711E">
        <w:rPr>
          <w:rFonts w:cs="David" w:hint="cs"/>
          <w:sz w:val="28"/>
          <w:szCs w:val="28"/>
          <w:rtl/>
        </w:rPr>
        <w:t xml:space="preserve">של המועצה </w:t>
      </w:r>
      <w:r w:rsidR="007A43E8">
        <w:rPr>
          <w:rFonts w:cs="David" w:hint="cs"/>
          <w:sz w:val="28"/>
          <w:szCs w:val="28"/>
          <w:rtl/>
        </w:rPr>
        <w:t>אינו</w:t>
      </w:r>
      <w:r w:rsidR="007A43E8" w:rsidRPr="0004711E">
        <w:rPr>
          <w:rFonts w:cs="David" w:hint="cs"/>
          <w:sz w:val="28"/>
          <w:szCs w:val="28"/>
          <w:rtl/>
        </w:rPr>
        <w:t xml:space="preserve"> </w:t>
      </w:r>
      <w:r w:rsidR="008F215E" w:rsidRPr="0004711E">
        <w:rPr>
          <w:rFonts w:cs="David" w:hint="cs"/>
          <w:sz w:val="28"/>
          <w:szCs w:val="28"/>
          <w:rtl/>
        </w:rPr>
        <w:t xml:space="preserve">יכול להועיל באופן משמעותי, ובמצב זה עדיף שלא לשתף פעולה ולשמר את </w:t>
      </w:r>
      <w:r w:rsidR="00250CD2" w:rsidRPr="0004711E">
        <w:rPr>
          <w:rFonts w:cs="David" w:hint="cs"/>
          <w:sz w:val="28"/>
          <w:szCs w:val="28"/>
          <w:rtl/>
        </w:rPr>
        <w:t xml:space="preserve">כבודה הלאומי של המדינה ואת </w:t>
      </w:r>
      <w:r w:rsidR="008F215E" w:rsidRPr="0004711E">
        <w:rPr>
          <w:rFonts w:cs="David" w:hint="cs"/>
          <w:sz w:val="28"/>
          <w:szCs w:val="28"/>
          <w:rtl/>
        </w:rPr>
        <w:t>טיעון חוסר הלגיטימציה של המועצה, ש</w:t>
      </w:r>
      <w:r w:rsidRPr="0004711E">
        <w:rPr>
          <w:rFonts w:cs="David" w:hint="cs"/>
          <w:sz w:val="28"/>
          <w:szCs w:val="28"/>
          <w:rtl/>
        </w:rPr>
        <w:t xml:space="preserve">לישראל יש כלים טובים </w:t>
      </w:r>
      <w:r w:rsidR="008F215E" w:rsidRPr="0004711E">
        <w:rPr>
          <w:rFonts w:cs="David" w:hint="cs"/>
          <w:sz w:val="28"/>
          <w:szCs w:val="28"/>
          <w:rtl/>
        </w:rPr>
        <w:t>להוכיח אותו</w:t>
      </w:r>
      <w:r w:rsidRPr="0004711E">
        <w:rPr>
          <w:rFonts w:cs="David" w:hint="cs"/>
          <w:sz w:val="28"/>
          <w:szCs w:val="28"/>
          <w:rtl/>
        </w:rPr>
        <w:t xml:space="preserve">. </w:t>
      </w:r>
      <w:r w:rsidR="003307C2">
        <w:rPr>
          <w:rFonts w:cs="David" w:hint="cs"/>
          <w:sz w:val="28"/>
          <w:szCs w:val="28"/>
          <w:rtl/>
        </w:rPr>
        <w:t xml:space="preserve">לאורך הזמן, סברו אותם מרואיינים, ככל שמרבים לשתף פעולה עם מועצת זכויות האדם באופן גלוי, נשחקת היכולת להסביר את מידת ההטיה שלה נגד ישראל ולהילחם בכך. </w:t>
      </w:r>
      <w:r w:rsidRPr="0004711E">
        <w:rPr>
          <w:rFonts w:cs="David" w:hint="cs"/>
          <w:sz w:val="28"/>
          <w:szCs w:val="28"/>
          <w:rtl/>
        </w:rPr>
        <w:t xml:space="preserve">היו שסברו, שלכל הפחות יכולה מדינת ישראל להודיע שלא תשתף פעולה עם כל הליך שנובע מסעיף 7 למצע הקבוע של המועצה, מאחר שזהו סעיף שערורייתי </w:t>
      </w:r>
      <w:r w:rsidR="00591141" w:rsidRPr="0004711E">
        <w:rPr>
          <w:rFonts w:cs="David" w:hint="cs"/>
          <w:sz w:val="28"/>
          <w:szCs w:val="28"/>
          <w:rtl/>
        </w:rPr>
        <w:t>במיוחד</w:t>
      </w:r>
      <w:r w:rsidR="007A43E8">
        <w:rPr>
          <w:rFonts w:cs="David" w:hint="cs"/>
          <w:sz w:val="28"/>
          <w:szCs w:val="28"/>
          <w:rtl/>
        </w:rPr>
        <w:t>,</w:t>
      </w:r>
      <w:r w:rsidR="00591141" w:rsidRPr="0004711E">
        <w:rPr>
          <w:rFonts w:cs="David" w:hint="cs"/>
          <w:sz w:val="28"/>
          <w:szCs w:val="28"/>
          <w:rtl/>
        </w:rPr>
        <w:t xml:space="preserve"> </w:t>
      </w:r>
      <w:r w:rsidRPr="0004711E">
        <w:rPr>
          <w:rFonts w:cs="David" w:hint="cs"/>
          <w:sz w:val="28"/>
          <w:szCs w:val="28"/>
          <w:rtl/>
        </w:rPr>
        <w:t xml:space="preserve">שמייחד ומפלה את ישראל ביחס לכל </w:t>
      </w:r>
      <w:r w:rsidR="007A43E8">
        <w:rPr>
          <w:rFonts w:cs="David" w:hint="cs"/>
          <w:sz w:val="28"/>
          <w:szCs w:val="28"/>
          <w:rtl/>
        </w:rPr>
        <w:t>שאר</w:t>
      </w:r>
      <w:r w:rsidR="007A43E8" w:rsidRPr="0004711E">
        <w:rPr>
          <w:rFonts w:cs="David" w:hint="cs"/>
          <w:sz w:val="28"/>
          <w:szCs w:val="28"/>
          <w:rtl/>
        </w:rPr>
        <w:t xml:space="preserve"> </w:t>
      </w:r>
      <w:r w:rsidRPr="0004711E">
        <w:rPr>
          <w:rFonts w:cs="David" w:hint="cs"/>
          <w:sz w:val="28"/>
          <w:szCs w:val="28"/>
          <w:rtl/>
        </w:rPr>
        <w:t xml:space="preserve">מדינות </w:t>
      </w:r>
      <w:r w:rsidRPr="0004711E">
        <w:rPr>
          <w:rFonts w:cs="David" w:hint="cs"/>
          <w:sz w:val="28"/>
          <w:szCs w:val="28"/>
          <w:rtl/>
        </w:rPr>
        <w:lastRenderedPageBreak/>
        <w:t xml:space="preserve">העולם. לפי דעה זו, </w:t>
      </w:r>
      <w:r w:rsidR="007A43E8" w:rsidRPr="0004711E">
        <w:rPr>
          <w:rFonts w:cs="David" w:hint="cs"/>
          <w:sz w:val="28"/>
          <w:szCs w:val="28"/>
          <w:rtl/>
        </w:rPr>
        <w:t xml:space="preserve">דורש </w:t>
      </w:r>
      <w:r w:rsidRPr="0004711E">
        <w:rPr>
          <w:rFonts w:cs="David" w:hint="cs"/>
          <w:sz w:val="28"/>
          <w:szCs w:val="28"/>
          <w:rtl/>
        </w:rPr>
        <w:t>הסעיף מחאה חריפה במיוחד מצדה של ישראל, עד שיבוטל.</w:t>
      </w:r>
      <w:r w:rsidR="00591141" w:rsidRPr="0004711E">
        <w:rPr>
          <w:rFonts w:cs="David" w:hint="cs"/>
          <w:sz w:val="28"/>
          <w:szCs w:val="28"/>
          <w:rtl/>
        </w:rPr>
        <w:t xml:space="preserve"> </w:t>
      </w:r>
    </w:p>
    <w:p w:rsidR="00591141" w:rsidRPr="0004711E" w:rsidRDefault="00591141" w:rsidP="008B316C">
      <w:pPr>
        <w:spacing w:after="0" w:line="360" w:lineRule="auto"/>
        <w:jc w:val="both"/>
        <w:rPr>
          <w:rFonts w:cs="David"/>
          <w:sz w:val="28"/>
          <w:szCs w:val="28"/>
          <w:rtl/>
        </w:rPr>
      </w:pPr>
    </w:p>
    <w:p w:rsidR="007675CE" w:rsidRPr="0004711E" w:rsidRDefault="00591141" w:rsidP="00BF4FE5">
      <w:pPr>
        <w:spacing w:after="0" w:line="360" w:lineRule="auto"/>
        <w:jc w:val="both"/>
        <w:rPr>
          <w:rFonts w:cs="David"/>
          <w:sz w:val="28"/>
          <w:szCs w:val="28"/>
          <w:rtl/>
        </w:rPr>
      </w:pPr>
      <w:r w:rsidRPr="0004711E">
        <w:rPr>
          <w:rFonts w:cs="David" w:hint="cs"/>
          <w:sz w:val="28"/>
          <w:szCs w:val="28"/>
          <w:rtl/>
        </w:rPr>
        <w:t>חלק אחר של המרואיינים השמיע דעה שונה, לפיה</w:t>
      </w:r>
      <w:r w:rsidR="006E09A9" w:rsidRPr="0004711E">
        <w:rPr>
          <w:rFonts w:cs="David" w:hint="cs"/>
          <w:sz w:val="28"/>
          <w:szCs w:val="28"/>
          <w:rtl/>
        </w:rPr>
        <w:t xml:space="preserve"> יש לתת משקל נמוך ל</w:t>
      </w:r>
      <w:r w:rsidRPr="0004711E">
        <w:rPr>
          <w:rFonts w:cs="David" w:hint="cs"/>
          <w:sz w:val="28"/>
          <w:szCs w:val="28"/>
          <w:rtl/>
        </w:rPr>
        <w:t xml:space="preserve">שיקול של מתן לגיטימציה לגוף הממנה. </w:t>
      </w:r>
      <w:r w:rsidR="006E09A9" w:rsidRPr="0004711E">
        <w:rPr>
          <w:rFonts w:cs="David" w:hint="cs"/>
          <w:sz w:val="28"/>
          <w:szCs w:val="28"/>
          <w:rtl/>
        </w:rPr>
        <w:t>כך, לדוגמה, נטען, ש</w:t>
      </w:r>
      <w:r w:rsidRPr="0004711E">
        <w:rPr>
          <w:rFonts w:cs="David" w:hint="cs"/>
          <w:sz w:val="28"/>
          <w:szCs w:val="28"/>
          <w:rtl/>
        </w:rPr>
        <w:t xml:space="preserve">אם </w:t>
      </w:r>
      <w:r w:rsidR="006E09A9" w:rsidRPr="0004711E">
        <w:rPr>
          <w:rFonts w:cs="David" w:hint="cs"/>
          <w:sz w:val="28"/>
          <w:szCs w:val="28"/>
          <w:rtl/>
        </w:rPr>
        <w:t xml:space="preserve">ימנו </w:t>
      </w:r>
      <w:r w:rsidRPr="0004711E">
        <w:rPr>
          <w:rFonts w:cs="David" w:hint="cs"/>
          <w:sz w:val="28"/>
          <w:szCs w:val="28"/>
          <w:rtl/>
        </w:rPr>
        <w:t>ל</w:t>
      </w:r>
      <w:r w:rsidR="006E09A9" w:rsidRPr="0004711E">
        <w:rPr>
          <w:rFonts w:cs="David" w:hint="cs"/>
          <w:sz w:val="28"/>
          <w:szCs w:val="28"/>
          <w:rtl/>
        </w:rPr>
        <w:t xml:space="preserve">ראשות </w:t>
      </w:r>
      <w:r w:rsidR="009C039C">
        <w:rPr>
          <w:rFonts w:cs="David" w:hint="cs"/>
          <w:sz w:val="28"/>
          <w:szCs w:val="28"/>
          <w:rtl/>
        </w:rPr>
        <w:t>ועדת החקירה</w:t>
      </w:r>
      <w:r w:rsidR="006E09A9" w:rsidRPr="0004711E">
        <w:rPr>
          <w:rFonts w:cs="David" w:hint="cs"/>
          <w:sz w:val="28"/>
          <w:szCs w:val="28"/>
          <w:rtl/>
        </w:rPr>
        <w:t xml:space="preserve"> </w:t>
      </w:r>
      <w:r w:rsidRPr="0004711E">
        <w:rPr>
          <w:rFonts w:cs="David" w:hint="cs"/>
          <w:sz w:val="28"/>
          <w:szCs w:val="28"/>
          <w:rtl/>
        </w:rPr>
        <w:t xml:space="preserve">אדם </w:t>
      </w:r>
      <w:r w:rsidR="006E09A9" w:rsidRPr="0004711E">
        <w:rPr>
          <w:rFonts w:cs="David" w:hint="cs"/>
          <w:sz w:val="28"/>
          <w:szCs w:val="28"/>
          <w:rtl/>
        </w:rPr>
        <w:t xml:space="preserve">ראוי </w:t>
      </w:r>
      <w:r w:rsidR="00AA14F0" w:rsidRPr="0004711E">
        <w:rPr>
          <w:rFonts w:cs="David" w:hint="cs"/>
          <w:sz w:val="28"/>
          <w:szCs w:val="28"/>
          <w:rtl/>
        </w:rPr>
        <w:t>ו</w:t>
      </w:r>
      <w:r w:rsidRPr="0004711E">
        <w:rPr>
          <w:rFonts w:cs="David" w:hint="cs"/>
          <w:sz w:val="28"/>
          <w:szCs w:val="28"/>
          <w:rtl/>
        </w:rPr>
        <w:t xml:space="preserve">הגון, הטיעון הכללי של מדינת ישראל כנגד מועצת זכויות האדם </w:t>
      </w:r>
      <w:r w:rsidR="006E09A9" w:rsidRPr="0004711E">
        <w:rPr>
          <w:rFonts w:cs="David" w:hint="cs"/>
          <w:sz w:val="28"/>
          <w:szCs w:val="28"/>
          <w:rtl/>
        </w:rPr>
        <w:t xml:space="preserve">ועל כך </w:t>
      </w:r>
      <w:r w:rsidRPr="0004711E">
        <w:rPr>
          <w:rFonts w:cs="David" w:hint="cs"/>
          <w:sz w:val="28"/>
          <w:szCs w:val="28"/>
          <w:rtl/>
        </w:rPr>
        <w:t>שהיא מנהלת נגד</w:t>
      </w:r>
      <w:r w:rsidR="006E09A9" w:rsidRPr="0004711E">
        <w:rPr>
          <w:rFonts w:cs="David" w:hint="cs"/>
          <w:sz w:val="28"/>
          <w:szCs w:val="28"/>
          <w:rtl/>
        </w:rPr>
        <w:t xml:space="preserve"> ישראל</w:t>
      </w:r>
      <w:r w:rsidRPr="0004711E">
        <w:rPr>
          <w:rFonts w:cs="David" w:hint="cs"/>
          <w:sz w:val="28"/>
          <w:szCs w:val="28"/>
          <w:rtl/>
        </w:rPr>
        <w:t xml:space="preserve"> "אכיפה בררנית" </w:t>
      </w:r>
      <w:r w:rsidR="007A43E8">
        <w:rPr>
          <w:rFonts w:cs="David" w:hint="cs"/>
          <w:sz w:val="28"/>
          <w:szCs w:val="28"/>
          <w:rtl/>
        </w:rPr>
        <w:t>יי</w:t>
      </w:r>
      <w:r w:rsidRPr="0004711E">
        <w:rPr>
          <w:rFonts w:cs="David" w:hint="cs"/>
          <w:sz w:val="28"/>
          <w:szCs w:val="28"/>
          <w:rtl/>
        </w:rPr>
        <w:t xml:space="preserve">חלש. </w:t>
      </w:r>
      <w:r w:rsidR="006E09A9" w:rsidRPr="0004711E">
        <w:rPr>
          <w:rFonts w:cs="David" w:hint="cs"/>
          <w:sz w:val="28"/>
          <w:szCs w:val="28"/>
          <w:rtl/>
        </w:rPr>
        <w:t>קביעת</w:t>
      </w:r>
      <w:r w:rsidRPr="0004711E">
        <w:rPr>
          <w:rFonts w:cs="David" w:hint="cs"/>
          <w:sz w:val="28"/>
          <w:szCs w:val="28"/>
          <w:rtl/>
        </w:rPr>
        <w:t xml:space="preserve"> ברירת מחדל לגבי דרך הפעולה מול </w:t>
      </w:r>
      <w:r w:rsidR="009F6ED1">
        <w:rPr>
          <w:rFonts w:cs="David" w:hint="cs"/>
          <w:sz w:val="28"/>
          <w:szCs w:val="28"/>
          <w:rtl/>
        </w:rPr>
        <w:t xml:space="preserve">ועדות חקירה </w:t>
      </w:r>
      <w:r w:rsidRPr="0004711E">
        <w:rPr>
          <w:rFonts w:cs="David" w:hint="cs"/>
          <w:sz w:val="28"/>
          <w:szCs w:val="28"/>
          <w:rtl/>
        </w:rPr>
        <w:t xml:space="preserve">של גופים מסוימים </w:t>
      </w:r>
      <w:r w:rsidR="006E09A9" w:rsidRPr="0004711E">
        <w:rPr>
          <w:rFonts w:cs="David" w:hint="cs"/>
          <w:sz w:val="28"/>
          <w:szCs w:val="28"/>
          <w:rtl/>
        </w:rPr>
        <w:t xml:space="preserve">על סמך זהות הגופים בלבד </w:t>
      </w:r>
      <w:r w:rsidRPr="0004711E">
        <w:rPr>
          <w:rFonts w:cs="David" w:hint="cs"/>
          <w:sz w:val="28"/>
          <w:szCs w:val="28"/>
          <w:rtl/>
        </w:rPr>
        <w:t xml:space="preserve">עלולה להיות אמירה קשה מדי כלפי </w:t>
      </w:r>
      <w:r w:rsidR="0074404A">
        <w:rPr>
          <w:rFonts w:cs="David" w:hint="cs"/>
          <w:sz w:val="28"/>
          <w:szCs w:val="28"/>
          <w:rtl/>
        </w:rPr>
        <w:t>ועדות</w:t>
      </w:r>
      <w:r w:rsidR="00BF4FE5">
        <w:rPr>
          <w:rFonts w:cs="David" w:hint="cs"/>
          <w:sz w:val="28"/>
          <w:szCs w:val="28"/>
          <w:rtl/>
        </w:rPr>
        <w:t xml:space="preserve"> מסוימות</w:t>
      </w:r>
      <w:r w:rsidRPr="0004711E">
        <w:rPr>
          <w:rFonts w:cs="David" w:hint="cs"/>
          <w:sz w:val="28"/>
          <w:szCs w:val="28"/>
          <w:rtl/>
        </w:rPr>
        <w:t xml:space="preserve"> שיתמנו. </w:t>
      </w:r>
      <w:r w:rsidR="008F215E" w:rsidRPr="0004711E">
        <w:rPr>
          <w:rFonts w:cs="David" w:hint="cs"/>
          <w:sz w:val="28"/>
          <w:szCs w:val="28"/>
          <w:rtl/>
        </w:rPr>
        <w:t>מרואיינים אלה חזרו והזכירו את העובדה</w:t>
      </w:r>
      <w:r w:rsidR="007A43E8">
        <w:rPr>
          <w:rFonts w:cs="David" w:hint="cs"/>
          <w:sz w:val="28"/>
          <w:szCs w:val="28"/>
          <w:rtl/>
        </w:rPr>
        <w:t>,</w:t>
      </w:r>
      <w:r w:rsidR="008F215E" w:rsidRPr="0004711E">
        <w:rPr>
          <w:rFonts w:cs="David" w:hint="cs"/>
          <w:sz w:val="28"/>
          <w:szCs w:val="28"/>
          <w:rtl/>
        </w:rPr>
        <w:t xml:space="preserve"> כי לעיתים מה שנשאר בזיכרון הבינלאומי הוא לא טיעוניה של מדינת ישראל בדבר הפסלות בגוף הממנה את </w:t>
      </w:r>
      <w:r w:rsidR="009C039C">
        <w:rPr>
          <w:rFonts w:cs="David" w:hint="cs"/>
          <w:sz w:val="28"/>
          <w:szCs w:val="28"/>
          <w:rtl/>
        </w:rPr>
        <w:t>ועדת החקירה</w:t>
      </w:r>
      <w:r w:rsidR="008F215E" w:rsidRPr="0004711E">
        <w:rPr>
          <w:rFonts w:cs="David" w:hint="cs"/>
          <w:sz w:val="28"/>
          <w:szCs w:val="28"/>
          <w:rtl/>
        </w:rPr>
        <w:t>, אלא הסדרתיות בסירוב</w:t>
      </w:r>
      <w:r w:rsidR="00BF4FE5">
        <w:rPr>
          <w:rFonts w:cs="David" w:hint="cs"/>
          <w:sz w:val="28"/>
          <w:szCs w:val="28"/>
          <w:rtl/>
        </w:rPr>
        <w:t xml:space="preserve"> </w:t>
      </w:r>
      <w:r w:rsidR="008F215E" w:rsidRPr="0004711E">
        <w:rPr>
          <w:rFonts w:cs="David" w:hint="cs"/>
          <w:sz w:val="28"/>
          <w:szCs w:val="28"/>
          <w:rtl/>
        </w:rPr>
        <w:t>ה</w:t>
      </w:r>
      <w:r w:rsidR="00BF4FE5">
        <w:rPr>
          <w:rFonts w:cs="David" w:hint="cs"/>
          <w:sz w:val="28"/>
          <w:szCs w:val="28"/>
          <w:rtl/>
        </w:rPr>
        <w:t>ישראלי</w:t>
      </w:r>
      <w:r w:rsidR="008F215E" w:rsidRPr="0004711E">
        <w:rPr>
          <w:rFonts w:cs="David" w:hint="cs"/>
          <w:sz w:val="28"/>
          <w:szCs w:val="28"/>
          <w:rtl/>
        </w:rPr>
        <w:t xml:space="preserve"> לשתף פעולה עם </w:t>
      </w:r>
      <w:r w:rsidR="009C039C">
        <w:rPr>
          <w:rFonts w:cs="David" w:hint="cs"/>
          <w:sz w:val="28"/>
          <w:szCs w:val="28"/>
          <w:rtl/>
        </w:rPr>
        <w:t>ועדת חקירה בינלאומית</w:t>
      </w:r>
      <w:r w:rsidR="008F215E" w:rsidRPr="0004711E">
        <w:rPr>
          <w:rFonts w:cs="David" w:hint="cs"/>
          <w:sz w:val="28"/>
          <w:szCs w:val="28"/>
          <w:rtl/>
        </w:rPr>
        <w:t>.</w:t>
      </w:r>
      <w:r w:rsidR="00250CD2" w:rsidRPr="0004711E">
        <w:rPr>
          <w:rFonts w:cs="David" w:hint="cs"/>
          <w:sz w:val="28"/>
          <w:szCs w:val="28"/>
          <w:rtl/>
        </w:rPr>
        <w:t xml:space="preserve"> </w:t>
      </w:r>
      <w:r w:rsidR="00D712C5" w:rsidRPr="0004711E">
        <w:rPr>
          <w:rFonts w:cs="David" w:hint="cs"/>
          <w:sz w:val="28"/>
          <w:szCs w:val="28"/>
          <w:rtl/>
        </w:rPr>
        <w:t xml:space="preserve">עוד אפשר לציין בהקשר זה, כי במצב הפוליטי הקיים, לא ניתן יהיה לשנות או לבטל את סעיף 7 למצע הקבוע של המועצה ותידרש הזדמנות מדינית מיוחדת כדי שהדבר יקרה. מאחר שכך, </w:t>
      </w:r>
      <w:r w:rsidR="00BF4FE5">
        <w:rPr>
          <w:rFonts w:cs="David" w:hint="cs"/>
          <w:sz w:val="28"/>
          <w:szCs w:val="28"/>
          <w:rtl/>
        </w:rPr>
        <w:t>נכון לנסות למזער את הנזק מעבודתן</w:t>
      </w:r>
      <w:r w:rsidR="00D712C5" w:rsidRPr="0004711E">
        <w:rPr>
          <w:rFonts w:cs="David" w:hint="cs"/>
          <w:sz w:val="28"/>
          <w:szCs w:val="28"/>
          <w:rtl/>
        </w:rPr>
        <w:t xml:space="preserve"> של </w:t>
      </w:r>
      <w:r w:rsidR="009C039C">
        <w:rPr>
          <w:rFonts w:cs="David" w:hint="cs"/>
          <w:sz w:val="28"/>
          <w:szCs w:val="28"/>
          <w:rtl/>
        </w:rPr>
        <w:t>ועדות החקירה</w:t>
      </w:r>
      <w:r w:rsidR="00D712C5" w:rsidRPr="0004711E">
        <w:rPr>
          <w:rFonts w:cs="David" w:hint="cs"/>
          <w:sz w:val="28"/>
          <w:szCs w:val="28"/>
          <w:rtl/>
        </w:rPr>
        <w:t xml:space="preserve"> ולא להילחם מלחמה עקרה רק בסעיף 7. </w:t>
      </w:r>
      <w:r w:rsidR="007A4734" w:rsidRPr="0004711E">
        <w:rPr>
          <w:rFonts w:cs="David" w:hint="cs"/>
          <w:sz w:val="28"/>
          <w:szCs w:val="28"/>
          <w:rtl/>
        </w:rPr>
        <w:t xml:space="preserve">אם אין טעם במחאה ישראלית נגד ההליך (קרי: המחאה לא תשיג תועלת פוליטית של ממש) </w:t>
      </w:r>
      <w:r w:rsidR="007A4734" w:rsidRPr="0004711E">
        <w:rPr>
          <w:rFonts w:cs="David"/>
          <w:sz w:val="28"/>
          <w:szCs w:val="28"/>
          <w:rtl/>
        </w:rPr>
        <w:t xml:space="preserve">ואם </w:t>
      </w:r>
      <w:r w:rsidR="007A4734" w:rsidRPr="0004711E">
        <w:rPr>
          <w:rFonts w:cs="David" w:hint="cs"/>
          <w:sz w:val="28"/>
          <w:szCs w:val="28"/>
          <w:rtl/>
        </w:rPr>
        <w:t>יש סיכוי ששיתוף הפעולה ישפר את התוצאה, יש מקום להתעלם משיקול הגוף הממנה.</w:t>
      </w:r>
      <w:r w:rsidR="007A4734" w:rsidRPr="0004711E">
        <w:rPr>
          <w:rFonts w:cs="David"/>
          <w:sz w:val="28"/>
          <w:szCs w:val="28"/>
          <w:rtl/>
        </w:rPr>
        <w:t xml:space="preserve"> </w:t>
      </w:r>
      <w:r w:rsidR="007A4734" w:rsidRPr="0004711E">
        <w:rPr>
          <w:rFonts w:cs="David" w:hint="cs"/>
          <w:sz w:val="28"/>
          <w:szCs w:val="28"/>
          <w:rtl/>
        </w:rPr>
        <w:t xml:space="preserve">מאחר שאי שיתוף פעולה תמיד גורר נזקים מסוימים, צריך </w:t>
      </w:r>
      <w:r w:rsidR="005F6FB1">
        <w:rPr>
          <w:rFonts w:cs="David" w:hint="cs"/>
          <w:sz w:val="28"/>
          <w:szCs w:val="28"/>
          <w:rtl/>
        </w:rPr>
        <w:t xml:space="preserve">שילוב של </w:t>
      </w:r>
      <w:r w:rsidR="007A4734" w:rsidRPr="0004711E">
        <w:rPr>
          <w:rFonts w:cs="David" w:hint="cs"/>
          <w:sz w:val="28"/>
          <w:szCs w:val="28"/>
          <w:rtl/>
        </w:rPr>
        <w:t xml:space="preserve">שיקול חזק שיתמוך במחאה וסיכוי קטן ששיתוף הפעולה ישפר את התוצאה. </w:t>
      </w:r>
    </w:p>
    <w:p w:rsidR="007675CE" w:rsidRPr="0004711E" w:rsidRDefault="007675CE" w:rsidP="008B316C">
      <w:pPr>
        <w:spacing w:after="0" w:line="360" w:lineRule="auto"/>
        <w:jc w:val="both"/>
        <w:rPr>
          <w:rFonts w:cs="David"/>
          <w:sz w:val="28"/>
          <w:szCs w:val="28"/>
          <w:rtl/>
        </w:rPr>
      </w:pPr>
    </w:p>
    <w:p w:rsidR="00591141" w:rsidRPr="0004711E" w:rsidRDefault="00250CD2" w:rsidP="00BF4FE5">
      <w:pPr>
        <w:spacing w:after="0" w:line="360" w:lineRule="auto"/>
        <w:jc w:val="both"/>
        <w:rPr>
          <w:rFonts w:cs="David"/>
          <w:sz w:val="28"/>
          <w:szCs w:val="28"/>
          <w:rtl/>
        </w:rPr>
      </w:pPr>
      <w:r w:rsidRPr="0004711E">
        <w:rPr>
          <w:rFonts w:cs="David" w:hint="cs"/>
          <w:sz w:val="28"/>
          <w:szCs w:val="28"/>
          <w:rtl/>
        </w:rPr>
        <w:t xml:space="preserve">לסיכום, לדידם של מרואיינים אלה, בדרך כלל לא יהיה מקום להחליט על אי שיתוף פעולה עם </w:t>
      </w:r>
      <w:r w:rsidR="009C039C">
        <w:rPr>
          <w:rFonts w:cs="David" w:hint="cs"/>
          <w:sz w:val="28"/>
          <w:szCs w:val="28"/>
          <w:rtl/>
        </w:rPr>
        <w:t>ועדת חקירה</w:t>
      </w:r>
      <w:r w:rsidRPr="0004711E">
        <w:rPr>
          <w:rFonts w:cs="David" w:hint="cs"/>
          <w:sz w:val="28"/>
          <w:szCs w:val="28"/>
          <w:rtl/>
        </w:rPr>
        <w:t xml:space="preserve"> רק </w:t>
      </w:r>
      <w:r w:rsidR="007A43E8">
        <w:rPr>
          <w:rFonts w:cs="David" w:hint="cs"/>
          <w:sz w:val="28"/>
          <w:szCs w:val="28"/>
          <w:rtl/>
        </w:rPr>
        <w:t>מפאת</w:t>
      </w:r>
      <w:r w:rsidR="007A43E8" w:rsidRPr="0004711E">
        <w:rPr>
          <w:rFonts w:cs="David" w:hint="cs"/>
          <w:sz w:val="28"/>
          <w:szCs w:val="28"/>
          <w:rtl/>
        </w:rPr>
        <w:t xml:space="preserve"> </w:t>
      </w:r>
      <w:r w:rsidRPr="0004711E">
        <w:rPr>
          <w:rFonts w:cs="David" w:hint="cs"/>
          <w:sz w:val="28"/>
          <w:szCs w:val="28"/>
          <w:rtl/>
        </w:rPr>
        <w:t>זהות</w:t>
      </w:r>
      <w:r w:rsidR="007A43E8">
        <w:rPr>
          <w:rFonts w:cs="David" w:hint="cs"/>
          <w:sz w:val="28"/>
          <w:szCs w:val="28"/>
          <w:rtl/>
        </w:rPr>
        <w:t>ו של</w:t>
      </w:r>
      <w:r w:rsidRPr="0004711E">
        <w:rPr>
          <w:rFonts w:cs="David" w:hint="cs"/>
          <w:sz w:val="28"/>
          <w:szCs w:val="28"/>
          <w:rtl/>
        </w:rPr>
        <w:t xml:space="preserve"> הגוף שמינה אות</w:t>
      </w:r>
      <w:r w:rsidR="00BF4FE5">
        <w:rPr>
          <w:rFonts w:cs="David" w:hint="cs"/>
          <w:sz w:val="28"/>
          <w:szCs w:val="28"/>
          <w:rtl/>
        </w:rPr>
        <w:t>ה</w:t>
      </w:r>
      <w:r w:rsidRPr="0004711E">
        <w:rPr>
          <w:rFonts w:cs="David" w:hint="cs"/>
          <w:sz w:val="28"/>
          <w:szCs w:val="28"/>
          <w:rtl/>
        </w:rPr>
        <w:t>, במיוחד כאשר מדובר בגוף של האו"ם, יהא אשר יהא.</w:t>
      </w:r>
    </w:p>
    <w:p w:rsidR="008F30D9" w:rsidRPr="0004711E" w:rsidRDefault="008F30D9" w:rsidP="008B316C">
      <w:pPr>
        <w:spacing w:after="0" w:line="360" w:lineRule="auto"/>
        <w:jc w:val="both"/>
        <w:rPr>
          <w:rFonts w:cs="David"/>
          <w:sz w:val="28"/>
          <w:szCs w:val="28"/>
          <w:rtl/>
        </w:rPr>
      </w:pPr>
    </w:p>
    <w:p w:rsidR="008F30D9" w:rsidRPr="0004711E" w:rsidRDefault="008F30D9" w:rsidP="00BF4FE5">
      <w:pPr>
        <w:spacing w:after="0" w:line="360" w:lineRule="auto"/>
        <w:jc w:val="both"/>
        <w:rPr>
          <w:rFonts w:cs="David"/>
          <w:sz w:val="28"/>
          <w:szCs w:val="28"/>
          <w:rtl/>
        </w:rPr>
      </w:pPr>
      <w:r w:rsidRPr="0004711E">
        <w:rPr>
          <w:rFonts w:cs="David" w:hint="cs"/>
          <w:sz w:val="28"/>
          <w:szCs w:val="28"/>
          <w:rtl/>
        </w:rPr>
        <w:t xml:space="preserve">לעניין זה נראה, כי הגם שיש לגיטימציה מדינית </w:t>
      </w:r>
      <w:r w:rsidR="00021EFD" w:rsidRPr="0004711E">
        <w:rPr>
          <w:rFonts w:cs="David" w:hint="cs"/>
          <w:sz w:val="28"/>
          <w:szCs w:val="28"/>
          <w:rtl/>
        </w:rPr>
        <w:t xml:space="preserve">מלאה </w:t>
      </w:r>
      <w:r w:rsidRPr="0004711E">
        <w:rPr>
          <w:rFonts w:cs="David" w:hint="cs"/>
          <w:sz w:val="28"/>
          <w:szCs w:val="28"/>
          <w:rtl/>
        </w:rPr>
        <w:t xml:space="preserve">להחליט שלא לשתף פעולה עם </w:t>
      </w:r>
      <w:r w:rsidR="009C039C">
        <w:rPr>
          <w:rFonts w:cs="David" w:hint="cs"/>
          <w:sz w:val="28"/>
          <w:szCs w:val="28"/>
          <w:rtl/>
        </w:rPr>
        <w:t>ועדת חקירה</w:t>
      </w:r>
      <w:r w:rsidRPr="0004711E">
        <w:rPr>
          <w:rFonts w:cs="David" w:hint="cs"/>
          <w:sz w:val="28"/>
          <w:szCs w:val="28"/>
          <w:rtl/>
        </w:rPr>
        <w:t xml:space="preserve"> שמתמנה</w:t>
      </w:r>
      <w:r w:rsidR="00692192">
        <w:rPr>
          <w:rFonts w:cs="David" w:hint="cs"/>
          <w:sz w:val="28"/>
          <w:szCs w:val="28"/>
          <w:rtl/>
        </w:rPr>
        <w:t xml:space="preserve"> על ידי </w:t>
      </w:r>
      <w:r w:rsidRPr="0004711E">
        <w:rPr>
          <w:rFonts w:cs="David" w:hint="cs"/>
          <w:sz w:val="28"/>
          <w:szCs w:val="28"/>
          <w:rtl/>
        </w:rPr>
        <w:t xml:space="preserve">גוף מוטה פוליטית כנגד ישראל, לא יהיה זה מן התבונה לעשות כן מטעם זה בלבד. אומנם, המוטיבציה הפוליטית של הגוף הממנה </w:t>
      </w:r>
      <w:r w:rsidR="00021EFD" w:rsidRPr="0004711E">
        <w:rPr>
          <w:rFonts w:cs="David" w:hint="cs"/>
          <w:sz w:val="28"/>
          <w:szCs w:val="28"/>
          <w:rtl/>
        </w:rPr>
        <w:t xml:space="preserve">בהחלט יכולה להיות קשורה גם לתוצאת הבדיקה של </w:t>
      </w:r>
      <w:r w:rsidR="001165FD">
        <w:rPr>
          <w:rFonts w:cs="David" w:hint="cs"/>
          <w:sz w:val="28"/>
          <w:szCs w:val="28"/>
          <w:rtl/>
        </w:rPr>
        <w:t>הוועדה</w:t>
      </w:r>
      <w:r w:rsidR="00021EFD" w:rsidRPr="0004711E">
        <w:rPr>
          <w:rFonts w:cs="David" w:hint="cs"/>
          <w:sz w:val="28"/>
          <w:szCs w:val="28"/>
          <w:rtl/>
        </w:rPr>
        <w:t xml:space="preserve">, אך כדי שזה יקרה צריכים להתקיים תנאים נוספים אותם צריכה המדינה לבחון. </w:t>
      </w:r>
      <w:r w:rsidRPr="0004711E">
        <w:rPr>
          <w:rFonts w:cs="David" w:hint="cs"/>
          <w:sz w:val="28"/>
          <w:szCs w:val="28"/>
          <w:rtl/>
        </w:rPr>
        <w:t xml:space="preserve">החלטה מושכלת </w:t>
      </w:r>
      <w:r w:rsidR="00021EFD" w:rsidRPr="0004711E">
        <w:rPr>
          <w:rFonts w:cs="David" w:hint="cs"/>
          <w:sz w:val="28"/>
          <w:szCs w:val="28"/>
          <w:rtl/>
        </w:rPr>
        <w:t>לגבי שיתוף הפעולה תתקבל רק לאחר בחינת אותם תנאים, ובהם המנדט שקיבל</w:t>
      </w:r>
      <w:r w:rsidR="00BF4FE5">
        <w:rPr>
          <w:rFonts w:cs="David" w:hint="cs"/>
          <w:sz w:val="28"/>
          <w:szCs w:val="28"/>
          <w:rtl/>
        </w:rPr>
        <w:t>ה</w:t>
      </w:r>
      <w:r w:rsidR="00021EFD" w:rsidRPr="0004711E">
        <w:rPr>
          <w:rFonts w:cs="David" w:hint="cs"/>
          <w:sz w:val="28"/>
          <w:szCs w:val="28"/>
          <w:rtl/>
        </w:rPr>
        <w:t xml:space="preserve"> </w:t>
      </w:r>
      <w:r w:rsidR="001165FD">
        <w:rPr>
          <w:rFonts w:cs="David" w:hint="cs"/>
          <w:sz w:val="28"/>
          <w:szCs w:val="28"/>
          <w:rtl/>
        </w:rPr>
        <w:t>הוועדה</w:t>
      </w:r>
      <w:r w:rsidR="00021EFD" w:rsidRPr="0004711E">
        <w:rPr>
          <w:rFonts w:cs="David" w:hint="cs"/>
          <w:sz w:val="28"/>
          <w:szCs w:val="28"/>
          <w:rtl/>
        </w:rPr>
        <w:t xml:space="preserve"> ויתרה מכך </w:t>
      </w:r>
      <w:r w:rsidR="00021EFD" w:rsidRPr="0004711E">
        <w:rPr>
          <w:rFonts w:cs="David"/>
          <w:sz w:val="28"/>
          <w:szCs w:val="28"/>
          <w:rtl/>
        </w:rPr>
        <w:t>–</w:t>
      </w:r>
      <w:r w:rsidR="00021EFD" w:rsidRPr="0004711E">
        <w:rPr>
          <w:rFonts w:cs="David" w:hint="cs"/>
          <w:sz w:val="28"/>
          <w:szCs w:val="28"/>
          <w:rtl/>
        </w:rPr>
        <w:t xml:space="preserve"> זהות החברים ב</w:t>
      </w:r>
      <w:r w:rsidR="00BF4FE5">
        <w:rPr>
          <w:rFonts w:cs="David" w:hint="cs"/>
          <w:sz w:val="28"/>
          <w:szCs w:val="28"/>
          <w:rtl/>
        </w:rPr>
        <w:t>ה</w:t>
      </w:r>
      <w:r w:rsidR="00021EFD" w:rsidRPr="0004711E">
        <w:rPr>
          <w:rFonts w:cs="David" w:hint="cs"/>
          <w:sz w:val="28"/>
          <w:szCs w:val="28"/>
          <w:rtl/>
        </w:rPr>
        <w:t>.</w:t>
      </w:r>
      <w:r w:rsidR="007A4734" w:rsidRPr="0004711E">
        <w:rPr>
          <w:rFonts w:cs="David" w:hint="cs"/>
          <w:sz w:val="28"/>
          <w:szCs w:val="28"/>
          <w:rtl/>
        </w:rPr>
        <w:t xml:space="preserve"> נראה שלתנאים אלה צריכה להיות חשיבות רבה יותר בעיני המדינה מזהות הגוף הממנה את </w:t>
      </w:r>
      <w:r w:rsidR="001165FD">
        <w:rPr>
          <w:rFonts w:cs="David" w:hint="cs"/>
          <w:sz w:val="28"/>
          <w:szCs w:val="28"/>
          <w:rtl/>
        </w:rPr>
        <w:t>הוועדה</w:t>
      </w:r>
      <w:r w:rsidR="007A4734" w:rsidRPr="0004711E">
        <w:rPr>
          <w:rFonts w:cs="David" w:hint="cs"/>
          <w:sz w:val="28"/>
          <w:szCs w:val="28"/>
          <w:rtl/>
        </w:rPr>
        <w:t>.</w:t>
      </w:r>
    </w:p>
    <w:p w:rsidR="007A3686" w:rsidRPr="0004711E" w:rsidRDefault="007A3686" w:rsidP="008B316C">
      <w:pPr>
        <w:spacing w:after="0" w:line="360" w:lineRule="auto"/>
        <w:jc w:val="both"/>
        <w:rPr>
          <w:rFonts w:cs="David"/>
          <w:sz w:val="28"/>
          <w:szCs w:val="28"/>
          <w:rtl/>
        </w:rPr>
      </w:pPr>
    </w:p>
    <w:p w:rsidR="005B7792" w:rsidRPr="003D0069" w:rsidRDefault="009464EE" w:rsidP="009464EE">
      <w:pPr>
        <w:pStyle w:val="a9"/>
        <w:numPr>
          <w:ilvl w:val="0"/>
          <w:numId w:val="23"/>
        </w:numPr>
        <w:spacing w:after="0" w:line="360" w:lineRule="auto"/>
        <w:jc w:val="both"/>
        <w:outlineLvl w:val="2"/>
        <w:rPr>
          <w:rFonts w:cs="David"/>
          <w:sz w:val="28"/>
          <w:szCs w:val="28"/>
          <w:rtl/>
        </w:rPr>
      </w:pPr>
      <w:bookmarkStart w:id="38" w:name="_Toc456027315"/>
      <w:r>
        <w:rPr>
          <w:rFonts w:cs="David" w:hint="cs"/>
          <w:sz w:val="28"/>
          <w:szCs w:val="28"/>
          <w:rtl/>
        </w:rPr>
        <w:t xml:space="preserve">כוחו וסמכויותיו </w:t>
      </w:r>
      <w:r w:rsidR="005B7792" w:rsidRPr="003D0069">
        <w:rPr>
          <w:rFonts w:cs="David" w:hint="cs"/>
          <w:sz w:val="28"/>
          <w:szCs w:val="28"/>
          <w:rtl/>
        </w:rPr>
        <w:t>של הגוף שמ</w:t>
      </w:r>
      <w:r>
        <w:rPr>
          <w:rFonts w:cs="David" w:hint="cs"/>
          <w:sz w:val="28"/>
          <w:szCs w:val="28"/>
          <w:rtl/>
        </w:rPr>
        <w:t>מ</w:t>
      </w:r>
      <w:r w:rsidR="005B7792" w:rsidRPr="003D0069">
        <w:rPr>
          <w:rFonts w:cs="David" w:hint="cs"/>
          <w:sz w:val="28"/>
          <w:szCs w:val="28"/>
          <w:rtl/>
        </w:rPr>
        <w:t xml:space="preserve">נה </w:t>
      </w:r>
      <w:r>
        <w:rPr>
          <w:rFonts w:cs="David" w:hint="cs"/>
          <w:sz w:val="28"/>
          <w:szCs w:val="28"/>
          <w:rtl/>
        </w:rPr>
        <w:t>את ועדת החקירה</w:t>
      </w:r>
      <w:bookmarkEnd w:id="38"/>
    </w:p>
    <w:p w:rsidR="005B7792" w:rsidRDefault="005B7792" w:rsidP="00BF4FE5">
      <w:pPr>
        <w:spacing w:after="0" w:line="360" w:lineRule="auto"/>
        <w:jc w:val="both"/>
        <w:rPr>
          <w:rFonts w:cs="David"/>
          <w:sz w:val="28"/>
          <w:szCs w:val="28"/>
          <w:rtl/>
        </w:rPr>
      </w:pPr>
    </w:p>
    <w:p w:rsidR="007675CE" w:rsidRPr="0004711E" w:rsidRDefault="005F6FB1" w:rsidP="009464EE">
      <w:pPr>
        <w:spacing w:after="0" w:line="360" w:lineRule="auto"/>
        <w:jc w:val="both"/>
        <w:rPr>
          <w:rFonts w:cs="David"/>
          <w:sz w:val="28"/>
          <w:szCs w:val="28"/>
          <w:rtl/>
        </w:rPr>
      </w:pPr>
      <w:r>
        <w:rPr>
          <w:rFonts w:cs="David" w:hint="cs"/>
          <w:sz w:val="28"/>
          <w:szCs w:val="28"/>
          <w:rtl/>
        </w:rPr>
        <w:t>רכיב נוסף</w:t>
      </w:r>
      <w:r w:rsidR="007A43E8">
        <w:rPr>
          <w:rFonts w:cs="David" w:hint="cs"/>
          <w:sz w:val="28"/>
          <w:szCs w:val="28"/>
          <w:rtl/>
        </w:rPr>
        <w:t>,</w:t>
      </w:r>
      <w:r>
        <w:rPr>
          <w:rFonts w:cs="David" w:hint="cs"/>
          <w:sz w:val="28"/>
          <w:szCs w:val="28"/>
          <w:rtl/>
        </w:rPr>
        <w:t xml:space="preserve"> שיש לבחון בהקשר לשיקול</w:t>
      </w:r>
      <w:r w:rsidR="007675CE" w:rsidRPr="0004711E">
        <w:rPr>
          <w:rFonts w:cs="David" w:hint="cs"/>
          <w:sz w:val="28"/>
          <w:szCs w:val="28"/>
          <w:rtl/>
        </w:rPr>
        <w:t xml:space="preserve"> הגוף הממנה את </w:t>
      </w:r>
      <w:r w:rsidR="001165FD">
        <w:rPr>
          <w:rFonts w:cs="David" w:hint="cs"/>
          <w:sz w:val="28"/>
          <w:szCs w:val="28"/>
          <w:rtl/>
        </w:rPr>
        <w:t>הוועדה</w:t>
      </w:r>
      <w:r w:rsidR="007675CE" w:rsidRPr="0004711E">
        <w:rPr>
          <w:rFonts w:cs="David" w:hint="cs"/>
          <w:sz w:val="28"/>
          <w:szCs w:val="28"/>
          <w:rtl/>
        </w:rPr>
        <w:t xml:space="preserve">, הוא </w:t>
      </w:r>
      <w:r w:rsidR="009464EE">
        <w:rPr>
          <w:rFonts w:cs="David" w:hint="cs"/>
          <w:sz w:val="28"/>
          <w:szCs w:val="28"/>
          <w:rtl/>
        </w:rPr>
        <w:t>מהם כוחו וסמכויותיו של אותו הגוף</w:t>
      </w:r>
      <w:r w:rsidR="007675CE" w:rsidRPr="0004711E">
        <w:rPr>
          <w:rFonts w:cs="David" w:hint="cs"/>
          <w:sz w:val="28"/>
          <w:szCs w:val="28"/>
          <w:rtl/>
        </w:rPr>
        <w:t xml:space="preserve">. כפי שצוין בפרק </w:t>
      </w:r>
      <w:r w:rsidR="0067445D">
        <w:rPr>
          <w:rFonts w:cs="David" w:hint="cs"/>
          <w:sz w:val="28"/>
          <w:szCs w:val="28"/>
          <w:rtl/>
        </w:rPr>
        <w:t xml:space="preserve">הראשון </w:t>
      </w:r>
      <w:r w:rsidR="007675CE" w:rsidRPr="0004711E">
        <w:rPr>
          <w:rFonts w:cs="David" w:hint="cs"/>
          <w:sz w:val="28"/>
          <w:szCs w:val="28"/>
          <w:rtl/>
        </w:rPr>
        <w:t xml:space="preserve">על </w:t>
      </w:r>
      <w:r w:rsidR="009F6ED1">
        <w:rPr>
          <w:rFonts w:cs="David" w:hint="cs"/>
          <w:sz w:val="28"/>
          <w:szCs w:val="28"/>
          <w:rtl/>
        </w:rPr>
        <w:t xml:space="preserve">ועדות חקירה </w:t>
      </w:r>
      <w:r w:rsidR="007675CE" w:rsidRPr="0004711E">
        <w:rPr>
          <w:rFonts w:cs="David" w:hint="cs"/>
          <w:sz w:val="28"/>
          <w:szCs w:val="28"/>
          <w:rtl/>
        </w:rPr>
        <w:t xml:space="preserve">בינלאומיות, הן למועצת זכויות האדם והן לעצרת הכללית אין כלים לאכוף </w:t>
      </w:r>
      <w:r w:rsidR="00DD621A">
        <w:rPr>
          <w:rFonts w:cs="David" w:hint="cs"/>
          <w:sz w:val="28"/>
          <w:szCs w:val="28"/>
          <w:rtl/>
        </w:rPr>
        <w:t xml:space="preserve">שיתוף פעולה עם </w:t>
      </w:r>
      <w:r w:rsidR="009C039C">
        <w:rPr>
          <w:rFonts w:cs="David" w:hint="cs"/>
          <w:sz w:val="28"/>
          <w:szCs w:val="28"/>
          <w:rtl/>
        </w:rPr>
        <w:t>ועדות החקירה</w:t>
      </w:r>
      <w:r w:rsidR="00DD621A">
        <w:rPr>
          <w:rFonts w:cs="David" w:hint="cs"/>
          <w:sz w:val="28"/>
          <w:szCs w:val="28"/>
          <w:rtl/>
        </w:rPr>
        <w:t xml:space="preserve"> שהן ממנות</w:t>
      </w:r>
      <w:r w:rsidR="007675CE" w:rsidRPr="0004711E">
        <w:rPr>
          <w:rFonts w:cs="David" w:hint="cs"/>
          <w:sz w:val="28"/>
          <w:szCs w:val="28"/>
          <w:rtl/>
        </w:rPr>
        <w:t xml:space="preserve">. למועצת הביטחון, לעומת זאת, יש כלי אכיפה חזקים, וקשה לחזות מצב שבו מדינת ישראל תסרב לשתף פעולה עם </w:t>
      </w:r>
      <w:r w:rsidR="009C039C">
        <w:rPr>
          <w:rFonts w:cs="David" w:hint="cs"/>
          <w:sz w:val="28"/>
          <w:szCs w:val="28"/>
          <w:rtl/>
        </w:rPr>
        <w:t>ועדת חקירה</w:t>
      </w:r>
      <w:r w:rsidR="007675CE" w:rsidRPr="0004711E">
        <w:rPr>
          <w:rFonts w:cs="David" w:hint="cs"/>
          <w:sz w:val="28"/>
          <w:szCs w:val="28"/>
          <w:rtl/>
        </w:rPr>
        <w:t xml:space="preserve"> מטעמה. כל השיקולים הללו צריכים </w:t>
      </w:r>
      <w:r w:rsidR="007A43E8">
        <w:rPr>
          <w:rFonts w:cs="David" w:hint="cs"/>
          <w:sz w:val="28"/>
          <w:szCs w:val="28"/>
          <w:rtl/>
        </w:rPr>
        <w:t>להיבחן</w:t>
      </w:r>
      <w:r w:rsidR="007A43E8" w:rsidRPr="0004711E">
        <w:rPr>
          <w:rFonts w:cs="David" w:hint="cs"/>
          <w:sz w:val="28"/>
          <w:szCs w:val="28"/>
          <w:rtl/>
        </w:rPr>
        <w:t xml:space="preserve"> </w:t>
      </w:r>
      <w:r w:rsidR="007675CE" w:rsidRPr="0004711E">
        <w:rPr>
          <w:rFonts w:cs="David" w:hint="cs"/>
          <w:sz w:val="28"/>
          <w:szCs w:val="28"/>
          <w:rtl/>
        </w:rPr>
        <w:t>בכובד ראש.</w:t>
      </w:r>
    </w:p>
    <w:p w:rsidR="007675CE" w:rsidRPr="0004711E" w:rsidRDefault="007675CE" w:rsidP="008B316C">
      <w:pPr>
        <w:spacing w:after="0" w:line="360" w:lineRule="auto"/>
        <w:jc w:val="both"/>
        <w:rPr>
          <w:rFonts w:cs="David"/>
          <w:sz w:val="28"/>
          <w:szCs w:val="28"/>
          <w:rtl/>
        </w:rPr>
      </w:pPr>
    </w:p>
    <w:p w:rsidR="009A1E38" w:rsidRDefault="001550BD" w:rsidP="009A1E38">
      <w:pPr>
        <w:spacing w:after="0" w:line="360" w:lineRule="auto"/>
        <w:jc w:val="both"/>
        <w:rPr>
          <w:rFonts w:cs="David"/>
          <w:sz w:val="28"/>
          <w:szCs w:val="28"/>
          <w:rtl/>
        </w:rPr>
      </w:pPr>
      <w:r w:rsidRPr="0004711E">
        <w:rPr>
          <w:rFonts w:cs="David" w:hint="cs"/>
          <w:sz w:val="28"/>
          <w:szCs w:val="28"/>
          <w:rtl/>
        </w:rPr>
        <w:t xml:space="preserve">מזכ"ל האו"ם אולי אינו בעל </w:t>
      </w:r>
      <w:r w:rsidR="00581A31">
        <w:rPr>
          <w:rFonts w:cs="David" w:hint="cs"/>
          <w:sz w:val="28"/>
          <w:szCs w:val="28"/>
          <w:rtl/>
        </w:rPr>
        <w:t xml:space="preserve">סמכות </w:t>
      </w:r>
      <w:r w:rsidRPr="0004711E">
        <w:rPr>
          <w:rFonts w:cs="David" w:hint="cs"/>
          <w:sz w:val="28"/>
          <w:szCs w:val="28"/>
          <w:rtl/>
        </w:rPr>
        <w:t xml:space="preserve">אכיפה </w:t>
      </w:r>
      <w:r w:rsidR="00581A31">
        <w:rPr>
          <w:rFonts w:cs="David" w:hint="cs"/>
          <w:sz w:val="28"/>
          <w:szCs w:val="28"/>
          <w:rtl/>
        </w:rPr>
        <w:t>נורמטיבית</w:t>
      </w:r>
      <w:r w:rsidRPr="0004711E">
        <w:rPr>
          <w:rFonts w:cs="David" w:hint="cs"/>
          <w:sz w:val="28"/>
          <w:szCs w:val="28"/>
          <w:rtl/>
        </w:rPr>
        <w:t xml:space="preserve">, אולם מפאת כבודו ומעמדו הרם נראה שנקודת המוצא לשיתוף פעולה עם </w:t>
      </w:r>
      <w:r w:rsidR="009F6ED1">
        <w:rPr>
          <w:rFonts w:cs="David" w:hint="cs"/>
          <w:sz w:val="28"/>
          <w:szCs w:val="28"/>
          <w:rtl/>
        </w:rPr>
        <w:t xml:space="preserve">ועדות חקירה </w:t>
      </w:r>
      <w:r w:rsidRPr="0004711E">
        <w:rPr>
          <w:rFonts w:cs="David" w:hint="cs"/>
          <w:sz w:val="28"/>
          <w:szCs w:val="28"/>
          <w:rtl/>
        </w:rPr>
        <w:t xml:space="preserve">שהוא ממנה צריכה להיות חיובית. בעניין הזה גם ניתן לומר כאמירה כללית, שלהיסטוריה של היחסים של מדינת ישראל עם הגוף הרלוונטי חשיבות רבה. בדרך כלל, שימור המצב ההיסטורי הופך להיות ברירת המחדל לאופן הפעולה עם הגוף גם בעתיד. נראה שכך המצב גם עם מזכ"ל האו"ם, שמדינת ישראל שיתפה פעולה עם </w:t>
      </w:r>
      <w:r w:rsidR="00C67A67" w:rsidRPr="0004711E">
        <w:rPr>
          <w:rFonts w:cs="David" w:hint="cs"/>
          <w:sz w:val="28"/>
          <w:szCs w:val="28"/>
          <w:rtl/>
        </w:rPr>
        <w:t>ארבע מ</w:t>
      </w:r>
      <w:r w:rsidRPr="0004711E">
        <w:rPr>
          <w:rFonts w:cs="David" w:hint="cs"/>
          <w:sz w:val="28"/>
          <w:szCs w:val="28"/>
          <w:rtl/>
        </w:rPr>
        <w:t>הוועדות שהוא מינה (</w:t>
      </w:r>
      <w:r w:rsidR="00C67A67" w:rsidRPr="0004711E">
        <w:rPr>
          <w:rFonts w:cs="David" w:hint="cs"/>
          <w:sz w:val="28"/>
          <w:szCs w:val="28"/>
          <w:rtl/>
        </w:rPr>
        <w:t xml:space="preserve">ועדת כפר קאנא, </w:t>
      </w:r>
      <w:r w:rsidRPr="0004711E">
        <w:rPr>
          <w:rFonts w:cs="David" w:hint="cs"/>
          <w:sz w:val="28"/>
          <w:szCs w:val="28"/>
          <w:rtl/>
        </w:rPr>
        <w:t xml:space="preserve">ועדת פאלמר ושתי הוועדות לבדיקת הפגיעות במתקני או"ם אחרי המבצעים "עופרת יצוקה" ו"צוק איתן"). ההיסטוריה הזו מוכיחה גם שהמזכ"ל מתחשב בדרך כלל בכל השיקולים הנכונים בעת מינוי הוועדות, בוחר אנשים הגונים </w:t>
      </w:r>
      <w:r w:rsidR="00B55A6D" w:rsidRPr="0004711E">
        <w:rPr>
          <w:rFonts w:cs="David" w:hint="cs"/>
          <w:sz w:val="28"/>
          <w:szCs w:val="28"/>
          <w:rtl/>
        </w:rPr>
        <w:t>ו</w:t>
      </w:r>
      <w:r w:rsidR="00B55A6D">
        <w:rPr>
          <w:rFonts w:cs="David" w:hint="cs"/>
          <w:sz w:val="28"/>
          <w:szCs w:val="28"/>
          <w:rtl/>
        </w:rPr>
        <w:t>מנה</w:t>
      </w:r>
      <w:r w:rsidRPr="0004711E">
        <w:rPr>
          <w:rFonts w:cs="David" w:hint="cs"/>
          <w:sz w:val="28"/>
          <w:szCs w:val="28"/>
          <w:rtl/>
        </w:rPr>
        <w:t>ל</w:t>
      </w:r>
      <w:r w:rsidR="00B55A6D">
        <w:rPr>
          <w:rFonts w:cs="David" w:hint="cs"/>
          <w:sz w:val="28"/>
          <w:szCs w:val="28"/>
          <w:rtl/>
        </w:rPr>
        <w:t xml:space="preserve"> עם ה</w:t>
      </w:r>
      <w:r w:rsidRPr="0004711E">
        <w:rPr>
          <w:rFonts w:cs="David" w:hint="cs"/>
          <w:sz w:val="28"/>
          <w:szCs w:val="28"/>
          <w:rtl/>
        </w:rPr>
        <w:t xml:space="preserve">צדדים </w:t>
      </w:r>
      <w:r w:rsidR="00B55A6D">
        <w:rPr>
          <w:rFonts w:cs="David" w:hint="cs"/>
          <w:sz w:val="28"/>
          <w:szCs w:val="28"/>
          <w:rtl/>
        </w:rPr>
        <w:t>שיח כך ש</w:t>
      </w:r>
      <w:r w:rsidRPr="0004711E">
        <w:rPr>
          <w:rFonts w:cs="David" w:hint="cs"/>
          <w:sz w:val="28"/>
          <w:szCs w:val="28"/>
          <w:rtl/>
        </w:rPr>
        <w:t xml:space="preserve">מנדט </w:t>
      </w:r>
      <w:r w:rsidR="00B55A6D">
        <w:rPr>
          <w:rFonts w:cs="David" w:hint="cs"/>
          <w:sz w:val="28"/>
          <w:szCs w:val="28"/>
          <w:rtl/>
        </w:rPr>
        <w:t xml:space="preserve">הוועדה יהיה </w:t>
      </w:r>
      <w:r w:rsidRPr="0004711E">
        <w:rPr>
          <w:rFonts w:cs="David" w:hint="cs"/>
          <w:sz w:val="28"/>
          <w:szCs w:val="28"/>
          <w:rtl/>
        </w:rPr>
        <w:t>מאוזן.</w:t>
      </w:r>
      <w:r w:rsidR="009A1E38">
        <w:rPr>
          <w:rFonts w:cs="David" w:hint="cs"/>
          <w:sz w:val="28"/>
          <w:szCs w:val="28"/>
          <w:rtl/>
        </w:rPr>
        <w:t xml:space="preserve"> </w:t>
      </w:r>
    </w:p>
    <w:p w:rsidR="009A1E38" w:rsidRDefault="009A1E38" w:rsidP="009A1E38">
      <w:pPr>
        <w:spacing w:after="0" w:line="360" w:lineRule="auto"/>
        <w:jc w:val="both"/>
        <w:rPr>
          <w:rFonts w:cs="David"/>
          <w:sz w:val="28"/>
          <w:szCs w:val="28"/>
          <w:rtl/>
        </w:rPr>
      </w:pPr>
    </w:p>
    <w:p w:rsidR="001550BD" w:rsidRPr="0004711E" w:rsidRDefault="009A1E38" w:rsidP="009A1E38">
      <w:pPr>
        <w:spacing w:after="0" w:line="360" w:lineRule="auto"/>
        <w:jc w:val="both"/>
        <w:rPr>
          <w:rFonts w:cs="David"/>
          <w:sz w:val="28"/>
          <w:szCs w:val="28"/>
          <w:rtl/>
        </w:rPr>
      </w:pPr>
      <w:r>
        <w:rPr>
          <w:rFonts w:cs="David" w:hint="cs"/>
          <w:sz w:val="28"/>
          <w:szCs w:val="28"/>
          <w:rtl/>
        </w:rPr>
        <w:t xml:space="preserve">לא למותר לציין, שכפי שצוין בפרק הראשון, הדן בוועדות חקירה בינלאומיות, ממנה המזכ"ל </w:t>
      </w:r>
      <w:r>
        <w:rPr>
          <w:rFonts w:cs="David" w:hint="cs"/>
          <w:sz w:val="28"/>
          <w:szCs w:val="28"/>
        </w:rPr>
        <w:t>BOI</w:t>
      </w:r>
      <w:r>
        <w:rPr>
          <w:rFonts w:cs="David" w:hint="cs"/>
          <w:sz w:val="28"/>
          <w:szCs w:val="28"/>
          <w:rtl/>
        </w:rPr>
        <w:t xml:space="preserve"> בעקבות כל מקרה של פגיעה במתקני או"ם. מאחר שזו פרוצדורה קבועה, הנהוגה מכוח כללי העבודה של האו"ם ואינה מונעת ממניעים זרים, נראה שיש טעם חזק לקבוע כלל של שיתוף פעולה עם ועדות מעין אלה, אם אין שיקול חזק מנוגד.</w:t>
      </w:r>
    </w:p>
    <w:p w:rsidR="001550BD" w:rsidRPr="0004711E" w:rsidRDefault="001550BD" w:rsidP="008B316C">
      <w:pPr>
        <w:spacing w:after="0" w:line="360" w:lineRule="auto"/>
        <w:jc w:val="both"/>
        <w:rPr>
          <w:rFonts w:cs="David"/>
          <w:sz w:val="28"/>
          <w:szCs w:val="28"/>
          <w:rtl/>
        </w:rPr>
      </w:pPr>
    </w:p>
    <w:p w:rsidR="001550BD" w:rsidRPr="0004711E" w:rsidRDefault="00EC320F" w:rsidP="00BF4FE5">
      <w:pPr>
        <w:spacing w:after="0" w:line="360" w:lineRule="auto"/>
        <w:jc w:val="both"/>
        <w:rPr>
          <w:rFonts w:cs="David"/>
          <w:sz w:val="28"/>
          <w:szCs w:val="28"/>
          <w:rtl/>
        </w:rPr>
      </w:pPr>
      <w:r>
        <w:rPr>
          <w:rFonts w:cs="David" w:hint="cs"/>
          <w:sz w:val="28"/>
          <w:szCs w:val="28"/>
          <w:rtl/>
        </w:rPr>
        <w:t>כפי ש</w:t>
      </w:r>
      <w:r w:rsidR="00BF4FE5">
        <w:rPr>
          <w:rFonts w:cs="David" w:hint="cs"/>
          <w:sz w:val="28"/>
          <w:szCs w:val="28"/>
          <w:rtl/>
        </w:rPr>
        <w:t>מ</w:t>
      </w:r>
      <w:r>
        <w:rPr>
          <w:rFonts w:cs="David" w:hint="cs"/>
          <w:sz w:val="28"/>
          <w:szCs w:val="28"/>
          <w:rtl/>
        </w:rPr>
        <w:t xml:space="preserve">צוין </w:t>
      </w:r>
      <w:r w:rsidR="00BF4FE5">
        <w:rPr>
          <w:rFonts w:cs="David" w:hint="cs"/>
          <w:sz w:val="28"/>
          <w:szCs w:val="28"/>
          <w:rtl/>
        </w:rPr>
        <w:t>בנספח</w:t>
      </w:r>
      <w:r>
        <w:rPr>
          <w:rFonts w:cs="David" w:hint="cs"/>
          <w:sz w:val="28"/>
          <w:szCs w:val="28"/>
          <w:rtl/>
        </w:rPr>
        <w:t xml:space="preserve">, </w:t>
      </w:r>
      <w:r w:rsidR="001550BD" w:rsidRPr="0004711E">
        <w:rPr>
          <w:rFonts w:cs="David" w:hint="cs"/>
          <w:sz w:val="28"/>
          <w:szCs w:val="28"/>
          <w:rtl/>
        </w:rPr>
        <w:t>הוועדה היחידה שמינה המזכ"ל ושמדינת ישראל החליטה שלא לשתף עמה פעולה היא ועדת ג'נין (זו</w:t>
      </w:r>
      <w:r w:rsidR="007A43E8">
        <w:rPr>
          <w:rFonts w:cs="David" w:hint="cs"/>
          <w:sz w:val="28"/>
          <w:szCs w:val="28"/>
          <w:rtl/>
        </w:rPr>
        <w:t>הי</w:t>
      </w:r>
      <w:r w:rsidR="001550BD" w:rsidRPr="0004711E">
        <w:rPr>
          <w:rFonts w:cs="David" w:hint="cs"/>
          <w:sz w:val="28"/>
          <w:szCs w:val="28"/>
          <w:rtl/>
        </w:rPr>
        <w:t xml:space="preserve"> הוועדה ה</w:t>
      </w:r>
      <w:r w:rsidR="00C67A67" w:rsidRPr="0004711E">
        <w:rPr>
          <w:rFonts w:cs="David" w:hint="cs"/>
          <w:sz w:val="28"/>
          <w:szCs w:val="28"/>
          <w:rtl/>
        </w:rPr>
        <w:t xml:space="preserve">שנייה </w:t>
      </w:r>
      <w:r w:rsidR="001550BD" w:rsidRPr="0004711E">
        <w:rPr>
          <w:rFonts w:cs="David" w:hint="cs"/>
          <w:sz w:val="28"/>
          <w:szCs w:val="28"/>
          <w:rtl/>
        </w:rPr>
        <w:t xml:space="preserve">מתוך </w:t>
      </w:r>
      <w:r w:rsidR="00C67A67" w:rsidRPr="0004711E">
        <w:rPr>
          <w:rFonts w:cs="David" w:hint="cs"/>
          <w:sz w:val="28"/>
          <w:szCs w:val="28"/>
          <w:rtl/>
        </w:rPr>
        <w:t xml:space="preserve">חמש </w:t>
      </w:r>
      <w:r w:rsidR="001550BD" w:rsidRPr="0004711E">
        <w:rPr>
          <w:rFonts w:cs="David" w:hint="cs"/>
          <w:sz w:val="28"/>
          <w:szCs w:val="28"/>
          <w:rtl/>
        </w:rPr>
        <w:t>הוועדות שמינה המזכ"ל עד היום בעניין ישראל). ישראל סירבה לאפשר לוועדה להיכנס לשטח</w:t>
      </w:r>
      <w:r w:rsidR="005E7CA9" w:rsidRPr="0004711E">
        <w:rPr>
          <w:rFonts w:cs="David" w:hint="cs"/>
          <w:sz w:val="28"/>
          <w:szCs w:val="28"/>
          <w:rtl/>
        </w:rPr>
        <w:t xml:space="preserve"> </w:t>
      </w:r>
      <w:r w:rsidR="005E7CA9" w:rsidRPr="0004711E">
        <w:rPr>
          <w:rFonts w:cs="David" w:hint="cs"/>
          <w:sz w:val="28"/>
          <w:szCs w:val="28"/>
          <w:rtl/>
        </w:rPr>
        <w:lastRenderedPageBreak/>
        <w:t>ו</w:t>
      </w:r>
      <w:r w:rsidR="00B74631" w:rsidRPr="0004711E">
        <w:rPr>
          <w:rFonts w:cs="David" w:hint="cs"/>
          <w:sz w:val="28"/>
          <w:szCs w:val="28"/>
          <w:rtl/>
        </w:rPr>
        <w:t>הלינה על כך שהוועדה לא כללה מומחים צבאיים</w:t>
      </w:r>
      <w:r w:rsidR="005E7CA9" w:rsidRPr="0004711E">
        <w:rPr>
          <w:rStyle w:val="a7"/>
          <w:rFonts w:cs="David"/>
          <w:sz w:val="28"/>
          <w:szCs w:val="28"/>
          <w:rtl/>
        </w:rPr>
        <w:footnoteReference w:id="173"/>
      </w:r>
      <w:r w:rsidR="005E7CA9" w:rsidRPr="0004711E">
        <w:rPr>
          <w:rFonts w:cs="David" w:hint="cs"/>
          <w:sz w:val="28"/>
          <w:szCs w:val="28"/>
          <w:rtl/>
        </w:rPr>
        <w:t>.</w:t>
      </w:r>
      <w:r w:rsidR="00B74631" w:rsidRPr="0004711E">
        <w:rPr>
          <w:rFonts w:cs="David" w:hint="cs"/>
          <w:sz w:val="28"/>
          <w:szCs w:val="28"/>
          <w:rtl/>
        </w:rPr>
        <w:t xml:space="preserve"> </w:t>
      </w:r>
      <w:r w:rsidR="005E7CA9" w:rsidRPr="0004711E">
        <w:rPr>
          <w:rFonts w:cs="David" w:hint="cs"/>
          <w:sz w:val="28"/>
          <w:szCs w:val="28"/>
          <w:rtl/>
        </w:rPr>
        <w:t xml:space="preserve">בעקבות החלטת ישראל, פירק מזכ"ל האו"ם את הוועדה ביום 02.05.02. זו כנראה הוועדה היחידה בהיסטוריה של האו"ם שהוחלט לפרקה בגלל חוסר שיתוף פעולה. הסירוב הישראלי לשתף פעולה עורר סערה דיפלומטית גדולה באו"ם. ימים ספורים </w:t>
      </w:r>
      <w:r w:rsidR="001550BD" w:rsidRPr="0004711E">
        <w:rPr>
          <w:rFonts w:cs="David" w:hint="cs"/>
          <w:sz w:val="28"/>
          <w:szCs w:val="28"/>
          <w:rtl/>
        </w:rPr>
        <w:t xml:space="preserve">לאחר </w:t>
      </w:r>
      <w:r w:rsidR="005E7CA9" w:rsidRPr="0004711E">
        <w:rPr>
          <w:rFonts w:cs="David" w:hint="cs"/>
          <w:sz w:val="28"/>
          <w:szCs w:val="28"/>
          <w:rtl/>
        </w:rPr>
        <w:t xml:space="preserve">מכן </w:t>
      </w:r>
      <w:r w:rsidR="001550BD" w:rsidRPr="0004711E">
        <w:rPr>
          <w:rFonts w:cs="David" w:hint="cs"/>
          <w:sz w:val="28"/>
          <w:szCs w:val="28"/>
          <w:rtl/>
        </w:rPr>
        <w:t xml:space="preserve">התבררו כל העובדות לגבי הקרב בג'נין, </w:t>
      </w:r>
      <w:r w:rsidR="005E7CA9" w:rsidRPr="0004711E">
        <w:rPr>
          <w:rFonts w:cs="David" w:hint="cs"/>
          <w:sz w:val="28"/>
          <w:szCs w:val="28"/>
          <w:rtl/>
        </w:rPr>
        <w:t>ו</w:t>
      </w:r>
      <w:r w:rsidR="001550BD" w:rsidRPr="0004711E">
        <w:rPr>
          <w:rFonts w:cs="David" w:hint="cs"/>
          <w:sz w:val="28"/>
          <w:szCs w:val="28"/>
          <w:rtl/>
        </w:rPr>
        <w:t xml:space="preserve">התפרסמו בהרחבה בתקשורת העולמית, </w:t>
      </w:r>
      <w:r w:rsidR="005E7CA9" w:rsidRPr="0004711E">
        <w:rPr>
          <w:rFonts w:cs="David" w:hint="cs"/>
          <w:sz w:val="28"/>
          <w:szCs w:val="28"/>
          <w:rtl/>
        </w:rPr>
        <w:t xml:space="preserve">ונקבע </w:t>
      </w:r>
      <w:r w:rsidR="001550BD" w:rsidRPr="0004711E">
        <w:rPr>
          <w:rFonts w:cs="David" w:hint="cs"/>
          <w:sz w:val="28"/>
          <w:szCs w:val="28"/>
          <w:rtl/>
        </w:rPr>
        <w:t>מעל לכל ספק כי לא היה טבח</w:t>
      </w:r>
      <w:r w:rsidR="005E7CA9" w:rsidRPr="0004711E">
        <w:rPr>
          <w:rFonts w:cs="David" w:hint="cs"/>
          <w:sz w:val="28"/>
          <w:szCs w:val="28"/>
          <w:rtl/>
        </w:rPr>
        <w:t xml:space="preserve"> בג'נין</w:t>
      </w:r>
      <w:r w:rsidR="005E7CA9" w:rsidRPr="0004711E">
        <w:rPr>
          <w:rStyle w:val="a7"/>
          <w:rFonts w:cs="David"/>
          <w:sz w:val="28"/>
          <w:szCs w:val="28"/>
          <w:rtl/>
        </w:rPr>
        <w:footnoteReference w:id="174"/>
      </w:r>
      <w:r w:rsidR="001550BD" w:rsidRPr="0004711E">
        <w:rPr>
          <w:rFonts w:cs="David" w:hint="cs"/>
          <w:sz w:val="28"/>
          <w:szCs w:val="28"/>
          <w:rtl/>
        </w:rPr>
        <w:t xml:space="preserve">. למרות פירוק הוועדה, </w:t>
      </w:r>
      <w:r w:rsidR="007A43E8" w:rsidRPr="0004711E">
        <w:rPr>
          <w:rFonts w:cs="David" w:hint="cs"/>
          <w:sz w:val="28"/>
          <w:szCs w:val="28"/>
          <w:rtl/>
        </w:rPr>
        <w:t xml:space="preserve">פרסם </w:t>
      </w:r>
      <w:r w:rsidR="001550BD" w:rsidRPr="0004711E">
        <w:rPr>
          <w:rFonts w:cs="David" w:hint="cs"/>
          <w:sz w:val="28"/>
          <w:szCs w:val="28"/>
          <w:rtl/>
        </w:rPr>
        <w:t>מזכ"ל האו"ם דוח משלו</w:t>
      </w:r>
      <w:r w:rsidR="00737DAA" w:rsidRPr="0004711E">
        <w:rPr>
          <w:rStyle w:val="a7"/>
          <w:rFonts w:cs="David"/>
          <w:sz w:val="28"/>
          <w:szCs w:val="28"/>
          <w:rtl/>
        </w:rPr>
        <w:footnoteReference w:id="175"/>
      </w:r>
      <w:r w:rsidR="001550BD" w:rsidRPr="0004711E">
        <w:rPr>
          <w:rFonts w:cs="David" w:hint="cs"/>
          <w:sz w:val="28"/>
          <w:szCs w:val="28"/>
          <w:rtl/>
        </w:rPr>
        <w:t xml:space="preserve">, תוך התבססות על מקורות שונים, ובהם מקורות ישראליים, שבו </w:t>
      </w:r>
      <w:r w:rsidR="005E7CA9" w:rsidRPr="0004711E">
        <w:rPr>
          <w:rFonts w:cs="David" w:hint="cs"/>
          <w:sz w:val="28"/>
          <w:szCs w:val="28"/>
          <w:rtl/>
        </w:rPr>
        <w:t>נ</w:t>
      </w:r>
      <w:r w:rsidR="001550BD" w:rsidRPr="0004711E">
        <w:rPr>
          <w:rFonts w:cs="David" w:hint="cs"/>
          <w:sz w:val="28"/>
          <w:szCs w:val="28"/>
          <w:rtl/>
        </w:rPr>
        <w:t xml:space="preserve">קבע שנהרגו רק </w:t>
      </w:r>
      <w:r w:rsidR="007A43E8">
        <w:rPr>
          <w:rFonts w:cs="David" w:hint="cs"/>
          <w:sz w:val="28"/>
          <w:szCs w:val="28"/>
          <w:rtl/>
        </w:rPr>
        <w:t>חמישים ושניים</w:t>
      </w:r>
      <w:r w:rsidR="007A43E8" w:rsidRPr="0004711E">
        <w:rPr>
          <w:rFonts w:cs="David" w:hint="cs"/>
          <w:sz w:val="28"/>
          <w:szCs w:val="28"/>
          <w:rtl/>
        </w:rPr>
        <w:t xml:space="preserve"> </w:t>
      </w:r>
      <w:r w:rsidR="001550BD" w:rsidRPr="0004711E">
        <w:rPr>
          <w:rFonts w:cs="David" w:hint="cs"/>
          <w:sz w:val="28"/>
          <w:szCs w:val="28"/>
          <w:rtl/>
        </w:rPr>
        <w:t>פלסטינים</w:t>
      </w:r>
      <w:r w:rsidR="00737DAA" w:rsidRPr="0004711E">
        <w:rPr>
          <w:rFonts w:cs="David" w:hint="cs"/>
          <w:sz w:val="28"/>
          <w:szCs w:val="28"/>
          <w:rtl/>
        </w:rPr>
        <w:t>,</w:t>
      </w:r>
      <w:r w:rsidR="001550BD" w:rsidRPr="0004711E">
        <w:rPr>
          <w:rFonts w:cs="David" w:hint="cs"/>
          <w:sz w:val="28"/>
          <w:szCs w:val="28"/>
          <w:rtl/>
        </w:rPr>
        <w:t xml:space="preserve"> </w:t>
      </w:r>
      <w:r w:rsidR="005E7CA9" w:rsidRPr="0004711E">
        <w:rPr>
          <w:rFonts w:cs="David" w:hint="cs"/>
          <w:sz w:val="28"/>
          <w:szCs w:val="28"/>
          <w:rtl/>
        </w:rPr>
        <w:t>שמחציתם היו אזרחים</w:t>
      </w:r>
      <w:r w:rsidR="001550BD" w:rsidRPr="0004711E">
        <w:rPr>
          <w:rFonts w:cs="David" w:hint="cs"/>
          <w:sz w:val="28"/>
          <w:szCs w:val="28"/>
          <w:rtl/>
        </w:rPr>
        <w:t>.</w:t>
      </w:r>
      <w:r w:rsidR="005E7CA9" w:rsidRPr="0004711E">
        <w:rPr>
          <w:rFonts w:cs="David" w:hint="cs"/>
          <w:sz w:val="28"/>
          <w:szCs w:val="28"/>
          <w:rtl/>
        </w:rPr>
        <w:t xml:space="preserve"> </w:t>
      </w:r>
    </w:p>
    <w:p w:rsidR="001550BD" w:rsidRPr="0004711E" w:rsidRDefault="001550BD" w:rsidP="008B316C">
      <w:pPr>
        <w:spacing w:after="0" w:line="360" w:lineRule="auto"/>
        <w:jc w:val="both"/>
        <w:rPr>
          <w:rFonts w:cs="David"/>
          <w:sz w:val="28"/>
          <w:szCs w:val="28"/>
          <w:rtl/>
        </w:rPr>
      </w:pPr>
    </w:p>
    <w:p w:rsidR="007675CE" w:rsidRPr="0004711E" w:rsidRDefault="007675CE" w:rsidP="007A43E8">
      <w:pPr>
        <w:spacing w:after="0" w:line="360" w:lineRule="auto"/>
        <w:jc w:val="both"/>
        <w:rPr>
          <w:rFonts w:cs="David"/>
          <w:sz w:val="28"/>
          <w:szCs w:val="28"/>
          <w:rtl/>
        </w:rPr>
      </w:pPr>
      <w:r w:rsidRPr="0004711E">
        <w:rPr>
          <w:rFonts w:cs="David" w:hint="cs"/>
          <w:sz w:val="28"/>
          <w:szCs w:val="28"/>
          <w:rtl/>
        </w:rPr>
        <w:t xml:space="preserve">יוזכר, שגם דוחות של </w:t>
      </w:r>
      <w:r w:rsidR="0074404A">
        <w:rPr>
          <w:rFonts w:cs="David" w:hint="cs"/>
          <w:sz w:val="28"/>
          <w:szCs w:val="28"/>
          <w:rtl/>
        </w:rPr>
        <w:t>ועדות</w:t>
      </w:r>
      <w:r w:rsidRPr="0004711E">
        <w:rPr>
          <w:rFonts w:cs="David" w:hint="cs"/>
          <w:sz w:val="28"/>
          <w:szCs w:val="28"/>
          <w:rtl/>
        </w:rPr>
        <w:t xml:space="preserve"> מגופים ללא יכולות אכיפה אינם נטולי השפעה. הוזכרה העובדה כי גם דוחות של ועדות של מועצת זכויות האדם זוכים לקרדיט לא מבוטל בבית הדין הפלילי הבינלאומי ובפורומים אחרים. גם מנגנוני מעקב שממנים הגופים הללו הם עניין משמעותי שלא ניתן להתעלם ממנו בעת קבלת ההחלטה האם ובאילו</w:t>
      </w:r>
      <w:r w:rsidR="008A45A5" w:rsidRPr="0004711E">
        <w:rPr>
          <w:rFonts w:cs="David" w:hint="cs"/>
          <w:sz w:val="28"/>
          <w:szCs w:val="28"/>
          <w:rtl/>
        </w:rPr>
        <w:t xml:space="preserve"> </w:t>
      </w:r>
      <w:r w:rsidRPr="0004711E">
        <w:rPr>
          <w:rFonts w:cs="David" w:hint="cs"/>
          <w:sz w:val="28"/>
          <w:szCs w:val="28"/>
          <w:rtl/>
        </w:rPr>
        <w:t xml:space="preserve">תנאים לשתף </w:t>
      </w:r>
      <w:r w:rsidR="007A43E8" w:rsidRPr="0004711E">
        <w:rPr>
          <w:rFonts w:cs="David" w:hint="cs"/>
          <w:sz w:val="28"/>
          <w:szCs w:val="28"/>
          <w:rtl/>
        </w:rPr>
        <w:t xml:space="preserve">עמם </w:t>
      </w:r>
      <w:r w:rsidRPr="0004711E">
        <w:rPr>
          <w:rFonts w:cs="David" w:hint="cs"/>
          <w:sz w:val="28"/>
          <w:szCs w:val="28"/>
          <w:rtl/>
        </w:rPr>
        <w:t>פעולה</w:t>
      </w:r>
      <w:r w:rsidR="001550BD" w:rsidRPr="0004711E">
        <w:rPr>
          <w:rFonts w:cs="David" w:hint="cs"/>
          <w:sz w:val="28"/>
          <w:szCs w:val="28"/>
          <w:rtl/>
        </w:rPr>
        <w:t>.</w:t>
      </w:r>
    </w:p>
    <w:p w:rsidR="007675CE" w:rsidRDefault="007675CE" w:rsidP="008B316C">
      <w:pPr>
        <w:spacing w:after="0" w:line="360" w:lineRule="auto"/>
        <w:jc w:val="both"/>
        <w:rPr>
          <w:rFonts w:cs="David"/>
          <w:sz w:val="28"/>
          <w:szCs w:val="28"/>
          <w:rtl/>
        </w:rPr>
      </w:pPr>
    </w:p>
    <w:p w:rsidR="005B7792" w:rsidRPr="003D0069" w:rsidRDefault="005B7792" w:rsidP="003D0069">
      <w:pPr>
        <w:pStyle w:val="a9"/>
        <w:numPr>
          <w:ilvl w:val="0"/>
          <w:numId w:val="23"/>
        </w:numPr>
        <w:spacing w:after="0" w:line="360" w:lineRule="auto"/>
        <w:jc w:val="both"/>
        <w:outlineLvl w:val="2"/>
        <w:rPr>
          <w:rFonts w:cs="David"/>
          <w:sz w:val="28"/>
          <w:szCs w:val="28"/>
          <w:rtl/>
        </w:rPr>
      </w:pPr>
      <w:bookmarkStart w:id="39" w:name="_Toc456027316"/>
      <w:r w:rsidRPr="003D0069">
        <w:rPr>
          <w:rFonts w:cs="David" w:hint="cs"/>
          <w:sz w:val="28"/>
          <w:szCs w:val="28"/>
          <w:rtl/>
        </w:rPr>
        <w:t>מינוי ועדה חלופית או פעולה של כמה ועדות במקביל</w:t>
      </w:r>
      <w:bookmarkEnd w:id="39"/>
    </w:p>
    <w:p w:rsidR="005B7792" w:rsidRPr="0004711E" w:rsidRDefault="005B7792" w:rsidP="008B316C">
      <w:pPr>
        <w:spacing w:after="0" w:line="360" w:lineRule="auto"/>
        <w:jc w:val="both"/>
        <w:rPr>
          <w:rFonts w:cs="David"/>
          <w:sz w:val="28"/>
          <w:szCs w:val="28"/>
          <w:rtl/>
        </w:rPr>
      </w:pPr>
    </w:p>
    <w:p w:rsidR="001C5C6C" w:rsidRPr="0004711E" w:rsidRDefault="00AA14F0" w:rsidP="004544A6">
      <w:pPr>
        <w:spacing w:after="0" w:line="360" w:lineRule="auto"/>
        <w:jc w:val="both"/>
        <w:rPr>
          <w:rFonts w:cs="David"/>
          <w:sz w:val="28"/>
          <w:szCs w:val="28"/>
          <w:rtl/>
        </w:rPr>
      </w:pPr>
      <w:r w:rsidRPr="0004711E">
        <w:rPr>
          <w:rFonts w:cs="David" w:hint="cs"/>
          <w:sz w:val="28"/>
          <w:szCs w:val="28"/>
          <w:rtl/>
        </w:rPr>
        <w:t xml:space="preserve">שיקול נוסף </w:t>
      </w:r>
      <w:r w:rsidR="007240D2">
        <w:rPr>
          <w:rFonts w:cs="David" w:hint="cs"/>
          <w:sz w:val="28"/>
          <w:szCs w:val="28"/>
          <w:rtl/>
        </w:rPr>
        <w:t xml:space="preserve">שיש לקחת בחשבון </w:t>
      </w:r>
      <w:r w:rsidRPr="0004711E">
        <w:rPr>
          <w:rFonts w:cs="David" w:hint="cs"/>
          <w:sz w:val="28"/>
          <w:szCs w:val="28"/>
          <w:rtl/>
        </w:rPr>
        <w:t xml:space="preserve">הוא </w:t>
      </w:r>
      <w:r w:rsidR="001C5C6C" w:rsidRPr="0004711E">
        <w:rPr>
          <w:rFonts w:cs="David" w:hint="cs"/>
          <w:sz w:val="28"/>
          <w:szCs w:val="28"/>
          <w:rtl/>
        </w:rPr>
        <w:t xml:space="preserve">שיקול </w:t>
      </w:r>
      <w:r w:rsidR="001C5C6C" w:rsidRPr="0004711E">
        <w:rPr>
          <w:rFonts w:cs="David" w:hint="cs"/>
          <w:b/>
          <w:bCs/>
          <w:sz w:val="28"/>
          <w:szCs w:val="28"/>
          <w:rtl/>
        </w:rPr>
        <w:t>החליפיות</w:t>
      </w:r>
      <w:r w:rsidR="001C5C6C" w:rsidRPr="0004711E">
        <w:rPr>
          <w:rFonts w:cs="David" w:hint="cs"/>
          <w:sz w:val="28"/>
          <w:szCs w:val="28"/>
          <w:rtl/>
        </w:rPr>
        <w:t xml:space="preserve"> - </w:t>
      </w:r>
      <w:r w:rsidRPr="0004711E">
        <w:rPr>
          <w:rFonts w:cs="David" w:hint="cs"/>
          <w:sz w:val="28"/>
          <w:szCs w:val="28"/>
          <w:rtl/>
        </w:rPr>
        <w:t xml:space="preserve">האם יש יותר מגוף אחד שיכול או שמבקש </w:t>
      </w:r>
      <w:r w:rsidR="001C5C6C" w:rsidRPr="0004711E">
        <w:rPr>
          <w:rFonts w:cs="David" w:hint="cs"/>
          <w:sz w:val="28"/>
          <w:szCs w:val="28"/>
          <w:rtl/>
        </w:rPr>
        <w:t xml:space="preserve">למנות </w:t>
      </w:r>
      <w:r w:rsidR="009C039C">
        <w:rPr>
          <w:rFonts w:cs="David" w:hint="cs"/>
          <w:sz w:val="28"/>
          <w:szCs w:val="28"/>
          <w:rtl/>
        </w:rPr>
        <w:t>ועדת חקירה</w:t>
      </w:r>
      <w:r w:rsidR="001C5C6C" w:rsidRPr="0004711E">
        <w:rPr>
          <w:rFonts w:cs="David" w:hint="cs"/>
          <w:sz w:val="28"/>
          <w:szCs w:val="28"/>
          <w:rtl/>
        </w:rPr>
        <w:t xml:space="preserve"> בעניין מסוים?</w:t>
      </w:r>
      <w:r w:rsidRPr="0004711E">
        <w:rPr>
          <w:rFonts w:cs="David" w:hint="cs"/>
          <w:sz w:val="28"/>
          <w:szCs w:val="28"/>
          <w:rtl/>
        </w:rPr>
        <w:t xml:space="preserve"> במקרה כזה יכולה מדינת ישראל להסכים לשתף פעולה עם הגוף ההוגן </w:t>
      </w:r>
      <w:r w:rsidR="00581A31">
        <w:rPr>
          <w:rFonts w:cs="David" w:hint="cs"/>
          <w:sz w:val="28"/>
          <w:szCs w:val="28"/>
          <w:rtl/>
        </w:rPr>
        <w:t>מבין השניים</w:t>
      </w:r>
      <w:r w:rsidRPr="0004711E">
        <w:rPr>
          <w:rFonts w:cs="David" w:hint="cs"/>
          <w:sz w:val="28"/>
          <w:szCs w:val="28"/>
          <w:rtl/>
        </w:rPr>
        <w:t xml:space="preserve"> ולהימנע משיתוף פעולה עם הגוף שלוקה בהטיה. זה יאפשר להוכיח את הטיעון כי מדינת ישראל </w:t>
      </w:r>
      <w:r w:rsidR="001C5C6C" w:rsidRPr="0004711E">
        <w:rPr>
          <w:rFonts w:cs="David" w:hint="cs"/>
          <w:sz w:val="28"/>
          <w:szCs w:val="28"/>
          <w:rtl/>
        </w:rPr>
        <w:t>משתפת פעולה עם כל גוף שראוי לכך</w:t>
      </w:r>
      <w:r w:rsidR="005733C7" w:rsidRPr="0004711E">
        <w:rPr>
          <w:rFonts w:cs="David" w:hint="cs"/>
          <w:sz w:val="28"/>
          <w:szCs w:val="28"/>
          <w:rtl/>
        </w:rPr>
        <w:t xml:space="preserve"> ואינה </w:t>
      </w:r>
      <w:r w:rsidR="00FB1532" w:rsidRPr="0004711E">
        <w:rPr>
          <w:rFonts w:cs="David" w:hint="cs"/>
          <w:sz w:val="28"/>
          <w:szCs w:val="28"/>
          <w:rtl/>
        </w:rPr>
        <w:t>לוקה במחויבותה הכללית לתהליך בדיקה בינלאומי</w:t>
      </w:r>
      <w:r w:rsidR="001C5C6C" w:rsidRPr="0004711E">
        <w:rPr>
          <w:rFonts w:cs="David" w:hint="cs"/>
          <w:sz w:val="28"/>
          <w:szCs w:val="28"/>
          <w:rtl/>
        </w:rPr>
        <w:t>. זה גם יאפשר להעלות טענה</w:t>
      </w:r>
      <w:r w:rsidR="007240D2">
        <w:rPr>
          <w:rFonts w:cs="David" w:hint="cs"/>
          <w:sz w:val="28"/>
          <w:szCs w:val="28"/>
          <w:rtl/>
        </w:rPr>
        <w:t>,</w:t>
      </w:r>
      <w:r w:rsidR="001C5C6C" w:rsidRPr="0004711E">
        <w:rPr>
          <w:rFonts w:cs="David" w:hint="cs"/>
          <w:sz w:val="28"/>
          <w:szCs w:val="28"/>
          <w:rtl/>
        </w:rPr>
        <w:t xml:space="preserve"> שנוגעת לכמות המשאבים הבלתי סבירה הנדרשת מהמדינה כדי לשתף פעולה עם כל </w:t>
      </w:r>
      <w:r w:rsidR="009C039C">
        <w:rPr>
          <w:rFonts w:cs="David" w:hint="cs"/>
          <w:sz w:val="28"/>
          <w:szCs w:val="28"/>
          <w:rtl/>
        </w:rPr>
        <w:t>ועדות החקירה</w:t>
      </w:r>
      <w:r w:rsidR="001C5C6C" w:rsidRPr="0004711E">
        <w:rPr>
          <w:rFonts w:cs="David" w:hint="cs"/>
          <w:sz w:val="28"/>
          <w:szCs w:val="28"/>
          <w:rtl/>
        </w:rPr>
        <w:t xml:space="preserve"> בו זמנית. במצב כזה גם יכולה מדינת ישראל לבקש באופן לגיטימי להמתין לסיום עבודת</w:t>
      </w:r>
      <w:r w:rsidR="004544A6">
        <w:rPr>
          <w:rFonts w:cs="David" w:hint="cs"/>
          <w:sz w:val="28"/>
          <w:szCs w:val="28"/>
          <w:rtl/>
        </w:rPr>
        <w:t>ה</w:t>
      </w:r>
      <w:r w:rsidR="001C5C6C" w:rsidRPr="0004711E">
        <w:rPr>
          <w:rFonts w:cs="David" w:hint="cs"/>
          <w:sz w:val="28"/>
          <w:szCs w:val="28"/>
          <w:rtl/>
        </w:rPr>
        <w:t xml:space="preserve"> של </w:t>
      </w:r>
      <w:r w:rsidR="009C039C">
        <w:rPr>
          <w:rFonts w:cs="David" w:hint="cs"/>
          <w:sz w:val="28"/>
          <w:szCs w:val="28"/>
          <w:rtl/>
        </w:rPr>
        <w:t>ועדת חקירה</w:t>
      </w:r>
      <w:r w:rsidR="001C5C6C" w:rsidRPr="0004711E">
        <w:rPr>
          <w:rFonts w:cs="David" w:hint="cs"/>
          <w:sz w:val="28"/>
          <w:szCs w:val="28"/>
          <w:rtl/>
        </w:rPr>
        <w:t xml:space="preserve"> שכבר פועל</w:t>
      </w:r>
      <w:r w:rsidR="004544A6">
        <w:rPr>
          <w:rFonts w:cs="David" w:hint="cs"/>
          <w:sz w:val="28"/>
          <w:szCs w:val="28"/>
          <w:rtl/>
        </w:rPr>
        <w:t>ת</w:t>
      </w:r>
      <w:r w:rsidR="001C5C6C" w:rsidRPr="0004711E">
        <w:rPr>
          <w:rFonts w:cs="David" w:hint="cs"/>
          <w:sz w:val="28"/>
          <w:szCs w:val="28"/>
          <w:rtl/>
        </w:rPr>
        <w:t xml:space="preserve"> לפני שמקימים </w:t>
      </w:r>
      <w:r w:rsidR="0074404A">
        <w:rPr>
          <w:rFonts w:cs="David" w:hint="cs"/>
          <w:sz w:val="28"/>
          <w:szCs w:val="28"/>
          <w:rtl/>
        </w:rPr>
        <w:t>ועדות</w:t>
      </w:r>
      <w:r w:rsidR="001C5C6C" w:rsidRPr="0004711E">
        <w:rPr>
          <w:rFonts w:cs="David" w:hint="cs"/>
          <w:sz w:val="28"/>
          <w:szCs w:val="28"/>
          <w:rtl/>
        </w:rPr>
        <w:t xml:space="preserve"> אחר</w:t>
      </w:r>
      <w:r w:rsidR="004544A6">
        <w:rPr>
          <w:rFonts w:cs="David" w:hint="cs"/>
          <w:sz w:val="28"/>
          <w:szCs w:val="28"/>
          <w:rtl/>
        </w:rPr>
        <w:t>ות</w:t>
      </w:r>
      <w:r w:rsidR="001C5C6C" w:rsidRPr="0004711E">
        <w:rPr>
          <w:rFonts w:cs="David" w:hint="cs"/>
          <w:sz w:val="28"/>
          <w:szCs w:val="28"/>
          <w:rtl/>
        </w:rPr>
        <w:t xml:space="preserve"> ומפרסמים דוחות שלה</w:t>
      </w:r>
      <w:r w:rsidR="004544A6">
        <w:rPr>
          <w:rFonts w:cs="David" w:hint="cs"/>
          <w:sz w:val="28"/>
          <w:szCs w:val="28"/>
          <w:rtl/>
        </w:rPr>
        <w:t>ן</w:t>
      </w:r>
      <w:r w:rsidR="001C5C6C" w:rsidRPr="0004711E">
        <w:rPr>
          <w:rFonts w:cs="David" w:hint="cs"/>
          <w:sz w:val="28"/>
          <w:szCs w:val="28"/>
          <w:rtl/>
        </w:rPr>
        <w:t>.</w:t>
      </w:r>
      <w:r w:rsidR="00250CD2" w:rsidRPr="0004711E">
        <w:rPr>
          <w:rFonts w:cs="David" w:hint="cs"/>
          <w:sz w:val="28"/>
          <w:szCs w:val="28"/>
          <w:rtl/>
        </w:rPr>
        <w:t xml:space="preserve"> בקשה כזו, שיש בה טעם רב, תאפשר הבאת המסקנות של </w:t>
      </w:r>
      <w:r w:rsidR="001165FD">
        <w:rPr>
          <w:rFonts w:cs="David" w:hint="cs"/>
          <w:sz w:val="28"/>
          <w:szCs w:val="28"/>
          <w:rtl/>
        </w:rPr>
        <w:t>הוועדה</w:t>
      </w:r>
      <w:r w:rsidR="00250CD2" w:rsidRPr="0004711E">
        <w:rPr>
          <w:rFonts w:cs="David" w:hint="cs"/>
          <w:sz w:val="28"/>
          <w:szCs w:val="28"/>
          <w:rtl/>
        </w:rPr>
        <w:t xml:space="preserve"> שסיי</w:t>
      </w:r>
      <w:r w:rsidR="004544A6">
        <w:rPr>
          <w:rFonts w:cs="David" w:hint="cs"/>
          <w:sz w:val="28"/>
          <w:szCs w:val="28"/>
          <w:rtl/>
        </w:rPr>
        <w:t>מה</w:t>
      </w:r>
      <w:r w:rsidR="00250CD2" w:rsidRPr="0004711E">
        <w:rPr>
          <w:rFonts w:cs="David" w:hint="cs"/>
          <w:sz w:val="28"/>
          <w:szCs w:val="28"/>
          <w:rtl/>
        </w:rPr>
        <w:t xml:space="preserve"> בדיקת</w:t>
      </w:r>
      <w:r w:rsidR="004544A6">
        <w:rPr>
          <w:rFonts w:cs="David" w:hint="cs"/>
          <w:sz w:val="28"/>
          <w:szCs w:val="28"/>
          <w:rtl/>
        </w:rPr>
        <w:t>ה</w:t>
      </w:r>
      <w:r w:rsidR="00250CD2" w:rsidRPr="0004711E">
        <w:rPr>
          <w:rFonts w:cs="David" w:hint="cs"/>
          <w:sz w:val="28"/>
          <w:szCs w:val="28"/>
          <w:rtl/>
        </w:rPr>
        <w:t xml:space="preserve"> בפני </w:t>
      </w:r>
      <w:r w:rsidR="001165FD">
        <w:rPr>
          <w:rFonts w:cs="David" w:hint="cs"/>
          <w:sz w:val="28"/>
          <w:szCs w:val="28"/>
          <w:rtl/>
        </w:rPr>
        <w:t>הוועדה</w:t>
      </w:r>
      <w:r w:rsidR="00250CD2" w:rsidRPr="0004711E">
        <w:rPr>
          <w:rFonts w:cs="David" w:hint="cs"/>
          <w:sz w:val="28"/>
          <w:szCs w:val="28"/>
          <w:rtl/>
        </w:rPr>
        <w:t xml:space="preserve"> השני</w:t>
      </w:r>
      <w:r w:rsidR="004544A6">
        <w:rPr>
          <w:rFonts w:cs="David" w:hint="cs"/>
          <w:sz w:val="28"/>
          <w:szCs w:val="28"/>
          <w:rtl/>
        </w:rPr>
        <w:t>יה</w:t>
      </w:r>
      <w:r w:rsidR="007960F3" w:rsidRPr="0004711E">
        <w:rPr>
          <w:rFonts w:cs="David" w:hint="cs"/>
          <w:sz w:val="28"/>
          <w:szCs w:val="28"/>
          <w:rtl/>
        </w:rPr>
        <w:t xml:space="preserve"> ובכך לחסוך זמן עבודה ולעיתים גם למנוע מסקנות שונות באופן מהותי מפי ש</w:t>
      </w:r>
      <w:r w:rsidR="004544A6">
        <w:rPr>
          <w:rFonts w:cs="David" w:hint="cs"/>
          <w:sz w:val="28"/>
          <w:szCs w:val="28"/>
          <w:rtl/>
        </w:rPr>
        <w:t>ת</w:t>
      </w:r>
      <w:r w:rsidR="007960F3" w:rsidRPr="0004711E">
        <w:rPr>
          <w:rFonts w:cs="David" w:hint="cs"/>
          <w:sz w:val="28"/>
          <w:szCs w:val="28"/>
          <w:rtl/>
        </w:rPr>
        <w:t xml:space="preserve">י </w:t>
      </w:r>
      <w:r w:rsidR="0074404A">
        <w:rPr>
          <w:rFonts w:cs="David" w:hint="cs"/>
          <w:sz w:val="28"/>
          <w:szCs w:val="28"/>
          <w:rtl/>
        </w:rPr>
        <w:t>ועדות</w:t>
      </w:r>
      <w:r w:rsidR="007960F3" w:rsidRPr="0004711E">
        <w:rPr>
          <w:rFonts w:cs="David" w:hint="cs"/>
          <w:sz w:val="28"/>
          <w:szCs w:val="28"/>
          <w:rtl/>
        </w:rPr>
        <w:t xml:space="preserve"> בינלאומי</w:t>
      </w:r>
      <w:r w:rsidR="004544A6">
        <w:rPr>
          <w:rFonts w:cs="David" w:hint="cs"/>
          <w:sz w:val="28"/>
          <w:szCs w:val="28"/>
          <w:rtl/>
        </w:rPr>
        <w:t>ות</w:t>
      </w:r>
      <w:r w:rsidR="007960F3" w:rsidRPr="0004711E">
        <w:rPr>
          <w:rFonts w:cs="David" w:hint="cs"/>
          <w:sz w:val="28"/>
          <w:szCs w:val="28"/>
          <w:rtl/>
        </w:rPr>
        <w:t xml:space="preserve"> שונ</w:t>
      </w:r>
      <w:r w:rsidR="004544A6">
        <w:rPr>
          <w:rFonts w:cs="David" w:hint="cs"/>
          <w:sz w:val="28"/>
          <w:szCs w:val="28"/>
          <w:rtl/>
        </w:rPr>
        <w:t>ות</w:t>
      </w:r>
      <w:r w:rsidR="007960F3" w:rsidRPr="0004711E">
        <w:rPr>
          <w:rFonts w:cs="David" w:hint="cs"/>
          <w:sz w:val="28"/>
          <w:szCs w:val="28"/>
          <w:rtl/>
        </w:rPr>
        <w:t>.</w:t>
      </w:r>
    </w:p>
    <w:p w:rsidR="001C5C6C" w:rsidRPr="0004711E" w:rsidRDefault="001C5C6C" w:rsidP="008B316C">
      <w:pPr>
        <w:spacing w:after="0" w:line="360" w:lineRule="auto"/>
        <w:jc w:val="both"/>
        <w:rPr>
          <w:rFonts w:cs="David"/>
          <w:sz w:val="28"/>
          <w:szCs w:val="28"/>
          <w:rtl/>
        </w:rPr>
      </w:pPr>
    </w:p>
    <w:p w:rsidR="002E3AFA" w:rsidRDefault="001C5C6C" w:rsidP="00B55A6D">
      <w:pPr>
        <w:spacing w:after="0" w:line="360" w:lineRule="auto"/>
        <w:jc w:val="both"/>
        <w:rPr>
          <w:rFonts w:cs="David"/>
          <w:sz w:val="28"/>
          <w:szCs w:val="28"/>
          <w:rtl/>
        </w:rPr>
      </w:pPr>
      <w:r w:rsidRPr="0004711E">
        <w:rPr>
          <w:rFonts w:cs="David" w:hint="cs"/>
          <w:sz w:val="28"/>
          <w:szCs w:val="28"/>
          <w:rtl/>
        </w:rPr>
        <w:t>כך, בעניין המשט, מדינת ישראל סירבה לשתף פעולה עם ועדת האדסון</w:t>
      </w:r>
      <w:r w:rsidR="007340F2" w:rsidRPr="0004711E">
        <w:rPr>
          <w:rFonts w:cs="David" w:hint="cs"/>
          <w:sz w:val="28"/>
          <w:szCs w:val="28"/>
          <w:rtl/>
        </w:rPr>
        <w:t>-</w:t>
      </w:r>
      <w:r w:rsidRPr="0004711E">
        <w:rPr>
          <w:rFonts w:cs="David" w:hint="cs"/>
          <w:sz w:val="28"/>
          <w:szCs w:val="28"/>
          <w:rtl/>
        </w:rPr>
        <w:t>פיליפס</w:t>
      </w:r>
      <w:r w:rsidR="007340F2" w:rsidRPr="0004711E">
        <w:rPr>
          <w:rStyle w:val="a7"/>
          <w:rFonts w:cs="David"/>
          <w:sz w:val="28"/>
          <w:szCs w:val="28"/>
          <w:rtl/>
        </w:rPr>
        <w:footnoteReference w:id="176"/>
      </w:r>
      <w:r w:rsidRPr="0004711E">
        <w:rPr>
          <w:rFonts w:cs="David" w:hint="cs"/>
          <w:sz w:val="28"/>
          <w:szCs w:val="28"/>
          <w:rtl/>
        </w:rPr>
        <w:t xml:space="preserve">, </w:t>
      </w:r>
      <w:r w:rsidR="007340F2" w:rsidRPr="0004711E">
        <w:rPr>
          <w:rFonts w:cs="David" w:hint="cs"/>
          <w:sz w:val="28"/>
          <w:szCs w:val="28"/>
          <w:rtl/>
        </w:rPr>
        <w:t>משורת טעמים, שחלקם נגע לריבוי הוועדות שבחנו את העניין וכמות המשאבים שנדרשת לשם כך. למרות הטיעונים הטובים לכאורה שהיו למדינת ישראל כנגד פעולת ועדת האדסון-פיליפס, זכה דוח הוועדה ל</w:t>
      </w:r>
      <w:r w:rsidR="00FB1532" w:rsidRPr="0004711E">
        <w:rPr>
          <w:rFonts w:cs="David" w:hint="cs"/>
          <w:sz w:val="28"/>
          <w:szCs w:val="28"/>
          <w:rtl/>
        </w:rPr>
        <w:t>הפניות רבות בהחלטת התובעת בעקבות</w:t>
      </w:r>
      <w:r w:rsidR="007340F2" w:rsidRPr="0004711E">
        <w:rPr>
          <w:rFonts w:cs="David" w:hint="cs"/>
          <w:sz w:val="28"/>
          <w:szCs w:val="28"/>
          <w:rtl/>
        </w:rPr>
        <w:t xml:space="preserve"> הפנייה של קומורו לגבי המשט</w:t>
      </w:r>
      <w:r w:rsidR="007340F2" w:rsidRPr="0004711E">
        <w:rPr>
          <w:rStyle w:val="a7"/>
          <w:rFonts w:cs="David"/>
          <w:sz w:val="28"/>
          <w:szCs w:val="28"/>
          <w:rtl/>
        </w:rPr>
        <w:footnoteReference w:id="177"/>
      </w:r>
      <w:r w:rsidR="007340F2" w:rsidRPr="0004711E">
        <w:rPr>
          <w:rFonts w:cs="David" w:hint="cs"/>
          <w:sz w:val="28"/>
          <w:szCs w:val="28"/>
          <w:rtl/>
        </w:rPr>
        <w:t xml:space="preserve">. </w:t>
      </w:r>
    </w:p>
    <w:p w:rsidR="00B55A6D" w:rsidRDefault="00B55A6D" w:rsidP="00B55A6D">
      <w:pPr>
        <w:spacing w:after="0" w:line="360" w:lineRule="auto"/>
        <w:jc w:val="both"/>
        <w:rPr>
          <w:rFonts w:cs="David"/>
          <w:sz w:val="28"/>
          <w:szCs w:val="28"/>
          <w:rtl/>
        </w:rPr>
      </w:pPr>
    </w:p>
    <w:p w:rsidR="002E3AFA" w:rsidRDefault="00EC320F" w:rsidP="004544A6">
      <w:pPr>
        <w:spacing w:after="0" w:line="360" w:lineRule="auto"/>
        <w:jc w:val="both"/>
        <w:rPr>
          <w:rFonts w:cs="David"/>
          <w:sz w:val="28"/>
          <w:szCs w:val="28"/>
          <w:rtl/>
        </w:rPr>
      </w:pPr>
      <w:r>
        <w:rPr>
          <w:rFonts w:cs="David" w:hint="cs"/>
          <w:sz w:val="28"/>
          <w:szCs w:val="28"/>
          <w:rtl/>
        </w:rPr>
        <w:t>אך שיקולי המשאבים וחוסר ההגינות של חלק מ</w:t>
      </w:r>
      <w:r w:rsidR="001165FD">
        <w:rPr>
          <w:rFonts w:cs="David" w:hint="cs"/>
          <w:sz w:val="28"/>
          <w:szCs w:val="28"/>
          <w:rtl/>
        </w:rPr>
        <w:t>הוועדות</w:t>
      </w:r>
      <w:r>
        <w:rPr>
          <w:rFonts w:cs="David" w:hint="cs"/>
          <w:sz w:val="28"/>
          <w:szCs w:val="28"/>
          <w:rtl/>
        </w:rPr>
        <w:t xml:space="preserve"> אינם השיקולים היחידים כנגד פעולת</w:t>
      </w:r>
      <w:r w:rsidR="004544A6">
        <w:rPr>
          <w:rFonts w:cs="David" w:hint="cs"/>
          <w:sz w:val="28"/>
          <w:szCs w:val="28"/>
          <w:rtl/>
        </w:rPr>
        <w:t>ן</w:t>
      </w:r>
      <w:r>
        <w:rPr>
          <w:rFonts w:cs="David" w:hint="cs"/>
          <w:sz w:val="28"/>
          <w:szCs w:val="28"/>
          <w:rtl/>
        </w:rPr>
        <w:t xml:space="preserve"> של מספר </w:t>
      </w:r>
      <w:r w:rsidR="0074404A">
        <w:rPr>
          <w:rFonts w:cs="David" w:hint="cs"/>
          <w:sz w:val="28"/>
          <w:szCs w:val="28"/>
          <w:rtl/>
        </w:rPr>
        <w:t>ועדות</w:t>
      </w:r>
      <w:r>
        <w:rPr>
          <w:rFonts w:cs="David" w:hint="cs"/>
          <w:sz w:val="28"/>
          <w:szCs w:val="28"/>
          <w:rtl/>
        </w:rPr>
        <w:t xml:space="preserve"> במקביל. </w:t>
      </w:r>
      <w:r w:rsidR="002E3AFA">
        <w:rPr>
          <w:rFonts w:cs="David" w:hint="cs"/>
          <w:sz w:val="28"/>
          <w:szCs w:val="28"/>
          <w:rtl/>
        </w:rPr>
        <w:t>פרופסור בסיוני מתייחס במאמרו</w:t>
      </w:r>
      <w:bookmarkStart w:id="40" w:name="_Ref450959869"/>
      <w:r w:rsidR="002E3AFA">
        <w:rPr>
          <w:rStyle w:val="a7"/>
          <w:rFonts w:cs="David"/>
          <w:sz w:val="28"/>
          <w:szCs w:val="28"/>
          <w:rtl/>
        </w:rPr>
        <w:footnoteReference w:id="178"/>
      </w:r>
      <w:bookmarkEnd w:id="40"/>
      <w:r w:rsidR="002E3AFA">
        <w:rPr>
          <w:rFonts w:cs="David" w:hint="cs"/>
          <w:sz w:val="28"/>
          <w:szCs w:val="28"/>
          <w:rtl/>
        </w:rPr>
        <w:t xml:space="preserve"> לכמה תוצאות</w:t>
      </w:r>
      <w:r>
        <w:rPr>
          <w:rFonts w:cs="David" w:hint="cs"/>
          <w:sz w:val="28"/>
          <w:szCs w:val="28"/>
          <w:rtl/>
        </w:rPr>
        <w:t xml:space="preserve"> שליליות נוספות</w:t>
      </w:r>
      <w:r w:rsidR="002E3AFA">
        <w:rPr>
          <w:rFonts w:cs="David" w:hint="cs"/>
          <w:sz w:val="28"/>
          <w:szCs w:val="28"/>
          <w:rtl/>
        </w:rPr>
        <w:t xml:space="preserve"> שנובעות ממנדטים חופפים של </w:t>
      </w:r>
      <w:r w:rsidR="009F6ED1">
        <w:rPr>
          <w:rFonts w:cs="David" w:hint="cs"/>
          <w:sz w:val="28"/>
          <w:szCs w:val="28"/>
          <w:rtl/>
        </w:rPr>
        <w:t xml:space="preserve">ועדות חקירה </w:t>
      </w:r>
      <w:r w:rsidR="002E3AFA">
        <w:rPr>
          <w:rFonts w:cs="David" w:hint="cs"/>
          <w:sz w:val="28"/>
          <w:szCs w:val="28"/>
          <w:rtl/>
        </w:rPr>
        <w:t>שפועלים במקביל:</w:t>
      </w:r>
    </w:p>
    <w:p w:rsidR="002E3AFA" w:rsidRDefault="002E3AFA" w:rsidP="002E3AFA">
      <w:pPr>
        <w:spacing w:after="0" w:line="360" w:lineRule="auto"/>
        <w:jc w:val="both"/>
        <w:rPr>
          <w:rFonts w:cs="David"/>
          <w:sz w:val="28"/>
          <w:szCs w:val="28"/>
          <w:rtl/>
        </w:rPr>
      </w:pPr>
    </w:p>
    <w:p w:rsidR="002E3AFA" w:rsidRDefault="002E3AFA" w:rsidP="002E3AFA">
      <w:pPr>
        <w:pStyle w:val="a9"/>
        <w:numPr>
          <w:ilvl w:val="0"/>
          <w:numId w:val="18"/>
        </w:numPr>
        <w:spacing w:after="0" w:line="360" w:lineRule="auto"/>
        <w:jc w:val="both"/>
        <w:rPr>
          <w:rFonts w:cs="David"/>
          <w:sz w:val="28"/>
          <w:szCs w:val="28"/>
        </w:rPr>
      </w:pPr>
      <w:r>
        <w:rPr>
          <w:rFonts w:cs="David" w:hint="cs"/>
          <w:sz w:val="28"/>
          <w:szCs w:val="28"/>
          <w:rtl/>
        </w:rPr>
        <w:t>בלבול באשר לגבולות המנדטים החופפים;</w:t>
      </w:r>
    </w:p>
    <w:p w:rsidR="002E3AFA" w:rsidRDefault="002E3AFA" w:rsidP="002E3AFA">
      <w:pPr>
        <w:pStyle w:val="a9"/>
        <w:numPr>
          <w:ilvl w:val="0"/>
          <w:numId w:val="18"/>
        </w:numPr>
        <w:spacing w:after="0" w:line="360" w:lineRule="auto"/>
        <w:jc w:val="both"/>
        <w:rPr>
          <w:rFonts w:cs="David"/>
          <w:sz w:val="28"/>
          <w:szCs w:val="28"/>
        </w:rPr>
      </w:pPr>
      <w:r>
        <w:rPr>
          <w:rFonts w:cs="David" w:hint="cs"/>
          <w:sz w:val="28"/>
          <w:szCs w:val="28"/>
          <w:rtl/>
        </w:rPr>
        <w:t>סתירות אפשריות במסקנות;</w:t>
      </w:r>
    </w:p>
    <w:p w:rsidR="002E3AFA" w:rsidRDefault="002E3AFA" w:rsidP="002E3AFA">
      <w:pPr>
        <w:pStyle w:val="a9"/>
        <w:numPr>
          <w:ilvl w:val="0"/>
          <w:numId w:val="18"/>
        </w:numPr>
        <w:spacing w:after="0" w:line="360" w:lineRule="auto"/>
        <w:jc w:val="both"/>
        <w:rPr>
          <w:rFonts w:cs="David"/>
          <w:sz w:val="28"/>
          <w:szCs w:val="28"/>
        </w:rPr>
      </w:pPr>
      <w:r>
        <w:rPr>
          <w:rFonts w:cs="David" w:hint="cs"/>
          <w:sz w:val="28"/>
          <w:szCs w:val="28"/>
          <w:rtl/>
        </w:rPr>
        <w:t xml:space="preserve">הסתמכות הדדית פוטנציאלית של </w:t>
      </w:r>
      <w:r w:rsidR="001165FD">
        <w:rPr>
          <w:rFonts w:cs="David" w:hint="cs"/>
          <w:sz w:val="28"/>
          <w:szCs w:val="28"/>
          <w:rtl/>
        </w:rPr>
        <w:t>הוועדות</w:t>
      </w:r>
      <w:r>
        <w:rPr>
          <w:rFonts w:cs="David" w:hint="cs"/>
          <w:sz w:val="28"/>
          <w:szCs w:val="28"/>
          <w:rtl/>
        </w:rPr>
        <w:t xml:space="preserve"> בדיווח על האזורים החופפים, ובכך יצירת הרושם המוטעה של אישור ומהימנות.</w:t>
      </w:r>
    </w:p>
    <w:p w:rsidR="00EC320F" w:rsidRDefault="00EC320F" w:rsidP="002E3AFA">
      <w:pPr>
        <w:spacing w:after="0" w:line="360" w:lineRule="auto"/>
        <w:jc w:val="both"/>
        <w:rPr>
          <w:rFonts w:cs="David"/>
          <w:sz w:val="28"/>
          <w:szCs w:val="28"/>
          <w:rtl/>
        </w:rPr>
      </w:pPr>
    </w:p>
    <w:p w:rsidR="002E3AFA" w:rsidRDefault="00EC320F" w:rsidP="00EC320F">
      <w:pPr>
        <w:spacing w:after="0" w:line="360" w:lineRule="auto"/>
        <w:jc w:val="both"/>
        <w:rPr>
          <w:rFonts w:cs="David"/>
          <w:sz w:val="28"/>
          <w:szCs w:val="28"/>
          <w:rtl/>
        </w:rPr>
      </w:pPr>
      <w:r>
        <w:rPr>
          <w:rFonts w:cs="David" w:hint="cs"/>
          <w:sz w:val="28"/>
          <w:szCs w:val="28"/>
          <w:rtl/>
        </w:rPr>
        <w:t>כן מתייחס בסיוני ל</w:t>
      </w:r>
      <w:r w:rsidR="002E3AFA">
        <w:rPr>
          <w:rFonts w:cs="David" w:hint="cs"/>
          <w:sz w:val="28"/>
          <w:szCs w:val="28"/>
          <w:rtl/>
        </w:rPr>
        <w:t>תוצאות הנובעות מהוצאת המנדטים הללו אד הוק:</w:t>
      </w:r>
    </w:p>
    <w:p w:rsidR="002E3AFA" w:rsidRDefault="002E3AFA" w:rsidP="002E3AFA">
      <w:pPr>
        <w:spacing w:after="0" w:line="360" w:lineRule="auto"/>
        <w:jc w:val="both"/>
        <w:rPr>
          <w:rFonts w:cs="David"/>
          <w:sz w:val="28"/>
          <w:szCs w:val="28"/>
          <w:rtl/>
        </w:rPr>
      </w:pPr>
    </w:p>
    <w:p w:rsidR="002E3AFA" w:rsidRDefault="00FA57CC" w:rsidP="002E3AFA">
      <w:pPr>
        <w:pStyle w:val="a9"/>
        <w:numPr>
          <w:ilvl w:val="0"/>
          <w:numId w:val="19"/>
        </w:numPr>
        <w:spacing w:after="0" w:line="360" w:lineRule="auto"/>
        <w:jc w:val="both"/>
        <w:rPr>
          <w:rFonts w:cs="David"/>
          <w:sz w:val="28"/>
          <w:szCs w:val="28"/>
        </w:rPr>
      </w:pPr>
      <w:r>
        <w:rPr>
          <w:rFonts w:cs="David" w:hint="cs"/>
          <w:sz w:val="28"/>
          <w:szCs w:val="28"/>
          <w:rtl/>
        </w:rPr>
        <w:t>לא ניתן לצפות באילו מצבים יוצאו מנדטים כאלה;</w:t>
      </w:r>
    </w:p>
    <w:p w:rsidR="00FA57CC" w:rsidRDefault="00FA57CC" w:rsidP="002E3AFA">
      <w:pPr>
        <w:pStyle w:val="a9"/>
        <w:numPr>
          <w:ilvl w:val="0"/>
          <w:numId w:val="19"/>
        </w:numPr>
        <w:spacing w:after="0" w:line="360" w:lineRule="auto"/>
        <w:jc w:val="both"/>
        <w:rPr>
          <w:rFonts w:cs="David"/>
          <w:sz w:val="28"/>
          <w:szCs w:val="28"/>
        </w:rPr>
      </w:pPr>
      <w:r>
        <w:rPr>
          <w:rFonts w:cs="David" w:hint="cs"/>
          <w:sz w:val="28"/>
          <w:szCs w:val="28"/>
          <w:rtl/>
        </w:rPr>
        <w:t>ההחלטות להוציא, להאריך, לתקן ולסיים מנדטים כאלה נראות בעיקרן כתלויות בנסיבות פוליטיות ולא רלוונטיות;</w:t>
      </w:r>
    </w:p>
    <w:p w:rsidR="00FA57CC" w:rsidRDefault="00FA57CC" w:rsidP="002E3AFA">
      <w:pPr>
        <w:pStyle w:val="a9"/>
        <w:numPr>
          <w:ilvl w:val="0"/>
          <w:numId w:val="19"/>
        </w:numPr>
        <w:spacing w:after="0" w:line="360" w:lineRule="auto"/>
        <w:jc w:val="both"/>
        <w:rPr>
          <w:rFonts w:cs="David"/>
          <w:sz w:val="28"/>
          <w:szCs w:val="28"/>
        </w:rPr>
      </w:pPr>
      <w:r>
        <w:rPr>
          <w:rFonts w:cs="David" w:hint="cs"/>
          <w:sz w:val="28"/>
          <w:szCs w:val="28"/>
          <w:rtl/>
        </w:rPr>
        <w:t xml:space="preserve">אין עקביות ברציפות המעקב אחר </w:t>
      </w:r>
      <w:r w:rsidR="0074404A">
        <w:rPr>
          <w:rFonts w:cs="David" w:hint="cs"/>
          <w:sz w:val="28"/>
          <w:szCs w:val="28"/>
          <w:rtl/>
        </w:rPr>
        <w:t>ועדות</w:t>
      </w:r>
      <w:r>
        <w:rPr>
          <w:rFonts w:cs="David" w:hint="cs"/>
          <w:sz w:val="28"/>
          <w:szCs w:val="28"/>
          <w:rtl/>
        </w:rPr>
        <w:t xml:space="preserve"> שהמנדט שלהם הגיע לסיומו.</w:t>
      </w:r>
    </w:p>
    <w:p w:rsidR="002A2CE5" w:rsidRPr="0004711E" w:rsidRDefault="002A2CE5" w:rsidP="008B316C">
      <w:pPr>
        <w:spacing w:after="0" w:line="360" w:lineRule="auto"/>
        <w:jc w:val="both"/>
        <w:rPr>
          <w:rFonts w:cs="David"/>
          <w:sz w:val="28"/>
          <w:szCs w:val="28"/>
          <w:rtl/>
        </w:rPr>
      </w:pPr>
    </w:p>
    <w:p w:rsidR="0014495C" w:rsidRDefault="0014495C" w:rsidP="005B7792">
      <w:pPr>
        <w:spacing w:after="0" w:line="360" w:lineRule="auto"/>
        <w:jc w:val="both"/>
        <w:rPr>
          <w:rFonts w:cs="David"/>
          <w:sz w:val="28"/>
          <w:szCs w:val="28"/>
          <w:rtl/>
        </w:rPr>
      </w:pPr>
      <w:r>
        <w:rPr>
          <w:rFonts w:cs="David" w:hint="cs"/>
          <w:sz w:val="28"/>
          <w:szCs w:val="28"/>
          <w:rtl/>
        </w:rPr>
        <w:t xml:space="preserve">לאור כל ההיבטים שנזכרים לעיל, נראה, כי </w:t>
      </w:r>
      <w:r w:rsidR="002A2CE5" w:rsidRPr="0004711E">
        <w:rPr>
          <w:rFonts w:cs="David" w:hint="cs"/>
          <w:sz w:val="28"/>
          <w:szCs w:val="28"/>
          <w:rtl/>
        </w:rPr>
        <w:t xml:space="preserve">במצבים מסוימים, </w:t>
      </w:r>
      <w:r w:rsidR="007240D2" w:rsidRPr="0004711E">
        <w:rPr>
          <w:rFonts w:cs="David" w:hint="cs"/>
          <w:sz w:val="28"/>
          <w:szCs w:val="28"/>
          <w:rtl/>
        </w:rPr>
        <w:t xml:space="preserve">יכולה </w:t>
      </w:r>
      <w:r w:rsidR="002A2CE5" w:rsidRPr="0004711E">
        <w:rPr>
          <w:rFonts w:cs="David" w:hint="cs"/>
          <w:sz w:val="28"/>
          <w:szCs w:val="28"/>
          <w:rtl/>
        </w:rPr>
        <w:t xml:space="preserve">מדינת ישראל לנסות לקדם מהלכים להקמת </w:t>
      </w:r>
      <w:r w:rsidR="0074404A">
        <w:rPr>
          <w:rFonts w:cs="David" w:hint="cs"/>
          <w:sz w:val="28"/>
          <w:szCs w:val="28"/>
          <w:rtl/>
        </w:rPr>
        <w:t>ועדות</w:t>
      </w:r>
      <w:r w:rsidR="002A2CE5" w:rsidRPr="0004711E">
        <w:rPr>
          <w:rFonts w:cs="David" w:hint="cs"/>
          <w:sz w:val="28"/>
          <w:szCs w:val="28"/>
          <w:rtl/>
        </w:rPr>
        <w:t xml:space="preserve"> חלופי</w:t>
      </w:r>
      <w:r w:rsidR="004544A6">
        <w:rPr>
          <w:rFonts w:cs="David" w:hint="cs"/>
          <w:sz w:val="28"/>
          <w:szCs w:val="28"/>
          <w:rtl/>
        </w:rPr>
        <w:t>ות</w:t>
      </w:r>
      <w:r w:rsidR="002A2CE5" w:rsidRPr="0004711E">
        <w:rPr>
          <w:rFonts w:cs="David" w:hint="cs"/>
          <w:sz w:val="28"/>
          <w:szCs w:val="28"/>
          <w:rtl/>
        </w:rPr>
        <w:t xml:space="preserve"> והוגנ</w:t>
      </w:r>
      <w:r w:rsidR="004544A6">
        <w:rPr>
          <w:rFonts w:cs="David" w:hint="cs"/>
          <w:sz w:val="28"/>
          <w:szCs w:val="28"/>
          <w:rtl/>
        </w:rPr>
        <w:t>ות</w:t>
      </w:r>
      <w:r w:rsidR="002A2CE5" w:rsidRPr="0004711E">
        <w:rPr>
          <w:rFonts w:cs="David" w:hint="cs"/>
          <w:sz w:val="28"/>
          <w:szCs w:val="28"/>
          <w:rtl/>
        </w:rPr>
        <w:t xml:space="preserve"> יותר על פני </w:t>
      </w:r>
      <w:r w:rsidR="001165FD">
        <w:rPr>
          <w:rFonts w:cs="David" w:hint="cs"/>
          <w:sz w:val="28"/>
          <w:szCs w:val="28"/>
          <w:rtl/>
        </w:rPr>
        <w:t>הוועדות</w:t>
      </w:r>
      <w:r w:rsidR="002A2CE5" w:rsidRPr="0004711E">
        <w:rPr>
          <w:rFonts w:cs="David" w:hint="cs"/>
          <w:sz w:val="28"/>
          <w:szCs w:val="28"/>
          <w:rtl/>
        </w:rPr>
        <w:t xml:space="preserve"> של מועצת זכויות האדם. זה יכול להיעשות במגעים מול המועצה, שתסכים שלא למנות </w:t>
      </w:r>
      <w:r w:rsidR="0074404A">
        <w:rPr>
          <w:rFonts w:cs="David" w:hint="cs"/>
          <w:sz w:val="28"/>
          <w:szCs w:val="28"/>
          <w:rtl/>
        </w:rPr>
        <w:t>ועדה</w:t>
      </w:r>
      <w:r w:rsidR="002A2CE5" w:rsidRPr="0004711E">
        <w:rPr>
          <w:rFonts w:cs="David" w:hint="cs"/>
          <w:sz w:val="28"/>
          <w:szCs w:val="28"/>
          <w:rtl/>
        </w:rPr>
        <w:t xml:space="preserve"> משלה אם </w:t>
      </w:r>
      <w:r w:rsidR="005B7792">
        <w:rPr>
          <w:rFonts w:cs="David" w:hint="cs"/>
          <w:sz w:val="28"/>
          <w:szCs w:val="28"/>
          <w:rtl/>
        </w:rPr>
        <w:t>ת</w:t>
      </w:r>
      <w:r w:rsidR="002A2CE5" w:rsidRPr="0004711E">
        <w:rPr>
          <w:rFonts w:cs="David" w:hint="cs"/>
          <w:sz w:val="28"/>
          <w:szCs w:val="28"/>
          <w:rtl/>
        </w:rPr>
        <w:t xml:space="preserve">מונה </w:t>
      </w:r>
      <w:r w:rsidR="0074404A">
        <w:rPr>
          <w:rFonts w:cs="David" w:hint="cs"/>
          <w:sz w:val="28"/>
          <w:szCs w:val="28"/>
          <w:rtl/>
        </w:rPr>
        <w:t>ועדה</w:t>
      </w:r>
      <w:r w:rsidR="002A2CE5" w:rsidRPr="0004711E">
        <w:rPr>
          <w:rFonts w:cs="David" w:hint="cs"/>
          <w:sz w:val="28"/>
          <w:szCs w:val="28"/>
          <w:rtl/>
        </w:rPr>
        <w:t xml:space="preserve"> אחר</w:t>
      </w:r>
      <w:r w:rsidR="005B7792">
        <w:rPr>
          <w:rFonts w:cs="David" w:hint="cs"/>
          <w:sz w:val="28"/>
          <w:szCs w:val="28"/>
          <w:rtl/>
        </w:rPr>
        <w:t>ת</w:t>
      </w:r>
      <w:r w:rsidR="002A2CE5" w:rsidRPr="0004711E">
        <w:rPr>
          <w:rFonts w:cs="David" w:hint="cs"/>
          <w:sz w:val="28"/>
          <w:szCs w:val="28"/>
          <w:rtl/>
        </w:rPr>
        <w:t xml:space="preserve"> (נראה שהסיכוי לכך הוא בדרך כלל לא גבוה, אבל יהיו מצבים שבהם זה ייתכן), או במגעים מול הגוף החלופי, מתוך הבנה שהוא </w:t>
      </w:r>
      <w:r w:rsidR="002A2CE5" w:rsidRPr="0004711E">
        <w:rPr>
          <w:rFonts w:cs="David" w:hint="cs"/>
          <w:sz w:val="28"/>
          <w:szCs w:val="28"/>
          <w:rtl/>
        </w:rPr>
        <w:lastRenderedPageBreak/>
        <w:t xml:space="preserve">יפעל במקביל למועצה. בהקשר הזה </w:t>
      </w:r>
      <w:r w:rsidR="007240D2">
        <w:rPr>
          <w:rFonts w:cs="David" w:hint="cs"/>
          <w:sz w:val="28"/>
          <w:szCs w:val="28"/>
          <w:rtl/>
        </w:rPr>
        <w:t>ניתן</w:t>
      </w:r>
      <w:r w:rsidR="007240D2" w:rsidRPr="0004711E">
        <w:rPr>
          <w:rFonts w:cs="David" w:hint="cs"/>
          <w:sz w:val="28"/>
          <w:szCs w:val="28"/>
          <w:rtl/>
        </w:rPr>
        <w:t xml:space="preserve"> </w:t>
      </w:r>
      <w:r w:rsidR="002A2CE5" w:rsidRPr="0004711E">
        <w:rPr>
          <w:rFonts w:cs="David" w:hint="cs"/>
          <w:sz w:val="28"/>
          <w:szCs w:val="28"/>
          <w:rtl/>
        </w:rPr>
        <w:t xml:space="preserve">להציע כמה חלופות. חלופה אחת יכולה להיות הוועדה הבינלאומית לבירור עובדות שהוקמה לפי סעיף 90 לפרוטוקול הראשון, ואשר תוארה </w:t>
      </w:r>
      <w:r w:rsidR="005B7792">
        <w:rPr>
          <w:rFonts w:cs="David" w:hint="cs"/>
          <w:sz w:val="28"/>
          <w:szCs w:val="28"/>
          <w:rtl/>
        </w:rPr>
        <w:t>בפרק הראשון לעיל</w:t>
      </w:r>
      <w:r w:rsidR="002A2CE5" w:rsidRPr="0004711E">
        <w:rPr>
          <w:rFonts w:cs="David" w:hint="cs"/>
          <w:sz w:val="28"/>
          <w:szCs w:val="28"/>
          <w:rtl/>
        </w:rPr>
        <w:t xml:space="preserve">. ועדה זו אומנם לא הופעלה מעולם, אך ייתכן שיש לה יתרון בבחינת אירועים מבצעיים, משום שהיא בוחנת הפרות של המשפט הבינלאומי ההומניטארי, שמתאים יותר </w:t>
      </w:r>
      <w:r w:rsidR="007A4734" w:rsidRPr="0004711E">
        <w:rPr>
          <w:rFonts w:cs="David" w:hint="cs"/>
          <w:sz w:val="28"/>
          <w:szCs w:val="28"/>
          <w:rtl/>
        </w:rPr>
        <w:t xml:space="preserve">לבחינת אירועים כאלה </w:t>
      </w:r>
      <w:r w:rsidR="002A2CE5" w:rsidRPr="0004711E">
        <w:rPr>
          <w:rFonts w:cs="David" w:hint="cs"/>
          <w:sz w:val="28"/>
          <w:szCs w:val="28"/>
          <w:rtl/>
        </w:rPr>
        <w:t>ממשפט זכויות האדם הבינלאומי.</w:t>
      </w:r>
      <w:r w:rsidR="00F74178" w:rsidRPr="0004711E">
        <w:rPr>
          <w:rFonts w:cs="David" w:hint="cs"/>
          <w:sz w:val="28"/>
          <w:szCs w:val="28"/>
          <w:rtl/>
        </w:rPr>
        <w:t xml:space="preserve"> </w:t>
      </w:r>
    </w:p>
    <w:p w:rsidR="0014495C" w:rsidRDefault="0014495C" w:rsidP="007240D2">
      <w:pPr>
        <w:spacing w:after="0" w:line="360" w:lineRule="auto"/>
        <w:jc w:val="both"/>
        <w:rPr>
          <w:rFonts w:cs="David"/>
          <w:sz w:val="28"/>
          <w:szCs w:val="28"/>
          <w:rtl/>
        </w:rPr>
      </w:pPr>
    </w:p>
    <w:p w:rsidR="0014495C" w:rsidRDefault="00F74178" w:rsidP="005B7792">
      <w:pPr>
        <w:spacing w:after="0" w:line="360" w:lineRule="auto"/>
        <w:jc w:val="both"/>
        <w:rPr>
          <w:rFonts w:cs="David"/>
          <w:sz w:val="28"/>
          <w:szCs w:val="28"/>
          <w:rtl/>
        </w:rPr>
      </w:pPr>
      <w:r w:rsidRPr="0004711E">
        <w:rPr>
          <w:rFonts w:cs="David" w:hint="cs"/>
          <w:sz w:val="28"/>
          <w:szCs w:val="28"/>
          <w:rtl/>
        </w:rPr>
        <w:t>חלופה אחרת יכולה להיות ועדה</w:t>
      </w:r>
      <w:r w:rsidR="007240D2">
        <w:rPr>
          <w:rFonts w:cs="David" w:hint="cs"/>
          <w:sz w:val="28"/>
          <w:szCs w:val="28"/>
          <w:rtl/>
        </w:rPr>
        <w:t>,</w:t>
      </w:r>
      <w:r w:rsidRPr="0004711E">
        <w:rPr>
          <w:rFonts w:cs="David" w:hint="cs"/>
          <w:sz w:val="28"/>
          <w:szCs w:val="28"/>
          <w:rtl/>
        </w:rPr>
        <w:t xml:space="preserve"> שמוקמת</w:t>
      </w:r>
      <w:r w:rsidR="00692192">
        <w:rPr>
          <w:rFonts w:cs="David" w:hint="cs"/>
          <w:sz w:val="28"/>
          <w:szCs w:val="28"/>
          <w:rtl/>
        </w:rPr>
        <w:t xml:space="preserve"> על ידי </w:t>
      </w:r>
      <w:r w:rsidRPr="0004711E">
        <w:rPr>
          <w:rFonts w:cs="David" w:hint="cs"/>
          <w:sz w:val="28"/>
          <w:szCs w:val="28"/>
          <w:rtl/>
        </w:rPr>
        <w:t>מדינת ישראל, כגון ועדת מומחים</w:t>
      </w:r>
      <w:r w:rsidR="002A2CE5" w:rsidRPr="0004711E">
        <w:rPr>
          <w:rFonts w:cs="David" w:hint="cs"/>
          <w:sz w:val="28"/>
          <w:szCs w:val="28"/>
          <w:rtl/>
        </w:rPr>
        <w:t xml:space="preserve"> במשפט בינלאומי</w:t>
      </w:r>
      <w:r w:rsidRPr="0004711E">
        <w:rPr>
          <w:rFonts w:cs="David" w:hint="cs"/>
          <w:sz w:val="28"/>
          <w:szCs w:val="28"/>
          <w:rtl/>
        </w:rPr>
        <w:t>, שתכלול חברים לא ישראלים בעלי שם בתחום. ועדה זו תפעל במקביל. המודל יכול להיות דומה לזה של ועדת טירקל</w:t>
      </w:r>
      <w:r w:rsidR="007240D2">
        <w:rPr>
          <w:rFonts w:cs="David" w:hint="cs"/>
          <w:sz w:val="28"/>
          <w:szCs w:val="28"/>
          <w:rtl/>
        </w:rPr>
        <w:t>,</w:t>
      </w:r>
      <w:r w:rsidR="007A4734" w:rsidRPr="0004711E">
        <w:rPr>
          <w:rFonts w:cs="David" w:hint="cs"/>
          <w:sz w:val="28"/>
          <w:szCs w:val="28"/>
          <w:rtl/>
        </w:rPr>
        <w:t xml:space="preserve"> שהוקמה לבחינת אירוע המשט</w:t>
      </w:r>
      <w:r w:rsidRPr="0004711E">
        <w:rPr>
          <w:rFonts w:cs="David" w:hint="cs"/>
          <w:sz w:val="28"/>
          <w:szCs w:val="28"/>
          <w:rtl/>
        </w:rPr>
        <w:t xml:space="preserve">, אלא שניתן לשקול </w:t>
      </w:r>
      <w:r w:rsidR="007A4734" w:rsidRPr="0004711E">
        <w:rPr>
          <w:rFonts w:cs="David" w:hint="cs"/>
          <w:sz w:val="28"/>
          <w:szCs w:val="28"/>
          <w:rtl/>
        </w:rPr>
        <w:t>להעניק ל</w:t>
      </w:r>
      <w:r w:rsidRPr="0004711E">
        <w:rPr>
          <w:rFonts w:cs="David" w:hint="cs"/>
          <w:sz w:val="28"/>
          <w:szCs w:val="28"/>
          <w:rtl/>
        </w:rPr>
        <w:t xml:space="preserve">מומחים הזרים בוועדה </w:t>
      </w:r>
      <w:r w:rsidR="007A4734" w:rsidRPr="0004711E">
        <w:rPr>
          <w:rFonts w:cs="David" w:hint="cs"/>
          <w:sz w:val="28"/>
          <w:szCs w:val="28"/>
          <w:rtl/>
        </w:rPr>
        <w:t xml:space="preserve">מעמד של </w:t>
      </w:r>
      <w:r w:rsidRPr="0004711E">
        <w:rPr>
          <w:rFonts w:cs="David" w:hint="cs"/>
          <w:sz w:val="28"/>
          <w:szCs w:val="28"/>
          <w:rtl/>
        </w:rPr>
        <w:t xml:space="preserve">חברים </w:t>
      </w:r>
      <w:r w:rsidR="007A4734" w:rsidRPr="0004711E">
        <w:rPr>
          <w:rFonts w:cs="David" w:hint="cs"/>
          <w:sz w:val="28"/>
          <w:szCs w:val="28"/>
          <w:rtl/>
        </w:rPr>
        <w:t xml:space="preserve">מלאים </w:t>
      </w:r>
      <w:r w:rsidRPr="0004711E">
        <w:rPr>
          <w:rFonts w:cs="David" w:hint="cs"/>
          <w:sz w:val="28"/>
          <w:szCs w:val="28"/>
          <w:rtl/>
        </w:rPr>
        <w:t xml:space="preserve">ולא רק </w:t>
      </w:r>
      <w:r w:rsidR="007A4734" w:rsidRPr="0004711E">
        <w:rPr>
          <w:rFonts w:cs="David" w:hint="cs"/>
          <w:sz w:val="28"/>
          <w:szCs w:val="28"/>
          <w:rtl/>
        </w:rPr>
        <w:t xml:space="preserve">של </w:t>
      </w:r>
      <w:r w:rsidRPr="0004711E">
        <w:rPr>
          <w:rFonts w:cs="David" w:hint="cs"/>
          <w:sz w:val="28"/>
          <w:szCs w:val="28"/>
          <w:rtl/>
        </w:rPr>
        <w:t>משקיפים. ועדה כזו תוכל לנהל את חקירתה בשיתוף פעולה עם החקירות</w:t>
      </w:r>
      <w:r w:rsidR="007240D2">
        <w:rPr>
          <w:rFonts w:cs="David" w:hint="cs"/>
          <w:sz w:val="28"/>
          <w:szCs w:val="28"/>
          <w:rtl/>
        </w:rPr>
        <w:t>,</w:t>
      </w:r>
      <w:r w:rsidRPr="0004711E">
        <w:rPr>
          <w:rFonts w:cs="David" w:hint="cs"/>
          <w:sz w:val="28"/>
          <w:szCs w:val="28"/>
          <w:rtl/>
        </w:rPr>
        <w:t xml:space="preserve"> שיתקיימו בצה"ל ובמקביל אליהן. ניתן גם לחשוב על הקמת </w:t>
      </w:r>
      <w:r w:rsidR="009F6ED1">
        <w:rPr>
          <w:rFonts w:cs="David" w:hint="cs"/>
          <w:sz w:val="28"/>
          <w:szCs w:val="28"/>
          <w:rtl/>
        </w:rPr>
        <w:t xml:space="preserve">ועדות חקירה </w:t>
      </w:r>
      <w:r w:rsidRPr="0004711E">
        <w:rPr>
          <w:rFonts w:cs="David" w:hint="cs"/>
          <w:sz w:val="28"/>
          <w:szCs w:val="28"/>
          <w:rtl/>
        </w:rPr>
        <w:t>חלופי</w:t>
      </w:r>
      <w:r w:rsidR="005B7792">
        <w:rPr>
          <w:rFonts w:cs="David" w:hint="cs"/>
          <w:sz w:val="28"/>
          <w:szCs w:val="28"/>
          <w:rtl/>
        </w:rPr>
        <w:t>ות</w:t>
      </w:r>
      <w:r w:rsidRPr="0004711E">
        <w:rPr>
          <w:rFonts w:cs="David" w:hint="cs"/>
          <w:sz w:val="28"/>
          <w:szCs w:val="28"/>
          <w:rtl/>
        </w:rPr>
        <w:t xml:space="preserve"> מטעם מזכ"ל האו"ם או </w:t>
      </w:r>
      <w:r w:rsidR="008F215E" w:rsidRPr="0004711E">
        <w:rPr>
          <w:rFonts w:cs="David" w:hint="cs"/>
          <w:sz w:val="28"/>
          <w:szCs w:val="28"/>
          <w:rtl/>
        </w:rPr>
        <w:t xml:space="preserve">לבקש מאחד הדווחים המיוחדים של מועצת זכויות האדם או </w:t>
      </w:r>
      <w:r w:rsidRPr="0004711E">
        <w:rPr>
          <w:rFonts w:cs="David" w:hint="cs"/>
          <w:sz w:val="28"/>
          <w:szCs w:val="28"/>
          <w:rtl/>
        </w:rPr>
        <w:t>מ</w:t>
      </w:r>
      <w:r w:rsidR="008F215E" w:rsidRPr="0004711E">
        <w:rPr>
          <w:rFonts w:cs="David" w:hint="cs"/>
          <w:sz w:val="28"/>
          <w:szCs w:val="28"/>
          <w:rtl/>
        </w:rPr>
        <w:t>ה</w:t>
      </w:r>
      <w:r w:rsidRPr="0004711E">
        <w:rPr>
          <w:rFonts w:cs="David" w:hint="cs"/>
          <w:sz w:val="28"/>
          <w:szCs w:val="28"/>
          <w:rtl/>
        </w:rPr>
        <w:t xml:space="preserve">נציב </w:t>
      </w:r>
      <w:r w:rsidR="008F215E" w:rsidRPr="0004711E">
        <w:rPr>
          <w:rFonts w:cs="David" w:hint="cs"/>
          <w:sz w:val="28"/>
          <w:szCs w:val="28"/>
          <w:rtl/>
        </w:rPr>
        <w:t>העליון ל</w:t>
      </w:r>
      <w:r w:rsidRPr="0004711E">
        <w:rPr>
          <w:rFonts w:cs="David" w:hint="cs"/>
          <w:sz w:val="28"/>
          <w:szCs w:val="28"/>
          <w:rtl/>
        </w:rPr>
        <w:t>זכויות האדם שיגיש</w:t>
      </w:r>
      <w:r w:rsidR="007A4734" w:rsidRPr="0004711E">
        <w:rPr>
          <w:rFonts w:cs="David" w:hint="cs"/>
          <w:sz w:val="28"/>
          <w:szCs w:val="28"/>
          <w:rtl/>
        </w:rPr>
        <w:t>ו</w:t>
      </w:r>
      <w:r w:rsidRPr="0004711E">
        <w:rPr>
          <w:rFonts w:cs="David" w:hint="cs"/>
          <w:sz w:val="28"/>
          <w:szCs w:val="28"/>
          <w:rtl/>
        </w:rPr>
        <w:t xml:space="preserve"> דוח משל</w:t>
      </w:r>
      <w:r w:rsidR="007A4734" w:rsidRPr="0004711E">
        <w:rPr>
          <w:rFonts w:cs="David" w:hint="cs"/>
          <w:sz w:val="28"/>
          <w:szCs w:val="28"/>
          <w:rtl/>
        </w:rPr>
        <w:t>הם</w:t>
      </w:r>
      <w:r w:rsidR="0037498F" w:rsidRPr="0004711E">
        <w:rPr>
          <w:rStyle w:val="a7"/>
          <w:rFonts w:cs="David"/>
          <w:sz w:val="28"/>
          <w:szCs w:val="28"/>
          <w:rtl/>
        </w:rPr>
        <w:footnoteReference w:id="179"/>
      </w:r>
      <w:r w:rsidRPr="0004711E">
        <w:rPr>
          <w:rFonts w:cs="David" w:hint="cs"/>
          <w:sz w:val="28"/>
          <w:szCs w:val="28"/>
          <w:rtl/>
        </w:rPr>
        <w:t xml:space="preserve"> במקום להקים ועדה של מועצת זכויות האדם. </w:t>
      </w:r>
    </w:p>
    <w:p w:rsidR="0014495C" w:rsidRDefault="0014495C" w:rsidP="007240D2">
      <w:pPr>
        <w:spacing w:after="0" w:line="360" w:lineRule="auto"/>
        <w:jc w:val="both"/>
        <w:rPr>
          <w:rFonts w:cs="David"/>
          <w:sz w:val="28"/>
          <w:szCs w:val="28"/>
          <w:rtl/>
        </w:rPr>
      </w:pPr>
    </w:p>
    <w:p w:rsidR="002A2CE5" w:rsidRPr="0004711E" w:rsidRDefault="001165FD" w:rsidP="005B7792">
      <w:pPr>
        <w:spacing w:after="0" w:line="360" w:lineRule="auto"/>
        <w:jc w:val="both"/>
        <w:rPr>
          <w:rFonts w:cs="David"/>
          <w:sz w:val="28"/>
          <w:szCs w:val="28"/>
          <w:rtl/>
        </w:rPr>
      </w:pPr>
      <w:r>
        <w:rPr>
          <w:rFonts w:cs="David" w:hint="cs"/>
          <w:sz w:val="28"/>
          <w:szCs w:val="28"/>
          <w:rtl/>
        </w:rPr>
        <w:t>הוועדות</w:t>
      </w:r>
      <w:r w:rsidR="008F215E" w:rsidRPr="0004711E">
        <w:rPr>
          <w:rFonts w:cs="David" w:hint="cs"/>
          <w:sz w:val="28"/>
          <w:szCs w:val="28"/>
          <w:rtl/>
        </w:rPr>
        <w:t xml:space="preserve"> החלופי</w:t>
      </w:r>
      <w:r w:rsidR="005B7792">
        <w:rPr>
          <w:rFonts w:cs="David" w:hint="cs"/>
          <w:sz w:val="28"/>
          <w:szCs w:val="28"/>
          <w:rtl/>
        </w:rPr>
        <w:t>ות</w:t>
      </w:r>
      <w:r w:rsidR="008F215E" w:rsidRPr="0004711E">
        <w:rPr>
          <w:rFonts w:cs="David" w:hint="cs"/>
          <w:sz w:val="28"/>
          <w:szCs w:val="28"/>
          <w:rtl/>
        </w:rPr>
        <w:t xml:space="preserve"> האלה לא בהכרח "טוב</w:t>
      </w:r>
      <w:r w:rsidR="005B7792">
        <w:rPr>
          <w:rFonts w:cs="David" w:hint="cs"/>
          <w:sz w:val="28"/>
          <w:szCs w:val="28"/>
          <w:rtl/>
        </w:rPr>
        <w:t>ות</w:t>
      </w:r>
      <w:r w:rsidR="008F215E" w:rsidRPr="0004711E">
        <w:rPr>
          <w:rFonts w:cs="David" w:hint="cs"/>
          <w:sz w:val="28"/>
          <w:szCs w:val="28"/>
          <w:rtl/>
        </w:rPr>
        <w:t>", אך האפקט שלה</w:t>
      </w:r>
      <w:r w:rsidR="005B7792">
        <w:rPr>
          <w:rFonts w:cs="David" w:hint="cs"/>
          <w:sz w:val="28"/>
          <w:szCs w:val="28"/>
          <w:rtl/>
        </w:rPr>
        <w:t>ן</w:t>
      </w:r>
      <w:r w:rsidR="008F215E" w:rsidRPr="0004711E">
        <w:rPr>
          <w:rFonts w:cs="David" w:hint="cs"/>
          <w:sz w:val="28"/>
          <w:szCs w:val="28"/>
          <w:rtl/>
        </w:rPr>
        <w:t xml:space="preserve"> </w:t>
      </w:r>
      <w:r w:rsidR="006303B8" w:rsidRPr="0004711E">
        <w:rPr>
          <w:rFonts w:cs="David" w:hint="cs"/>
          <w:sz w:val="28"/>
          <w:szCs w:val="28"/>
          <w:rtl/>
        </w:rPr>
        <w:t>עשוי להיות פחו</w:t>
      </w:r>
      <w:r w:rsidR="00581A31">
        <w:rPr>
          <w:rFonts w:cs="David" w:hint="cs"/>
          <w:sz w:val="28"/>
          <w:szCs w:val="28"/>
          <w:rtl/>
        </w:rPr>
        <w:t>ּ</w:t>
      </w:r>
      <w:r w:rsidR="006303B8" w:rsidRPr="0004711E">
        <w:rPr>
          <w:rFonts w:cs="David" w:hint="cs"/>
          <w:sz w:val="28"/>
          <w:szCs w:val="28"/>
          <w:rtl/>
        </w:rPr>
        <w:t>ת מזה של ועדת חקירה ממש</w:t>
      </w:r>
      <w:r w:rsidR="007A4734" w:rsidRPr="0004711E">
        <w:rPr>
          <w:rFonts w:cs="David" w:hint="cs"/>
          <w:sz w:val="28"/>
          <w:szCs w:val="28"/>
          <w:rtl/>
        </w:rPr>
        <w:t xml:space="preserve"> ובמצבים מסוימים תהיה היתכנות גבוהה יותר להגיע להסכמת המועצה על הקמת</w:t>
      </w:r>
      <w:r w:rsidR="005B7792">
        <w:rPr>
          <w:rFonts w:cs="David" w:hint="cs"/>
          <w:sz w:val="28"/>
          <w:szCs w:val="28"/>
          <w:rtl/>
        </w:rPr>
        <w:t>ן</w:t>
      </w:r>
      <w:r w:rsidR="006303B8" w:rsidRPr="0004711E">
        <w:rPr>
          <w:rFonts w:cs="David" w:hint="cs"/>
          <w:sz w:val="28"/>
          <w:szCs w:val="28"/>
          <w:rtl/>
        </w:rPr>
        <w:t xml:space="preserve">. </w:t>
      </w:r>
      <w:r w:rsidR="00F74178" w:rsidRPr="0004711E">
        <w:rPr>
          <w:rFonts w:cs="David" w:hint="cs"/>
          <w:sz w:val="28"/>
          <w:szCs w:val="28"/>
          <w:rtl/>
        </w:rPr>
        <w:t xml:space="preserve">בסופו של דבר, בכל מקרה, בהתאם לנסיבותיו, ניתן לחשוב על </w:t>
      </w:r>
      <w:r w:rsidR="0074404A">
        <w:rPr>
          <w:rFonts w:cs="David" w:hint="cs"/>
          <w:sz w:val="28"/>
          <w:szCs w:val="28"/>
          <w:rtl/>
        </w:rPr>
        <w:t>ועדה</w:t>
      </w:r>
      <w:r w:rsidR="00F74178" w:rsidRPr="0004711E">
        <w:rPr>
          <w:rFonts w:cs="David" w:hint="cs"/>
          <w:sz w:val="28"/>
          <w:szCs w:val="28"/>
          <w:rtl/>
        </w:rPr>
        <w:t xml:space="preserve"> טוב</w:t>
      </w:r>
      <w:r w:rsidR="005B7792">
        <w:rPr>
          <w:rFonts w:cs="David" w:hint="cs"/>
          <w:sz w:val="28"/>
          <w:szCs w:val="28"/>
          <w:rtl/>
        </w:rPr>
        <w:t>ה</w:t>
      </w:r>
      <w:r w:rsidR="00F74178" w:rsidRPr="0004711E">
        <w:rPr>
          <w:rFonts w:cs="David" w:hint="cs"/>
          <w:sz w:val="28"/>
          <w:szCs w:val="28"/>
          <w:rtl/>
        </w:rPr>
        <w:t xml:space="preserve"> והגו</w:t>
      </w:r>
      <w:r w:rsidR="005B7792">
        <w:rPr>
          <w:rFonts w:cs="David" w:hint="cs"/>
          <w:sz w:val="28"/>
          <w:szCs w:val="28"/>
          <w:rtl/>
        </w:rPr>
        <w:t>נה</w:t>
      </w:r>
      <w:r w:rsidR="00F74178" w:rsidRPr="0004711E">
        <w:rPr>
          <w:rFonts w:cs="David" w:hint="cs"/>
          <w:sz w:val="28"/>
          <w:szCs w:val="28"/>
          <w:rtl/>
        </w:rPr>
        <w:t xml:space="preserve"> יותר ש</w:t>
      </w:r>
      <w:r w:rsidR="005B7792">
        <w:rPr>
          <w:rFonts w:cs="David" w:hint="cs"/>
          <w:sz w:val="28"/>
          <w:szCs w:val="28"/>
          <w:rtl/>
        </w:rPr>
        <w:t>ת</w:t>
      </w:r>
      <w:r w:rsidR="00F74178" w:rsidRPr="0004711E">
        <w:rPr>
          <w:rFonts w:cs="David" w:hint="cs"/>
          <w:sz w:val="28"/>
          <w:szCs w:val="28"/>
          <w:rtl/>
        </w:rPr>
        <w:t>בחן את העניין.</w:t>
      </w:r>
      <w:r w:rsidR="006303B8" w:rsidRPr="0004711E">
        <w:rPr>
          <w:rFonts w:cs="David" w:hint="cs"/>
          <w:sz w:val="28"/>
          <w:szCs w:val="28"/>
          <w:rtl/>
        </w:rPr>
        <w:t xml:space="preserve"> </w:t>
      </w:r>
      <w:r w:rsidR="00B55A6D">
        <w:rPr>
          <w:rFonts w:cs="David" w:hint="cs"/>
          <w:sz w:val="28"/>
          <w:szCs w:val="28"/>
          <w:rtl/>
        </w:rPr>
        <w:t xml:space="preserve">כמובן שעל המדינה לשקול גם את הלגיטימציה שהיא מקנה </w:t>
      </w:r>
      <w:r w:rsidR="00014821">
        <w:rPr>
          <w:rFonts w:cs="David" w:hint="cs"/>
          <w:sz w:val="28"/>
          <w:szCs w:val="28"/>
          <w:rtl/>
        </w:rPr>
        <w:t>לוועדה</w:t>
      </w:r>
      <w:r w:rsidR="00B55A6D">
        <w:rPr>
          <w:rFonts w:cs="David" w:hint="cs"/>
          <w:sz w:val="28"/>
          <w:szCs w:val="28"/>
          <w:rtl/>
        </w:rPr>
        <w:t xml:space="preserve"> חלופי</w:t>
      </w:r>
      <w:r w:rsidR="005B7792">
        <w:rPr>
          <w:rFonts w:cs="David" w:hint="cs"/>
          <w:sz w:val="28"/>
          <w:szCs w:val="28"/>
          <w:rtl/>
        </w:rPr>
        <w:t>ת</w:t>
      </w:r>
      <w:r w:rsidR="00B55A6D">
        <w:rPr>
          <w:rFonts w:cs="David" w:hint="cs"/>
          <w:sz w:val="28"/>
          <w:szCs w:val="28"/>
          <w:rtl/>
        </w:rPr>
        <w:t xml:space="preserve"> בעצם ההצעה להקימ</w:t>
      </w:r>
      <w:r w:rsidR="005B7792">
        <w:rPr>
          <w:rFonts w:cs="David" w:hint="cs"/>
          <w:sz w:val="28"/>
          <w:szCs w:val="28"/>
          <w:rtl/>
        </w:rPr>
        <w:t>ה</w:t>
      </w:r>
      <w:r w:rsidR="00B55A6D">
        <w:rPr>
          <w:rFonts w:cs="David" w:hint="cs"/>
          <w:sz w:val="28"/>
          <w:szCs w:val="28"/>
          <w:rtl/>
        </w:rPr>
        <w:t xml:space="preserve">. </w:t>
      </w:r>
      <w:r w:rsidR="006303B8" w:rsidRPr="0004711E">
        <w:rPr>
          <w:rFonts w:cs="David" w:hint="cs"/>
          <w:sz w:val="28"/>
          <w:szCs w:val="28"/>
          <w:rtl/>
        </w:rPr>
        <w:t>יכולת המימוש של החלופה תלויה בהצבר נסיבות דיפלומטיות, פרסונאליות ואחרות, שלא ניתן לצפותן מראש</w:t>
      </w:r>
      <w:r w:rsidR="007A4734" w:rsidRPr="0004711E">
        <w:rPr>
          <w:rFonts w:cs="David" w:hint="cs"/>
          <w:sz w:val="28"/>
          <w:szCs w:val="28"/>
          <w:rtl/>
        </w:rPr>
        <w:t>, אך בחינת האפשרות הזו צריכה להיות חלק מהפעולות הבסיסיות שעושה המדינה בכל סיטואציה כזו בעתיד</w:t>
      </w:r>
      <w:r w:rsidR="006303B8" w:rsidRPr="0004711E">
        <w:rPr>
          <w:rFonts w:cs="David" w:hint="cs"/>
          <w:sz w:val="28"/>
          <w:szCs w:val="28"/>
          <w:rtl/>
        </w:rPr>
        <w:t>.</w:t>
      </w:r>
      <w:r w:rsidR="00B55A6D">
        <w:rPr>
          <w:rFonts w:cs="David" w:hint="cs"/>
          <w:sz w:val="28"/>
          <w:szCs w:val="28"/>
          <w:rtl/>
        </w:rPr>
        <w:t xml:space="preserve"> </w:t>
      </w:r>
    </w:p>
    <w:p w:rsidR="00613BE7" w:rsidRDefault="00613BE7">
      <w:pPr>
        <w:bidi w:val="0"/>
        <w:rPr>
          <w:rFonts w:cs="David"/>
          <w:sz w:val="28"/>
          <w:szCs w:val="28"/>
          <w:rtl/>
        </w:rPr>
      </w:pPr>
      <w:r>
        <w:rPr>
          <w:rFonts w:cs="David"/>
          <w:sz w:val="28"/>
          <w:szCs w:val="28"/>
          <w:rtl/>
        </w:rPr>
        <w:br w:type="page"/>
      </w:r>
    </w:p>
    <w:p w:rsidR="002A2CE5" w:rsidRPr="0004711E" w:rsidRDefault="002A2CE5" w:rsidP="008B316C">
      <w:pPr>
        <w:spacing w:after="0" w:line="360" w:lineRule="auto"/>
        <w:jc w:val="both"/>
        <w:rPr>
          <w:rFonts w:cs="David"/>
          <w:sz w:val="28"/>
          <w:szCs w:val="28"/>
          <w:rtl/>
        </w:rPr>
      </w:pPr>
    </w:p>
    <w:p w:rsidR="00DC30CC" w:rsidRPr="0004711E" w:rsidRDefault="004227F5" w:rsidP="003D0069">
      <w:pPr>
        <w:pStyle w:val="a9"/>
        <w:numPr>
          <w:ilvl w:val="0"/>
          <w:numId w:val="22"/>
        </w:numPr>
        <w:spacing w:after="0" w:line="360" w:lineRule="auto"/>
        <w:jc w:val="both"/>
        <w:outlineLvl w:val="1"/>
        <w:rPr>
          <w:rFonts w:cs="David"/>
          <w:b/>
          <w:bCs/>
          <w:sz w:val="28"/>
          <w:szCs w:val="28"/>
          <w:rtl/>
        </w:rPr>
      </w:pPr>
      <w:bookmarkStart w:id="41" w:name="_Toc456027317"/>
      <w:r w:rsidRPr="0004711E">
        <w:rPr>
          <w:rFonts w:cs="David" w:hint="cs"/>
          <w:b/>
          <w:bCs/>
          <w:sz w:val="28"/>
          <w:szCs w:val="28"/>
          <w:rtl/>
        </w:rPr>
        <w:t xml:space="preserve">נוסח מנדט </w:t>
      </w:r>
      <w:r w:rsidR="009C039C">
        <w:rPr>
          <w:rFonts w:cs="David" w:hint="cs"/>
          <w:b/>
          <w:bCs/>
          <w:sz w:val="28"/>
          <w:szCs w:val="28"/>
          <w:rtl/>
        </w:rPr>
        <w:t>ועדת החקירה</w:t>
      </w:r>
      <w:bookmarkEnd w:id="41"/>
    </w:p>
    <w:p w:rsidR="00DC30CC" w:rsidRDefault="00DC30CC" w:rsidP="008B316C">
      <w:pPr>
        <w:spacing w:after="0" w:line="360" w:lineRule="auto"/>
        <w:jc w:val="both"/>
        <w:rPr>
          <w:rFonts w:cs="David"/>
          <w:sz w:val="28"/>
          <w:szCs w:val="28"/>
          <w:rtl/>
        </w:rPr>
      </w:pPr>
    </w:p>
    <w:p w:rsidR="00C43CE9" w:rsidRPr="003D0069" w:rsidRDefault="00C43CE9" w:rsidP="003D0069">
      <w:pPr>
        <w:pStyle w:val="a9"/>
        <w:numPr>
          <w:ilvl w:val="0"/>
          <w:numId w:val="24"/>
        </w:numPr>
        <w:spacing w:after="0" w:line="360" w:lineRule="auto"/>
        <w:jc w:val="both"/>
        <w:outlineLvl w:val="2"/>
        <w:rPr>
          <w:rFonts w:cs="David"/>
          <w:sz w:val="28"/>
          <w:szCs w:val="28"/>
          <w:rtl/>
        </w:rPr>
      </w:pPr>
      <w:bookmarkStart w:id="42" w:name="_Toc456027318"/>
      <w:r w:rsidRPr="003D0069">
        <w:rPr>
          <w:rFonts w:cs="David" w:hint="cs"/>
          <w:sz w:val="28"/>
          <w:szCs w:val="28"/>
          <w:rtl/>
        </w:rPr>
        <w:t>קביעת התוצאות מראש</w:t>
      </w:r>
      <w:bookmarkEnd w:id="42"/>
    </w:p>
    <w:p w:rsidR="00C43CE9" w:rsidRPr="0004711E" w:rsidRDefault="00C43CE9" w:rsidP="008B316C">
      <w:pPr>
        <w:spacing w:after="0" w:line="360" w:lineRule="auto"/>
        <w:jc w:val="both"/>
        <w:rPr>
          <w:rFonts w:cs="David"/>
          <w:sz w:val="28"/>
          <w:szCs w:val="28"/>
          <w:rtl/>
        </w:rPr>
      </w:pPr>
    </w:p>
    <w:p w:rsidR="004227F5" w:rsidRPr="0004711E" w:rsidRDefault="004227F5" w:rsidP="00C43CE9">
      <w:pPr>
        <w:spacing w:after="0" w:line="360" w:lineRule="auto"/>
        <w:jc w:val="both"/>
        <w:rPr>
          <w:rFonts w:cs="David"/>
          <w:sz w:val="28"/>
          <w:szCs w:val="28"/>
          <w:rtl/>
        </w:rPr>
      </w:pPr>
      <w:r w:rsidRPr="0004711E">
        <w:rPr>
          <w:rFonts w:cs="David" w:hint="cs"/>
          <w:sz w:val="28"/>
          <w:szCs w:val="28"/>
          <w:rtl/>
        </w:rPr>
        <w:t>שיקול פרטני נוסף</w:t>
      </w:r>
      <w:r w:rsidR="007240D2">
        <w:rPr>
          <w:rFonts w:cs="David" w:hint="cs"/>
          <w:sz w:val="28"/>
          <w:szCs w:val="28"/>
          <w:rtl/>
        </w:rPr>
        <w:t>,</w:t>
      </w:r>
      <w:r w:rsidRPr="0004711E">
        <w:rPr>
          <w:rFonts w:cs="David" w:hint="cs"/>
          <w:sz w:val="28"/>
          <w:szCs w:val="28"/>
          <w:rtl/>
        </w:rPr>
        <w:t xml:space="preserve"> שיש לבחון בעת קבלת ההחלטה באשר לשיתוף פעולה עם </w:t>
      </w:r>
      <w:r w:rsidR="009C039C">
        <w:rPr>
          <w:rFonts w:cs="David" w:hint="cs"/>
          <w:sz w:val="28"/>
          <w:szCs w:val="28"/>
          <w:rtl/>
        </w:rPr>
        <w:t>ועדת חקירה בינלאומית</w:t>
      </w:r>
      <w:r w:rsidR="007240D2">
        <w:rPr>
          <w:rFonts w:cs="David" w:hint="cs"/>
          <w:sz w:val="28"/>
          <w:szCs w:val="28"/>
          <w:rtl/>
        </w:rPr>
        <w:t>,</w:t>
      </w:r>
      <w:r w:rsidRPr="0004711E">
        <w:rPr>
          <w:rFonts w:cs="David" w:hint="cs"/>
          <w:sz w:val="28"/>
          <w:szCs w:val="28"/>
          <w:rtl/>
        </w:rPr>
        <w:t xml:space="preserve"> הוא נוסח המנדט שהוענק לאות</w:t>
      </w:r>
      <w:r w:rsidR="00C43CE9">
        <w:rPr>
          <w:rFonts w:cs="David" w:hint="cs"/>
          <w:sz w:val="28"/>
          <w:szCs w:val="28"/>
          <w:rtl/>
        </w:rPr>
        <w:t>ה</w:t>
      </w:r>
      <w:r w:rsidRPr="0004711E">
        <w:rPr>
          <w:rFonts w:cs="David" w:hint="cs"/>
          <w:sz w:val="28"/>
          <w:szCs w:val="28"/>
          <w:rtl/>
        </w:rPr>
        <w:t xml:space="preserve"> </w:t>
      </w:r>
      <w:r w:rsidR="0074404A">
        <w:rPr>
          <w:rFonts w:cs="David" w:hint="cs"/>
          <w:sz w:val="28"/>
          <w:szCs w:val="28"/>
          <w:rtl/>
        </w:rPr>
        <w:t>ועדה</w:t>
      </w:r>
      <w:r w:rsidRPr="0004711E">
        <w:rPr>
          <w:rFonts w:cs="David" w:hint="cs"/>
          <w:sz w:val="28"/>
          <w:szCs w:val="28"/>
          <w:rtl/>
        </w:rPr>
        <w:t xml:space="preserve">. שיקול זה עמד לא אחת בלב הביקורת של מדינת ישראל ביחס </w:t>
      </w:r>
      <w:r w:rsidR="00014821">
        <w:rPr>
          <w:rFonts w:cs="David" w:hint="cs"/>
          <w:sz w:val="28"/>
          <w:szCs w:val="28"/>
          <w:rtl/>
        </w:rPr>
        <w:t>לוועדות</w:t>
      </w:r>
      <w:r w:rsidR="009C039C">
        <w:rPr>
          <w:rFonts w:cs="David" w:hint="cs"/>
          <w:sz w:val="28"/>
          <w:szCs w:val="28"/>
          <w:rtl/>
        </w:rPr>
        <w:t xml:space="preserve"> החקירה</w:t>
      </w:r>
      <w:r w:rsidR="007240D2">
        <w:rPr>
          <w:rFonts w:cs="David" w:hint="cs"/>
          <w:sz w:val="28"/>
          <w:szCs w:val="28"/>
          <w:rtl/>
        </w:rPr>
        <w:t>,</w:t>
      </w:r>
      <w:r w:rsidRPr="0004711E">
        <w:rPr>
          <w:rFonts w:cs="David" w:hint="cs"/>
          <w:sz w:val="28"/>
          <w:szCs w:val="28"/>
          <w:rtl/>
        </w:rPr>
        <w:t xml:space="preserve"> שמונו לבחון אירועים מבצעיים, במיוחד </w:t>
      </w:r>
      <w:r w:rsidR="0074404A">
        <w:rPr>
          <w:rFonts w:cs="David" w:hint="cs"/>
          <w:sz w:val="28"/>
          <w:szCs w:val="28"/>
          <w:rtl/>
        </w:rPr>
        <w:t>ועדות</w:t>
      </w:r>
      <w:r w:rsidRPr="0004711E">
        <w:rPr>
          <w:rFonts w:cs="David" w:hint="cs"/>
          <w:sz w:val="28"/>
          <w:szCs w:val="28"/>
          <w:rtl/>
        </w:rPr>
        <w:t xml:space="preserve"> של מועצת זכויות האדם.</w:t>
      </w:r>
      <w:r w:rsidR="00433A00">
        <w:rPr>
          <w:rFonts w:cs="David" w:hint="cs"/>
          <w:sz w:val="28"/>
          <w:szCs w:val="28"/>
          <w:rtl/>
        </w:rPr>
        <w:t xml:space="preserve"> דומה כי אין אחידות בדרך קביעת המנדטים של </w:t>
      </w:r>
      <w:r w:rsidR="00310D3D">
        <w:rPr>
          <w:rFonts w:cs="David" w:hint="cs"/>
          <w:sz w:val="28"/>
          <w:szCs w:val="28"/>
          <w:rtl/>
        </w:rPr>
        <w:t>ועדות החקירה הבינלאומיות</w:t>
      </w:r>
      <w:r w:rsidR="00433A00">
        <w:rPr>
          <w:rFonts w:cs="David" w:hint="cs"/>
          <w:sz w:val="28"/>
          <w:szCs w:val="28"/>
          <w:rtl/>
        </w:rPr>
        <w:t xml:space="preserve">. פרופסור שריף בסיוני דימה </w:t>
      </w:r>
      <w:r w:rsidR="00F9050B">
        <w:rPr>
          <w:rFonts w:cs="David" w:hint="cs"/>
          <w:sz w:val="28"/>
          <w:szCs w:val="28"/>
          <w:rtl/>
        </w:rPr>
        <w:t xml:space="preserve">את </w:t>
      </w:r>
      <w:r w:rsidR="00433A00">
        <w:rPr>
          <w:rFonts w:cs="David" w:hint="cs"/>
          <w:sz w:val="28"/>
          <w:szCs w:val="28"/>
          <w:rtl/>
        </w:rPr>
        <w:t xml:space="preserve">מערכת האו"ם </w:t>
      </w:r>
      <w:r w:rsidR="00F9050B">
        <w:rPr>
          <w:rFonts w:cs="David" w:hint="cs"/>
          <w:sz w:val="28"/>
          <w:szCs w:val="28"/>
          <w:rtl/>
        </w:rPr>
        <w:t>ל</w:t>
      </w:r>
      <w:r w:rsidR="00433A00">
        <w:rPr>
          <w:rFonts w:cs="David" w:hint="cs"/>
          <w:sz w:val="28"/>
          <w:szCs w:val="28"/>
          <w:rtl/>
        </w:rPr>
        <w:t>קערת ספגטי, שבה לחלק מהספגטי יש מנדט ארוך ותוכן קצר ולחלקם האחר מנדט קצר ותוכן ארוך</w:t>
      </w:r>
      <w:r w:rsidR="00433A00">
        <w:rPr>
          <w:rStyle w:val="a7"/>
          <w:rFonts w:cs="David"/>
          <w:sz w:val="28"/>
          <w:szCs w:val="28"/>
          <w:rtl/>
        </w:rPr>
        <w:footnoteReference w:id="180"/>
      </w:r>
      <w:r w:rsidR="00433A00">
        <w:rPr>
          <w:rFonts w:cs="David" w:hint="cs"/>
          <w:sz w:val="28"/>
          <w:szCs w:val="28"/>
          <w:rtl/>
        </w:rPr>
        <w:t>.</w:t>
      </w:r>
    </w:p>
    <w:p w:rsidR="004227F5" w:rsidRPr="0004711E" w:rsidRDefault="004227F5" w:rsidP="008B316C">
      <w:pPr>
        <w:spacing w:after="0" w:line="360" w:lineRule="auto"/>
        <w:jc w:val="both"/>
        <w:rPr>
          <w:rFonts w:cs="David"/>
          <w:sz w:val="28"/>
          <w:szCs w:val="28"/>
          <w:rtl/>
        </w:rPr>
      </w:pPr>
    </w:p>
    <w:p w:rsidR="002866D7" w:rsidRPr="0004711E" w:rsidRDefault="002866D7" w:rsidP="008B316C">
      <w:pPr>
        <w:spacing w:after="0" w:line="360" w:lineRule="auto"/>
        <w:jc w:val="both"/>
        <w:rPr>
          <w:rFonts w:cs="David"/>
          <w:sz w:val="28"/>
          <w:szCs w:val="28"/>
          <w:rtl/>
        </w:rPr>
      </w:pPr>
      <w:r w:rsidRPr="0004711E">
        <w:rPr>
          <w:rFonts w:cs="David" w:hint="cs"/>
          <w:sz w:val="28"/>
          <w:szCs w:val="28"/>
          <w:rtl/>
        </w:rPr>
        <w:t>נבחן את עיקר הטענות</w:t>
      </w:r>
      <w:r w:rsidR="007240D2">
        <w:rPr>
          <w:rFonts w:cs="David" w:hint="cs"/>
          <w:sz w:val="28"/>
          <w:szCs w:val="28"/>
          <w:rtl/>
        </w:rPr>
        <w:t>,</w:t>
      </w:r>
      <w:r w:rsidRPr="0004711E">
        <w:rPr>
          <w:rFonts w:cs="David" w:hint="cs"/>
          <w:sz w:val="28"/>
          <w:szCs w:val="28"/>
          <w:rtl/>
        </w:rPr>
        <w:t xml:space="preserve"> שהועלו</w:t>
      </w:r>
      <w:r w:rsidR="00692192">
        <w:rPr>
          <w:rFonts w:cs="David" w:hint="cs"/>
          <w:sz w:val="28"/>
          <w:szCs w:val="28"/>
          <w:rtl/>
        </w:rPr>
        <w:t xml:space="preserve"> על ידי </w:t>
      </w:r>
      <w:r w:rsidRPr="0004711E">
        <w:rPr>
          <w:rFonts w:cs="David" w:hint="cs"/>
          <w:sz w:val="28"/>
          <w:szCs w:val="28"/>
          <w:rtl/>
        </w:rPr>
        <w:t>מדינת ישראל באשר למנדטים שניתנו לוועדות החקירה של מועצת זכויות האדם. יצוין, כי נוסח המנדט נקבע בדרך כלל בהחלטה של המועצה שמינתה את הוועדה, ובמקרה של ועדת גולדסטון שונה המנדט לאחר מכן</w:t>
      </w:r>
      <w:r w:rsidR="00692192">
        <w:rPr>
          <w:rFonts w:cs="David" w:hint="cs"/>
          <w:sz w:val="28"/>
          <w:szCs w:val="28"/>
          <w:rtl/>
        </w:rPr>
        <w:t xml:space="preserve"> על ידי </w:t>
      </w:r>
      <w:r w:rsidRPr="0004711E">
        <w:rPr>
          <w:rFonts w:cs="David" w:hint="cs"/>
          <w:sz w:val="28"/>
          <w:szCs w:val="28"/>
          <w:rtl/>
        </w:rPr>
        <w:t>נשיא המועצה.</w:t>
      </w:r>
    </w:p>
    <w:p w:rsidR="00D70812" w:rsidRPr="0004711E" w:rsidRDefault="00D70812" w:rsidP="008B316C">
      <w:pPr>
        <w:spacing w:after="0" w:line="360" w:lineRule="auto"/>
        <w:jc w:val="both"/>
        <w:rPr>
          <w:rFonts w:cs="David"/>
          <w:sz w:val="28"/>
          <w:szCs w:val="28"/>
          <w:rtl/>
        </w:rPr>
      </w:pPr>
    </w:p>
    <w:p w:rsidR="00D70812" w:rsidRPr="0004711E" w:rsidRDefault="00D70812" w:rsidP="008B316C">
      <w:pPr>
        <w:spacing w:after="0" w:line="360" w:lineRule="auto"/>
        <w:jc w:val="both"/>
        <w:rPr>
          <w:rFonts w:cs="David"/>
          <w:sz w:val="28"/>
          <w:szCs w:val="28"/>
          <w:rtl/>
        </w:rPr>
      </w:pPr>
      <w:r w:rsidRPr="0004711E">
        <w:rPr>
          <w:rFonts w:cs="David" w:hint="cs"/>
          <w:sz w:val="28"/>
          <w:szCs w:val="28"/>
          <w:rtl/>
        </w:rPr>
        <w:t>ביקורת אחת</w:t>
      </w:r>
      <w:r w:rsidR="007240D2">
        <w:rPr>
          <w:rFonts w:cs="David" w:hint="cs"/>
          <w:sz w:val="28"/>
          <w:szCs w:val="28"/>
          <w:rtl/>
        </w:rPr>
        <w:t>,</w:t>
      </w:r>
      <w:r w:rsidRPr="0004711E">
        <w:rPr>
          <w:rFonts w:cs="David" w:hint="cs"/>
          <w:sz w:val="28"/>
          <w:szCs w:val="28"/>
          <w:rtl/>
        </w:rPr>
        <w:t xml:space="preserve"> שהשמיעה ישראל בנוגע למנדטים של ועדות החקירה של מועצת זכויות האדם</w:t>
      </w:r>
      <w:r w:rsidR="00FD7E9D" w:rsidRPr="0004711E">
        <w:rPr>
          <w:rFonts w:cs="David" w:hint="cs"/>
          <w:sz w:val="28"/>
          <w:szCs w:val="28"/>
          <w:rtl/>
        </w:rPr>
        <w:t xml:space="preserve"> (ובעניין זה אפשר להפנות גם לוועדות של אונסק"ו)</w:t>
      </w:r>
      <w:r w:rsidR="007240D2">
        <w:rPr>
          <w:rFonts w:cs="David" w:hint="cs"/>
          <w:sz w:val="28"/>
          <w:szCs w:val="28"/>
          <w:rtl/>
        </w:rPr>
        <w:t>,</w:t>
      </w:r>
      <w:r w:rsidRPr="0004711E">
        <w:rPr>
          <w:rFonts w:cs="David" w:hint="cs"/>
          <w:sz w:val="28"/>
          <w:szCs w:val="28"/>
          <w:rtl/>
        </w:rPr>
        <w:t xml:space="preserve"> נגעה לדרך בה נוסחו המנדטים ולעובדה שהם קבעו מראש כי ישראל ביצעה הפרות של הדין. נציין כמה דוגמאות לכך:</w:t>
      </w:r>
    </w:p>
    <w:p w:rsidR="00D70812" w:rsidRPr="0004711E" w:rsidRDefault="00D70812" w:rsidP="008B316C">
      <w:pPr>
        <w:spacing w:after="0" w:line="360" w:lineRule="auto"/>
        <w:jc w:val="both"/>
        <w:rPr>
          <w:rFonts w:cs="David"/>
          <w:sz w:val="28"/>
          <w:szCs w:val="28"/>
          <w:rtl/>
        </w:rPr>
      </w:pPr>
    </w:p>
    <w:p w:rsidR="00D12C33" w:rsidRPr="0004711E" w:rsidRDefault="00D12C33" w:rsidP="008B316C">
      <w:pPr>
        <w:pStyle w:val="a9"/>
        <w:numPr>
          <w:ilvl w:val="0"/>
          <w:numId w:val="8"/>
        </w:numPr>
        <w:spacing w:after="0" w:line="360" w:lineRule="auto"/>
        <w:jc w:val="both"/>
        <w:rPr>
          <w:rFonts w:cs="David"/>
          <w:sz w:val="28"/>
          <w:szCs w:val="28"/>
        </w:rPr>
      </w:pPr>
      <w:r w:rsidRPr="0004711E">
        <w:rPr>
          <w:rFonts w:cs="David" w:hint="cs"/>
          <w:sz w:val="28"/>
          <w:szCs w:val="28"/>
          <w:rtl/>
        </w:rPr>
        <w:t>ועדת הנציבות מ-1969 התבקשה "</w:t>
      </w:r>
      <w:r w:rsidRPr="0004711E">
        <w:rPr>
          <w:rFonts w:cs="Courier New"/>
          <w:sz w:val="28"/>
          <w:szCs w:val="28"/>
        </w:rPr>
        <w:t xml:space="preserve">(a) </w:t>
      </w:r>
      <w:r w:rsidRPr="0004711E">
        <w:rPr>
          <w:rFonts w:cs="Courier New"/>
          <w:b/>
          <w:bCs/>
          <w:sz w:val="28"/>
          <w:szCs w:val="28"/>
        </w:rPr>
        <w:t>To investigate allegations, concerning Israel's violations of the Geneva Convention</w:t>
      </w:r>
      <w:r w:rsidRPr="0004711E">
        <w:rPr>
          <w:rFonts w:cs="Courier New"/>
          <w:sz w:val="28"/>
          <w:szCs w:val="28"/>
        </w:rPr>
        <w:t xml:space="preserve"> relative to the Protection of Civilian Persons in Time of War of 12 August 1949, in the territories occupied by Israel as a result of hostilities in the Middle East;</w:t>
      </w:r>
      <w:r w:rsidR="007240D2">
        <w:rPr>
          <w:rFonts w:cs="David"/>
          <w:sz w:val="28"/>
          <w:szCs w:val="28"/>
        </w:rPr>
        <w:t xml:space="preserve"> (</w:t>
      </w:r>
      <w:r w:rsidRPr="0004711E">
        <w:rPr>
          <w:rFonts w:cs="David"/>
          <w:sz w:val="28"/>
          <w:szCs w:val="28"/>
        </w:rPr>
        <w:t>…</w:t>
      </w:r>
      <w:r w:rsidR="007240D2">
        <w:rPr>
          <w:rFonts w:cs="David"/>
          <w:sz w:val="28"/>
          <w:szCs w:val="28"/>
        </w:rPr>
        <w:t>)</w:t>
      </w:r>
      <w:r w:rsidRPr="0004711E">
        <w:rPr>
          <w:rFonts w:cs="David" w:hint="cs"/>
          <w:sz w:val="28"/>
          <w:szCs w:val="28"/>
          <w:rtl/>
        </w:rPr>
        <w:t xml:space="preserve">" (ההדגשה אינה במקור). הגם שלכאורה נדרשת הוועדה לחקור </w:t>
      </w:r>
      <w:r w:rsidRPr="0004711E">
        <w:rPr>
          <w:rFonts w:cs="David" w:hint="cs"/>
          <w:b/>
          <w:bCs/>
          <w:sz w:val="28"/>
          <w:szCs w:val="28"/>
          <w:rtl/>
        </w:rPr>
        <w:t xml:space="preserve">טענות </w:t>
      </w:r>
      <w:r w:rsidRPr="0004711E">
        <w:rPr>
          <w:rFonts w:cs="David" w:hint="cs"/>
          <w:sz w:val="28"/>
          <w:szCs w:val="28"/>
          <w:rtl/>
        </w:rPr>
        <w:t xml:space="preserve">להפרות ישראליות, הרי שבגוף החלטת הנציבות </w:t>
      </w:r>
      <w:r w:rsidRPr="0004711E">
        <w:rPr>
          <w:rFonts w:cs="David" w:hint="cs"/>
          <w:sz w:val="28"/>
          <w:szCs w:val="28"/>
          <w:rtl/>
        </w:rPr>
        <w:lastRenderedPageBreak/>
        <w:t xml:space="preserve">להקים את הוועדה </w:t>
      </w:r>
      <w:r w:rsidR="00F02199" w:rsidRPr="0004711E">
        <w:rPr>
          <w:rFonts w:cs="David" w:hint="cs"/>
          <w:sz w:val="28"/>
          <w:szCs w:val="28"/>
          <w:rtl/>
        </w:rPr>
        <w:t>כבר נמצאה ישראל "אשמה" בהפרות כאמור, כך שתוצאת הדוח כבר הוכתבה מראש</w:t>
      </w:r>
      <w:r w:rsidR="00692192">
        <w:rPr>
          <w:rFonts w:cs="David" w:hint="cs"/>
          <w:sz w:val="28"/>
          <w:szCs w:val="28"/>
          <w:rtl/>
        </w:rPr>
        <w:t xml:space="preserve"> על ידי </w:t>
      </w:r>
      <w:r w:rsidR="00F02199" w:rsidRPr="0004711E">
        <w:rPr>
          <w:rFonts w:cs="David" w:hint="cs"/>
          <w:sz w:val="28"/>
          <w:szCs w:val="28"/>
          <w:rtl/>
        </w:rPr>
        <w:t>הנציבות</w:t>
      </w:r>
      <w:bookmarkStart w:id="43" w:name="_Ref450241348"/>
      <w:r w:rsidR="00F02199" w:rsidRPr="0004711E">
        <w:rPr>
          <w:rStyle w:val="a7"/>
          <w:rFonts w:cs="David"/>
          <w:sz w:val="28"/>
          <w:szCs w:val="28"/>
          <w:rtl/>
        </w:rPr>
        <w:footnoteReference w:id="181"/>
      </w:r>
      <w:bookmarkEnd w:id="43"/>
      <w:r w:rsidR="00F02199" w:rsidRPr="0004711E">
        <w:rPr>
          <w:rFonts w:cs="David" w:hint="cs"/>
          <w:sz w:val="28"/>
          <w:szCs w:val="28"/>
          <w:rtl/>
        </w:rPr>
        <w:t>.</w:t>
      </w:r>
    </w:p>
    <w:p w:rsidR="00B3521B" w:rsidRPr="0004711E" w:rsidRDefault="00B3521B" w:rsidP="007240D2">
      <w:pPr>
        <w:pStyle w:val="a9"/>
        <w:numPr>
          <w:ilvl w:val="0"/>
          <w:numId w:val="8"/>
        </w:numPr>
        <w:spacing w:after="0" w:line="360" w:lineRule="auto"/>
        <w:jc w:val="both"/>
        <w:rPr>
          <w:rFonts w:cs="David"/>
          <w:sz w:val="28"/>
          <w:szCs w:val="28"/>
        </w:rPr>
      </w:pPr>
      <w:r w:rsidRPr="0004711E">
        <w:rPr>
          <w:rFonts w:cs="David" w:hint="cs"/>
          <w:sz w:val="28"/>
          <w:szCs w:val="28"/>
          <w:rtl/>
        </w:rPr>
        <w:t>משלחת אונסק"ו</w:t>
      </w:r>
      <w:r w:rsidR="007240D2">
        <w:rPr>
          <w:rFonts w:cs="David" w:hint="cs"/>
          <w:sz w:val="28"/>
          <w:szCs w:val="28"/>
          <w:rtl/>
        </w:rPr>
        <w:t>,</w:t>
      </w:r>
      <w:r w:rsidRPr="0004711E">
        <w:rPr>
          <w:rFonts w:cs="David" w:hint="cs"/>
          <w:sz w:val="28"/>
          <w:szCs w:val="28"/>
          <w:rtl/>
        </w:rPr>
        <w:t xml:space="preserve"> שמונתה לבדוק פגיעות בזכויות החינוכיות והתרבותיות של האוכלוסייה ב"שטחים הערביים הכבושים" ב-1976 יצאה לדרכה לאחר שבהחלטה למנותה ציינה ועידת הארגון</w:t>
      </w:r>
      <w:r w:rsidR="007240D2">
        <w:rPr>
          <w:rFonts w:cs="David" w:hint="cs"/>
          <w:sz w:val="28"/>
          <w:szCs w:val="28"/>
          <w:rtl/>
        </w:rPr>
        <w:t>,</w:t>
      </w:r>
      <w:r w:rsidRPr="0004711E">
        <w:rPr>
          <w:rFonts w:cs="David" w:hint="cs"/>
          <w:sz w:val="28"/>
          <w:szCs w:val="28"/>
          <w:rtl/>
        </w:rPr>
        <w:t xml:space="preserve"> כי היא "</w:t>
      </w:r>
      <w:r w:rsidRPr="0004711E">
        <w:rPr>
          <w:rFonts w:cs="David"/>
          <w:sz w:val="28"/>
          <w:szCs w:val="28"/>
        </w:rPr>
        <w:t>Condemning as contrary to human rights and fundamental freedoms all violations, resulting from Israeli occupation, of the rights of the populations living in all the occupied Arab territories to national education and cultural life, and particularly the policy of systematic cultural assimilation</w:t>
      </w:r>
      <w:r w:rsidRPr="0004711E">
        <w:rPr>
          <w:rFonts w:cs="David" w:hint="cs"/>
          <w:sz w:val="28"/>
          <w:szCs w:val="28"/>
          <w:rtl/>
        </w:rPr>
        <w:t>". לפיכך, כבר בהחלטה למנות את המשלחת קבעה הוועידה את תוצאות הדוח המצופה מהמשלחת להפיק.</w:t>
      </w:r>
    </w:p>
    <w:p w:rsidR="004462BB" w:rsidRDefault="004462BB" w:rsidP="008B316C">
      <w:pPr>
        <w:pStyle w:val="a9"/>
        <w:numPr>
          <w:ilvl w:val="0"/>
          <w:numId w:val="8"/>
        </w:numPr>
        <w:spacing w:after="0" w:line="360" w:lineRule="auto"/>
        <w:jc w:val="both"/>
        <w:rPr>
          <w:rFonts w:cs="David"/>
          <w:sz w:val="28"/>
          <w:szCs w:val="28"/>
        </w:rPr>
      </w:pPr>
      <w:r>
        <w:rPr>
          <w:rFonts w:cs="David" w:hint="cs"/>
          <w:sz w:val="28"/>
          <w:szCs w:val="28"/>
          <w:rtl/>
        </w:rPr>
        <w:t>משלחת נציבת זכויות האדם התבקשה "</w:t>
      </w:r>
      <w:r w:rsidRPr="0004711E">
        <w:rPr>
          <w:color w:val="000000"/>
          <w:sz w:val="28"/>
          <w:szCs w:val="28"/>
          <w:shd w:val="clear" w:color="auto" w:fill="FFFFFF"/>
        </w:rPr>
        <w:t xml:space="preserve">to undertake an urgent visit to the occupied Palestinian territories </w:t>
      </w:r>
      <w:r w:rsidRPr="004462BB">
        <w:rPr>
          <w:b/>
          <w:bCs/>
          <w:color w:val="000000"/>
          <w:sz w:val="28"/>
          <w:szCs w:val="28"/>
          <w:shd w:val="clear" w:color="auto" w:fill="FFFFFF"/>
        </w:rPr>
        <w:t>to take stock of the violations of the human rights of the Palestinian people by the Israeli occupying Power</w:t>
      </w:r>
      <w:r>
        <w:rPr>
          <w:rFonts w:cs="David" w:hint="cs"/>
          <w:sz w:val="28"/>
          <w:szCs w:val="28"/>
          <w:rtl/>
        </w:rPr>
        <w:t xml:space="preserve">" </w:t>
      </w:r>
      <w:r w:rsidRPr="0004711E">
        <w:rPr>
          <w:rFonts w:cs="David" w:hint="cs"/>
          <w:sz w:val="28"/>
          <w:szCs w:val="28"/>
          <w:rtl/>
        </w:rPr>
        <w:t>(ההדגשה לא במקור).</w:t>
      </w:r>
    </w:p>
    <w:p w:rsidR="00D70812" w:rsidRPr="0004711E" w:rsidRDefault="00D70812" w:rsidP="008B316C">
      <w:pPr>
        <w:pStyle w:val="a9"/>
        <w:numPr>
          <w:ilvl w:val="0"/>
          <w:numId w:val="8"/>
        </w:numPr>
        <w:spacing w:after="0" w:line="360" w:lineRule="auto"/>
        <w:jc w:val="both"/>
        <w:rPr>
          <w:rFonts w:cs="David"/>
          <w:sz w:val="28"/>
          <w:szCs w:val="28"/>
        </w:rPr>
      </w:pPr>
      <w:r w:rsidRPr="0004711E">
        <w:rPr>
          <w:rFonts w:cs="David" w:hint="cs"/>
          <w:sz w:val="28"/>
          <w:szCs w:val="28"/>
          <w:rtl/>
        </w:rPr>
        <w:t xml:space="preserve">ועדת </w:t>
      </w:r>
      <w:r w:rsidR="00DF412D" w:rsidRPr="0004711E">
        <w:rPr>
          <w:rFonts w:cs="David" w:hint="cs"/>
          <w:sz w:val="28"/>
          <w:szCs w:val="28"/>
          <w:rtl/>
        </w:rPr>
        <w:t xml:space="preserve">האינתיפאדה השנייה </w:t>
      </w:r>
      <w:r w:rsidRPr="0004711E">
        <w:rPr>
          <w:rFonts w:cs="David" w:hint="cs"/>
          <w:sz w:val="28"/>
          <w:szCs w:val="28"/>
          <w:rtl/>
        </w:rPr>
        <w:t>התבקשה "</w:t>
      </w:r>
      <w:r w:rsidRPr="0004711E">
        <w:rPr>
          <w:rFonts w:cs="David"/>
          <w:sz w:val="28"/>
          <w:szCs w:val="28"/>
        </w:rPr>
        <w:t xml:space="preserve">to gather and compile information on violations of human rights and acts </w:t>
      </w:r>
      <w:r w:rsidRPr="0004711E">
        <w:rPr>
          <w:rFonts w:cs="David"/>
          <w:b/>
          <w:bCs/>
          <w:sz w:val="28"/>
          <w:szCs w:val="28"/>
        </w:rPr>
        <w:t>which constitute grave breaches of international humanitarian law by the Israeli occupying Power</w:t>
      </w:r>
      <w:r w:rsidRPr="0004711E">
        <w:rPr>
          <w:rFonts w:cs="David"/>
          <w:sz w:val="28"/>
          <w:szCs w:val="28"/>
        </w:rPr>
        <w:t xml:space="preserve"> in the occupied Palestinian territories and to provide the Commission with its conclusions and recommendations, with the aim of preventing the repetition of the recent human rights violations</w:t>
      </w:r>
      <w:r w:rsidRPr="0004711E">
        <w:rPr>
          <w:rFonts w:cs="David" w:hint="cs"/>
          <w:sz w:val="28"/>
          <w:szCs w:val="28"/>
          <w:rtl/>
        </w:rPr>
        <w:t>" (ההדגשה לא במקור).</w:t>
      </w:r>
    </w:p>
    <w:p w:rsidR="00D70812" w:rsidRPr="0004711E" w:rsidRDefault="00D70812" w:rsidP="008B316C">
      <w:pPr>
        <w:pStyle w:val="a9"/>
        <w:numPr>
          <w:ilvl w:val="0"/>
          <w:numId w:val="8"/>
        </w:numPr>
        <w:spacing w:after="0" w:line="360" w:lineRule="auto"/>
        <w:jc w:val="both"/>
        <w:rPr>
          <w:rFonts w:cs="David"/>
          <w:sz w:val="28"/>
          <w:szCs w:val="28"/>
        </w:rPr>
      </w:pPr>
      <w:r w:rsidRPr="0004711E">
        <w:rPr>
          <w:rFonts w:cs="David" w:hint="cs"/>
          <w:sz w:val="28"/>
          <w:szCs w:val="28"/>
          <w:rtl/>
        </w:rPr>
        <w:t>ועדת לבנון השנייה התבקשה "</w:t>
      </w:r>
      <w:r w:rsidRPr="0004711E">
        <w:rPr>
          <w:rFonts w:cs="David"/>
          <w:sz w:val="28"/>
          <w:szCs w:val="28"/>
        </w:rPr>
        <w:t xml:space="preserve">(a) </w:t>
      </w:r>
      <w:r w:rsidRPr="0004711E">
        <w:rPr>
          <w:rFonts w:cs="David"/>
          <w:b/>
          <w:bCs/>
          <w:sz w:val="28"/>
          <w:szCs w:val="28"/>
        </w:rPr>
        <w:t>to investigate the systematic targeting and killings of civilians by Israel in Lebanon</w:t>
      </w:r>
      <w:r w:rsidRPr="0004711E">
        <w:rPr>
          <w:rFonts w:cs="David"/>
          <w:sz w:val="28"/>
          <w:szCs w:val="28"/>
        </w:rPr>
        <w:t xml:space="preserve">; … (c) </w:t>
      </w:r>
      <w:r w:rsidRPr="0004711E">
        <w:rPr>
          <w:rFonts w:cs="David"/>
          <w:b/>
          <w:bCs/>
          <w:sz w:val="28"/>
          <w:szCs w:val="28"/>
        </w:rPr>
        <w:t>to assess the extent and deadly impact of Israeli attacks</w:t>
      </w:r>
      <w:r w:rsidRPr="0004711E">
        <w:rPr>
          <w:rFonts w:cs="David"/>
          <w:sz w:val="28"/>
          <w:szCs w:val="28"/>
        </w:rPr>
        <w:t xml:space="preserve"> on human </w:t>
      </w:r>
      <w:r w:rsidRPr="0004711E">
        <w:rPr>
          <w:rFonts w:cs="David"/>
          <w:sz w:val="28"/>
          <w:szCs w:val="28"/>
        </w:rPr>
        <w:lastRenderedPageBreak/>
        <w:t>life, property, critical infrastructure and the environment</w:t>
      </w:r>
      <w:r w:rsidRPr="0004711E">
        <w:rPr>
          <w:rFonts w:cs="David" w:hint="cs"/>
          <w:sz w:val="28"/>
          <w:szCs w:val="28"/>
          <w:rtl/>
        </w:rPr>
        <w:t>" (ההדגשה לא במקור).</w:t>
      </w:r>
    </w:p>
    <w:p w:rsidR="005D1461" w:rsidRPr="0004711E" w:rsidRDefault="005D1461" w:rsidP="008B316C">
      <w:pPr>
        <w:pStyle w:val="a9"/>
        <w:numPr>
          <w:ilvl w:val="0"/>
          <w:numId w:val="8"/>
        </w:numPr>
        <w:spacing w:after="0" w:line="360" w:lineRule="auto"/>
        <w:jc w:val="both"/>
        <w:rPr>
          <w:rFonts w:cs="David"/>
          <w:sz w:val="28"/>
          <w:szCs w:val="28"/>
        </w:rPr>
      </w:pPr>
      <w:r w:rsidRPr="0004711E">
        <w:rPr>
          <w:rFonts w:cs="David" w:hint="cs"/>
          <w:sz w:val="28"/>
          <w:szCs w:val="28"/>
          <w:rtl/>
        </w:rPr>
        <w:t>ועדת בית חנון התבקשה "</w:t>
      </w:r>
      <w:r w:rsidRPr="0004711E">
        <w:rPr>
          <w:rFonts w:cs="David"/>
          <w:sz w:val="28"/>
          <w:szCs w:val="28"/>
        </w:rPr>
        <w:t xml:space="preserve">… (c) make recommendations on ways and means </w:t>
      </w:r>
      <w:r w:rsidRPr="0004711E">
        <w:rPr>
          <w:rFonts w:cs="David"/>
          <w:b/>
          <w:bCs/>
          <w:sz w:val="28"/>
          <w:szCs w:val="28"/>
        </w:rPr>
        <w:t>to protect Palestinian civilians against any further Israeli assaults</w:t>
      </w:r>
      <w:r w:rsidRPr="0004711E">
        <w:rPr>
          <w:rFonts w:cs="David" w:hint="cs"/>
          <w:sz w:val="28"/>
          <w:szCs w:val="28"/>
          <w:rtl/>
        </w:rPr>
        <w:t>" (ההדגשה לא במקור).</w:t>
      </w:r>
    </w:p>
    <w:p w:rsidR="005D1461" w:rsidRPr="0004711E" w:rsidRDefault="005D1461" w:rsidP="008B316C">
      <w:pPr>
        <w:pStyle w:val="a9"/>
        <w:numPr>
          <w:ilvl w:val="0"/>
          <w:numId w:val="8"/>
        </w:numPr>
        <w:spacing w:after="0" w:line="360" w:lineRule="auto"/>
        <w:jc w:val="both"/>
        <w:rPr>
          <w:rFonts w:cs="David"/>
          <w:sz w:val="28"/>
          <w:szCs w:val="28"/>
        </w:rPr>
      </w:pPr>
      <w:r w:rsidRPr="0004711E">
        <w:rPr>
          <w:rFonts w:cs="David" w:hint="cs"/>
          <w:sz w:val="28"/>
          <w:szCs w:val="28"/>
          <w:rtl/>
        </w:rPr>
        <w:t>ועדת גולדסטון התבקשה</w:t>
      </w:r>
      <w:r w:rsidR="00692192">
        <w:rPr>
          <w:rFonts w:cs="David" w:hint="cs"/>
          <w:sz w:val="28"/>
          <w:szCs w:val="28"/>
          <w:rtl/>
        </w:rPr>
        <w:t xml:space="preserve"> על ידי </w:t>
      </w:r>
      <w:r w:rsidRPr="0004711E">
        <w:rPr>
          <w:rFonts w:cs="David" w:hint="cs"/>
          <w:sz w:val="28"/>
          <w:szCs w:val="28"/>
          <w:rtl/>
        </w:rPr>
        <w:t>המועצה "</w:t>
      </w:r>
      <w:r w:rsidRPr="0004711E">
        <w:rPr>
          <w:rFonts w:cs="David"/>
          <w:sz w:val="28"/>
          <w:szCs w:val="28"/>
        </w:rPr>
        <w:t xml:space="preserve">to investigate all violations of international human rights law and international humanitarian law by the occupying Power, Israel, against the Palestinian people throughout the Occupied Palestinian Territory, particularly in the occupied Gaza Strip, </w:t>
      </w:r>
      <w:r w:rsidRPr="0004711E">
        <w:rPr>
          <w:rFonts w:cs="David"/>
          <w:b/>
          <w:bCs/>
          <w:sz w:val="28"/>
          <w:szCs w:val="28"/>
        </w:rPr>
        <w:t>due to the current aggression</w:t>
      </w:r>
      <w:r w:rsidRPr="0004711E">
        <w:rPr>
          <w:rFonts w:cs="David"/>
          <w:sz w:val="28"/>
          <w:szCs w:val="28"/>
        </w:rPr>
        <w:t>…</w:t>
      </w:r>
      <w:r w:rsidRPr="0004711E">
        <w:rPr>
          <w:rFonts w:cs="David" w:hint="cs"/>
          <w:sz w:val="28"/>
          <w:szCs w:val="28"/>
          <w:rtl/>
        </w:rPr>
        <w:t>", אולם לאחר מכן שונה</w:t>
      </w:r>
      <w:r w:rsidR="00692192">
        <w:rPr>
          <w:rFonts w:cs="David" w:hint="cs"/>
          <w:sz w:val="28"/>
          <w:szCs w:val="28"/>
          <w:rtl/>
        </w:rPr>
        <w:t xml:space="preserve"> על ידי </w:t>
      </w:r>
      <w:r w:rsidRPr="0004711E">
        <w:rPr>
          <w:rFonts w:cs="David" w:hint="cs"/>
          <w:sz w:val="28"/>
          <w:szCs w:val="28"/>
          <w:rtl/>
        </w:rPr>
        <w:t>נשיא המועצה וצוטט בדוח הוועדה כדלקמן: "</w:t>
      </w:r>
      <w:r w:rsidRPr="0004711E">
        <w:rPr>
          <w:rFonts w:cs="David"/>
          <w:sz w:val="28"/>
          <w:szCs w:val="28"/>
        </w:rPr>
        <w:t>to investigate all violations of international human rights law and international humanitarian law that might have been committed at any time…</w:t>
      </w:r>
      <w:r w:rsidRPr="0004711E">
        <w:rPr>
          <w:rFonts w:cs="David" w:hint="cs"/>
          <w:sz w:val="28"/>
          <w:szCs w:val="28"/>
          <w:rtl/>
        </w:rPr>
        <w:t>" (ההדגשה לא במקור).</w:t>
      </w:r>
    </w:p>
    <w:p w:rsidR="005D1461" w:rsidRDefault="005D1461" w:rsidP="008B316C">
      <w:pPr>
        <w:pStyle w:val="a9"/>
        <w:numPr>
          <w:ilvl w:val="0"/>
          <w:numId w:val="8"/>
        </w:numPr>
        <w:spacing w:after="0" w:line="360" w:lineRule="auto"/>
        <w:jc w:val="both"/>
        <w:rPr>
          <w:rFonts w:cs="David"/>
          <w:sz w:val="28"/>
          <w:szCs w:val="28"/>
        </w:rPr>
      </w:pPr>
      <w:r w:rsidRPr="0004711E">
        <w:rPr>
          <w:rFonts w:cs="David" w:hint="cs"/>
          <w:sz w:val="28"/>
          <w:szCs w:val="28"/>
          <w:rtl/>
        </w:rPr>
        <w:t>ועדת האדסון-פיליפס התבקשה "</w:t>
      </w:r>
      <w:r w:rsidRPr="0004711E">
        <w:rPr>
          <w:rFonts w:cs="David"/>
          <w:sz w:val="28"/>
          <w:szCs w:val="28"/>
        </w:rPr>
        <w:t xml:space="preserve">to investigate violations of international law, including international humanitarian and human rights law, </w:t>
      </w:r>
      <w:r w:rsidRPr="0004711E">
        <w:rPr>
          <w:rFonts w:cs="David"/>
          <w:b/>
          <w:bCs/>
          <w:sz w:val="28"/>
          <w:szCs w:val="28"/>
        </w:rPr>
        <w:t>resulting from the Israeli attacks</w:t>
      </w:r>
      <w:r w:rsidRPr="0004711E">
        <w:rPr>
          <w:rFonts w:cs="David"/>
          <w:sz w:val="28"/>
          <w:szCs w:val="28"/>
        </w:rPr>
        <w:t xml:space="preserve"> on the flotilla of ships carrying humanitarian assistance</w:t>
      </w:r>
      <w:r w:rsidRPr="0004711E">
        <w:rPr>
          <w:rFonts w:cs="David" w:hint="cs"/>
          <w:sz w:val="28"/>
          <w:szCs w:val="28"/>
          <w:rtl/>
        </w:rPr>
        <w:t>" (ההדגשה לא במקור).</w:t>
      </w:r>
    </w:p>
    <w:p w:rsidR="004220EE" w:rsidRPr="0004711E" w:rsidRDefault="004220EE" w:rsidP="00177C26">
      <w:pPr>
        <w:pStyle w:val="a9"/>
        <w:numPr>
          <w:ilvl w:val="0"/>
          <w:numId w:val="8"/>
        </w:numPr>
        <w:spacing w:after="0" w:line="360" w:lineRule="auto"/>
        <w:jc w:val="both"/>
        <w:rPr>
          <w:rFonts w:cs="David"/>
          <w:sz w:val="28"/>
          <w:szCs w:val="28"/>
          <w:rtl/>
        </w:rPr>
      </w:pPr>
      <w:r>
        <w:rPr>
          <w:rFonts w:cs="David" w:hint="cs"/>
          <w:sz w:val="28"/>
          <w:szCs w:val="28"/>
          <w:rtl/>
        </w:rPr>
        <w:t xml:space="preserve">המנדט של ועדת צוק איתן מנוסח אומנם בלשון "ניטראלית", אולם ההחלטה שבה הוא נקבע רצופה גינויים קשים ביותר כלפי ישראל. מובן שהניתוק בין המנדט להחלטה </w:t>
      </w:r>
      <w:r w:rsidR="00177C26">
        <w:rPr>
          <w:rFonts w:cs="David" w:hint="cs"/>
          <w:sz w:val="28"/>
          <w:szCs w:val="28"/>
          <w:rtl/>
        </w:rPr>
        <w:t>שבה הוא ניתן</w:t>
      </w:r>
      <w:r>
        <w:rPr>
          <w:rFonts w:cs="David" w:hint="cs"/>
          <w:sz w:val="28"/>
          <w:szCs w:val="28"/>
          <w:rtl/>
        </w:rPr>
        <w:t xml:space="preserve"> יהיה מלאכותי ובלתי אפשרי.</w:t>
      </w:r>
    </w:p>
    <w:p w:rsidR="00D70812" w:rsidRPr="0004711E" w:rsidRDefault="00D70812" w:rsidP="008B316C">
      <w:pPr>
        <w:spacing w:after="0" w:line="360" w:lineRule="auto"/>
        <w:jc w:val="both"/>
        <w:rPr>
          <w:rFonts w:cs="David"/>
          <w:sz w:val="28"/>
          <w:szCs w:val="28"/>
          <w:rtl/>
        </w:rPr>
      </w:pPr>
    </w:p>
    <w:p w:rsidR="00E96E18" w:rsidRPr="0004711E" w:rsidRDefault="00E96E18" w:rsidP="008B316C">
      <w:pPr>
        <w:spacing w:after="0" w:line="360" w:lineRule="auto"/>
        <w:jc w:val="both"/>
        <w:rPr>
          <w:rFonts w:cs="David"/>
          <w:sz w:val="28"/>
          <w:szCs w:val="28"/>
          <w:rtl/>
        </w:rPr>
      </w:pPr>
      <w:r w:rsidRPr="0004711E">
        <w:rPr>
          <w:rFonts w:cs="David" w:hint="cs"/>
          <w:sz w:val="28"/>
          <w:szCs w:val="28"/>
          <w:rtl/>
        </w:rPr>
        <w:t xml:space="preserve">אין ספק, כי מנדטים כאלה, אשר קובעים מראש את </w:t>
      </w:r>
      <w:r w:rsidR="00787E3B" w:rsidRPr="0004711E">
        <w:rPr>
          <w:rFonts w:cs="David" w:hint="cs"/>
          <w:sz w:val="28"/>
          <w:szCs w:val="28"/>
          <w:rtl/>
        </w:rPr>
        <w:t xml:space="preserve">ה"אשמה" של ישראל ובכך גם את </w:t>
      </w:r>
      <w:r w:rsidRPr="0004711E">
        <w:rPr>
          <w:rFonts w:cs="David" w:hint="cs"/>
          <w:sz w:val="28"/>
          <w:szCs w:val="28"/>
          <w:rtl/>
        </w:rPr>
        <w:t>התוצאה, הם מנדטים מוטים. הם אינם עולים בקנה אחד עם האמור בסעיף 3 להצהרת העצרת על בירור עובדות, לפיו "</w:t>
      </w:r>
      <w:r w:rsidR="000F0EE2" w:rsidRPr="0004711E">
        <w:rPr>
          <w:rFonts w:eastAsia="Times New Roman" w:cs="Courier New"/>
          <w:color w:val="000000"/>
          <w:sz w:val="28"/>
          <w:szCs w:val="28"/>
        </w:rPr>
        <w:t xml:space="preserve">Fact-finding should be comprehensive, </w:t>
      </w:r>
      <w:r w:rsidR="000F0EE2" w:rsidRPr="0004711E">
        <w:rPr>
          <w:rFonts w:eastAsia="Times New Roman" w:cs="Courier New"/>
          <w:b/>
          <w:bCs/>
          <w:color w:val="000000"/>
          <w:sz w:val="28"/>
          <w:szCs w:val="28"/>
        </w:rPr>
        <w:t>objective, impartial</w:t>
      </w:r>
      <w:r w:rsidR="000F0EE2" w:rsidRPr="0004711E">
        <w:rPr>
          <w:rFonts w:eastAsia="Times New Roman" w:cs="Courier New"/>
          <w:color w:val="000000"/>
          <w:sz w:val="28"/>
          <w:szCs w:val="28"/>
        </w:rPr>
        <w:t xml:space="preserve"> and timely</w:t>
      </w:r>
      <w:r w:rsidR="000F0EE2" w:rsidRPr="0004711E">
        <w:rPr>
          <w:rFonts w:cs="David" w:hint="cs"/>
          <w:sz w:val="28"/>
          <w:szCs w:val="28"/>
          <w:rtl/>
        </w:rPr>
        <w:t>" (ההדגשה אינה במקור).</w:t>
      </w:r>
      <w:r w:rsidR="00203A2F" w:rsidRPr="0004711E">
        <w:rPr>
          <w:rFonts w:cs="David" w:hint="cs"/>
          <w:sz w:val="28"/>
          <w:szCs w:val="28"/>
          <w:rtl/>
        </w:rPr>
        <w:t xml:space="preserve"> הם גם אינם עומדים בדרישת סעיף 25 להצהרה האמורה שקובע כי "</w:t>
      </w:r>
      <w:r w:rsidR="00203A2F" w:rsidRPr="0004711E">
        <w:rPr>
          <w:rFonts w:cs="David"/>
          <w:sz w:val="28"/>
          <w:szCs w:val="28"/>
        </w:rPr>
        <w:t xml:space="preserve"> Fact-finding </w:t>
      </w:r>
      <w:r w:rsidR="00203A2F" w:rsidRPr="0004711E">
        <w:rPr>
          <w:rFonts w:cs="David"/>
          <w:sz w:val="28"/>
          <w:szCs w:val="28"/>
        </w:rPr>
        <w:lastRenderedPageBreak/>
        <w:t xml:space="preserve">missions have an obligation to act in strict conformity with their mandate and perform their task </w:t>
      </w:r>
      <w:r w:rsidR="00203A2F" w:rsidRPr="0004711E">
        <w:rPr>
          <w:rFonts w:cs="David"/>
          <w:b/>
          <w:bCs/>
          <w:sz w:val="28"/>
          <w:szCs w:val="28"/>
        </w:rPr>
        <w:t>in an impartial way</w:t>
      </w:r>
      <w:r w:rsidR="00203A2F" w:rsidRPr="0004711E">
        <w:rPr>
          <w:rFonts w:cs="David" w:hint="cs"/>
          <w:sz w:val="28"/>
          <w:szCs w:val="28"/>
          <w:rtl/>
        </w:rPr>
        <w:t>" (ההדגשה לא במקור).</w:t>
      </w:r>
    </w:p>
    <w:p w:rsidR="00E96E18" w:rsidRDefault="00E96E18" w:rsidP="008B316C">
      <w:pPr>
        <w:spacing w:after="0" w:line="360" w:lineRule="auto"/>
        <w:jc w:val="both"/>
        <w:rPr>
          <w:rFonts w:cs="David"/>
          <w:sz w:val="28"/>
          <w:szCs w:val="28"/>
          <w:rtl/>
        </w:rPr>
      </w:pPr>
    </w:p>
    <w:p w:rsidR="00C43CE9" w:rsidRPr="003D0069" w:rsidRDefault="00C43CE9" w:rsidP="003D0069">
      <w:pPr>
        <w:pStyle w:val="a9"/>
        <w:numPr>
          <w:ilvl w:val="0"/>
          <w:numId w:val="24"/>
        </w:numPr>
        <w:spacing w:after="0" w:line="360" w:lineRule="auto"/>
        <w:jc w:val="both"/>
        <w:outlineLvl w:val="2"/>
        <w:rPr>
          <w:rFonts w:cs="David"/>
          <w:sz w:val="28"/>
          <w:szCs w:val="28"/>
          <w:rtl/>
        </w:rPr>
      </w:pPr>
      <w:bookmarkStart w:id="44" w:name="_Toc456027319"/>
      <w:r w:rsidRPr="003D0069">
        <w:rPr>
          <w:rFonts w:cs="David" w:hint="cs"/>
          <w:sz w:val="28"/>
          <w:szCs w:val="28"/>
          <w:rtl/>
        </w:rPr>
        <w:t>מנדטים חד-צדדיים</w:t>
      </w:r>
      <w:bookmarkEnd w:id="44"/>
    </w:p>
    <w:p w:rsidR="00C43CE9" w:rsidRPr="0004711E" w:rsidRDefault="00C43CE9" w:rsidP="008B316C">
      <w:pPr>
        <w:spacing w:after="0" w:line="360" w:lineRule="auto"/>
        <w:jc w:val="both"/>
        <w:rPr>
          <w:rFonts w:cs="David"/>
          <w:sz w:val="28"/>
          <w:szCs w:val="28"/>
          <w:rtl/>
        </w:rPr>
      </w:pPr>
    </w:p>
    <w:p w:rsidR="004227F5" w:rsidRPr="0004711E" w:rsidRDefault="00DF412D" w:rsidP="00C43CE9">
      <w:pPr>
        <w:spacing w:after="0" w:line="360" w:lineRule="auto"/>
        <w:jc w:val="both"/>
        <w:rPr>
          <w:rFonts w:cs="David"/>
          <w:sz w:val="28"/>
          <w:szCs w:val="28"/>
          <w:rtl/>
        </w:rPr>
      </w:pPr>
      <w:r w:rsidRPr="0004711E">
        <w:rPr>
          <w:rFonts w:cs="David" w:hint="cs"/>
          <w:sz w:val="28"/>
          <w:szCs w:val="28"/>
          <w:rtl/>
        </w:rPr>
        <w:t>ביקורת נוספת</w:t>
      </w:r>
      <w:r w:rsidR="007240D2">
        <w:rPr>
          <w:rFonts w:cs="David" w:hint="cs"/>
          <w:sz w:val="28"/>
          <w:szCs w:val="28"/>
          <w:rtl/>
        </w:rPr>
        <w:t>,</w:t>
      </w:r>
      <w:r w:rsidRPr="0004711E">
        <w:rPr>
          <w:rFonts w:cs="David" w:hint="cs"/>
          <w:sz w:val="28"/>
          <w:szCs w:val="28"/>
          <w:rtl/>
        </w:rPr>
        <w:t xml:space="preserve"> שהושמעה כנגד המנדטים של ועדות החקירה של המועצה כנגד ישראל</w:t>
      </w:r>
      <w:r w:rsidR="007240D2">
        <w:rPr>
          <w:rFonts w:cs="David" w:hint="cs"/>
          <w:sz w:val="28"/>
          <w:szCs w:val="28"/>
          <w:rtl/>
        </w:rPr>
        <w:t>,</w:t>
      </w:r>
      <w:r w:rsidRPr="0004711E">
        <w:rPr>
          <w:rFonts w:cs="David" w:hint="cs"/>
          <w:sz w:val="28"/>
          <w:szCs w:val="28"/>
          <w:rtl/>
        </w:rPr>
        <w:t xml:space="preserve"> נגעה </w:t>
      </w:r>
      <w:r w:rsidR="007240D2">
        <w:rPr>
          <w:rFonts w:cs="David" w:hint="cs"/>
          <w:sz w:val="28"/>
          <w:szCs w:val="28"/>
          <w:rtl/>
        </w:rPr>
        <w:t>ב</w:t>
      </w:r>
      <w:r w:rsidRPr="0004711E">
        <w:rPr>
          <w:rFonts w:cs="David" w:hint="cs"/>
          <w:sz w:val="28"/>
          <w:szCs w:val="28"/>
          <w:rtl/>
        </w:rPr>
        <w:t>כך שהם הופנו רק כלפי התנהגותה של ישראל ולא כלפי שני הצדדים. ניתן לראות זאת בדוגמאות</w:t>
      </w:r>
      <w:r w:rsidR="007240D2">
        <w:rPr>
          <w:rFonts w:cs="David" w:hint="cs"/>
          <w:sz w:val="28"/>
          <w:szCs w:val="28"/>
          <w:rtl/>
        </w:rPr>
        <w:t>,</w:t>
      </w:r>
      <w:r w:rsidRPr="0004711E">
        <w:rPr>
          <w:rFonts w:cs="David" w:hint="cs"/>
          <w:sz w:val="28"/>
          <w:szCs w:val="28"/>
          <w:rtl/>
        </w:rPr>
        <w:t xml:space="preserve"> שהובאו לעיל מ</w:t>
      </w:r>
      <w:r w:rsidR="004462BB">
        <w:rPr>
          <w:rFonts w:cs="David" w:hint="cs"/>
          <w:sz w:val="28"/>
          <w:szCs w:val="28"/>
          <w:rtl/>
        </w:rPr>
        <w:t xml:space="preserve">משלחת נציבת זכויות האדם, </w:t>
      </w:r>
      <w:r w:rsidRPr="0004711E">
        <w:rPr>
          <w:rFonts w:cs="David" w:hint="cs"/>
          <w:sz w:val="28"/>
          <w:szCs w:val="28"/>
          <w:rtl/>
        </w:rPr>
        <w:t>ועדת האינתיפאדה השנייה, ועדת לבנון השנייה, ועדת גולדסטון ו</w:t>
      </w:r>
      <w:r w:rsidR="00C43CE9">
        <w:rPr>
          <w:rFonts w:cs="David" w:hint="cs"/>
          <w:sz w:val="28"/>
          <w:szCs w:val="28"/>
          <w:rtl/>
        </w:rPr>
        <w:t>-ו</w:t>
      </w:r>
      <w:r w:rsidRPr="0004711E">
        <w:rPr>
          <w:rFonts w:cs="David" w:hint="cs"/>
          <w:sz w:val="28"/>
          <w:szCs w:val="28"/>
          <w:rtl/>
        </w:rPr>
        <w:t xml:space="preserve">ועדת האדסון-פיליפס. </w:t>
      </w:r>
      <w:r w:rsidR="00FD7E9D" w:rsidRPr="0004711E">
        <w:rPr>
          <w:rFonts w:cs="David" w:hint="cs"/>
          <w:sz w:val="28"/>
          <w:szCs w:val="28"/>
          <w:rtl/>
        </w:rPr>
        <w:t xml:space="preserve">גם </w:t>
      </w:r>
      <w:r w:rsidR="009A6D36" w:rsidRPr="0004711E">
        <w:rPr>
          <w:rFonts w:cs="David" w:hint="cs"/>
          <w:sz w:val="28"/>
          <w:szCs w:val="28"/>
          <w:rtl/>
        </w:rPr>
        <w:t>לגבי ועדת העצרת הכללית מ-1968 העלתה מדינת ישראל טענות כנגד העובדה שהוועדה נדרשה לבחון רק את ההתנהגות הישראלית כלפי תושבי "השטחים הכבושים" ולא את ההתנהגות הגרועה יותר, לטענת ישראל, של מדינות ערב כלפי היהודים שגרו בהן</w:t>
      </w:r>
      <w:bookmarkStart w:id="45" w:name="_Ref450296810"/>
      <w:r w:rsidR="0098622A" w:rsidRPr="0004711E">
        <w:rPr>
          <w:rStyle w:val="a7"/>
          <w:rFonts w:cs="David"/>
          <w:sz w:val="28"/>
          <w:szCs w:val="28"/>
          <w:rtl/>
        </w:rPr>
        <w:footnoteReference w:id="182"/>
      </w:r>
      <w:bookmarkEnd w:id="45"/>
      <w:r w:rsidR="009A6D36" w:rsidRPr="0004711E">
        <w:rPr>
          <w:rFonts w:cs="David" w:hint="cs"/>
          <w:sz w:val="28"/>
          <w:szCs w:val="28"/>
          <w:rtl/>
        </w:rPr>
        <w:t xml:space="preserve">. </w:t>
      </w:r>
      <w:r w:rsidR="00E0467E" w:rsidRPr="0004711E">
        <w:rPr>
          <w:rFonts w:cs="David" w:hint="cs"/>
          <w:sz w:val="28"/>
          <w:szCs w:val="28"/>
          <w:rtl/>
        </w:rPr>
        <w:t>טענה דומה העלתה ישראל גם לגבי ועדת הנציבות מ-1969</w:t>
      </w:r>
      <w:r w:rsidR="00E0467E" w:rsidRPr="0004711E">
        <w:rPr>
          <w:rStyle w:val="a7"/>
          <w:rFonts w:cs="David"/>
          <w:sz w:val="28"/>
          <w:szCs w:val="28"/>
          <w:rtl/>
        </w:rPr>
        <w:footnoteReference w:id="183"/>
      </w:r>
      <w:r w:rsidR="00E0467E" w:rsidRPr="0004711E">
        <w:rPr>
          <w:rFonts w:cs="David" w:hint="cs"/>
          <w:sz w:val="28"/>
          <w:szCs w:val="28"/>
          <w:rtl/>
        </w:rPr>
        <w:t xml:space="preserve">. </w:t>
      </w:r>
      <w:r w:rsidR="00C72EBD" w:rsidRPr="0004711E">
        <w:rPr>
          <w:rFonts w:cs="David" w:hint="cs"/>
          <w:sz w:val="28"/>
          <w:szCs w:val="28"/>
          <w:rtl/>
        </w:rPr>
        <w:t>כפי שצוין, המנדט החד-צדדי שניתן לוועדת גולדסטון</w:t>
      </w:r>
      <w:r w:rsidR="00692192">
        <w:rPr>
          <w:rFonts w:cs="David" w:hint="cs"/>
          <w:sz w:val="28"/>
          <w:szCs w:val="28"/>
          <w:rtl/>
        </w:rPr>
        <w:t xml:space="preserve"> על ידי </w:t>
      </w:r>
      <w:r w:rsidR="00C72EBD" w:rsidRPr="0004711E">
        <w:rPr>
          <w:rFonts w:cs="David" w:hint="cs"/>
          <w:sz w:val="28"/>
          <w:szCs w:val="28"/>
          <w:rtl/>
        </w:rPr>
        <w:t>המועצה שונה</w:t>
      </w:r>
      <w:r w:rsidR="00692192">
        <w:rPr>
          <w:rFonts w:cs="David" w:hint="cs"/>
          <w:sz w:val="28"/>
          <w:szCs w:val="28"/>
          <w:rtl/>
        </w:rPr>
        <w:t xml:space="preserve"> על ידי </w:t>
      </w:r>
      <w:r w:rsidR="00C72EBD" w:rsidRPr="0004711E">
        <w:rPr>
          <w:rFonts w:cs="David" w:hint="cs"/>
          <w:sz w:val="28"/>
          <w:szCs w:val="28"/>
          <w:rtl/>
        </w:rPr>
        <w:t>נשיא המועצה. קדם לכך סירובה של הנציבה העליונה של האו"ם לזכויות אדם לשעבר, מרי רובינסון, לעמוד בראש הוועדה, מאחר שלדעתה המנדט שקיבלה הוועדה היה חד-צדדי "והודרך</w:t>
      </w:r>
      <w:r w:rsidR="00692192">
        <w:rPr>
          <w:rFonts w:cs="David" w:hint="cs"/>
          <w:sz w:val="28"/>
          <w:szCs w:val="28"/>
          <w:rtl/>
        </w:rPr>
        <w:t xml:space="preserve"> על ידי </w:t>
      </w:r>
      <w:r w:rsidR="00C72EBD" w:rsidRPr="0004711E">
        <w:rPr>
          <w:rFonts w:cs="David" w:hint="cs"/>
          <w:sz w:val="28"/>
          <w:szCs w:val="28"/>
          <w:rtl/>
        </w:rPr>
        <w:t>פוליטיקה ולא</w:t>
      </w:r>
      <w:r w:rsidR="00692192">
        <w:rPr>
          <w:rFonts w:cs="David" w:hint="cs"/>
          <w:sz w:val="28"/>
          <w:szCs w:val="28"/>
          <w:rtl/>
        </w:rPr>
        <w:t xml:space="preserve"> על ידי </w:t>
      </w:r>
      <w:r w:rsidR="00C72EBD" w:rsidRPr="0004711E">
        <w:rPr>
          <w:rFonts w:cs="David" w:hint="cs"/>
          <w:sz w:val="28"/>
          <w:szCs w:val="28"/>
          <w:rtl/>
        </w:rPr>
        <w:t>זכויות אדם"</w:t>
      </w:r>
      <w:r w:rsidR="00C72EBD" w:rsidRPr="0004711E">
        <w:rPr>
          <w:rStyle w:val="a7"/>
          <w:rFonts w:cs="David"/>
          <w:sz w:val="28"/>
          <w:szCs w:val="28"/>
          <w:rtl/>
        </w:rPr>
        <w:footnoteReference w:id="184"/>
      </w:r>
      <w:r w:rsidR="00C72EBD" w:rsidRPr="0004711E">
        <w:rPr>
          <w:rFonts w:cs="David" w:hint="cs"/>
          <w:sz w:val="28"/>
          <w:szCs w:val="28"/>
          <w:rtl/>
        </w:rPr>
        <w:t>. גם גולדסטון סירב תחילה לעמוד בראש הוועדה בשל ניסוחו החד-צדדי של המנדט</w:t>
      </w:r>
      <w:r w:rsidR="00576590" w:rsidRPr="0004711E">
        <w:rPr>
          <w:rFonts w:cs="David" w:hint="cs"/>
          <w:sz w:val="28"/>
          <w:szCs w:val="28"/>
          <w:rtl/>
        </w:rPr>
        <w:t>, והסכים לכך רק לאחר שהנשיא שינה את מנדט הוועדה כך שיאפשר את בחינת התנהגותם של שני הצדדים והודיע על כך במסיבת העיתונאים שבה הכריז על הקמת הוועדה</w:t>
      </w:r>
      <w:r w:rsidR="00576590" w:rsidRPr="0004711E">
        <w:rPr>
          <w:rStyle w:val="a7"/>
          <w:rFonts w:cs="David"/>
          <w:sz w:val="28"/>
          <w:szCs w:val="28"/>
          <w:rtl/>
        </w:rPr>
        <w:footnoteReference w:id="185"/>
      </w:r>
      <w:r w:rsidR="00576590" w:rsidRPr="0004711E">
        <w:rPr>
          <w:rFonts w:cs="David" w:hint="cs"/>
          <w:sz w:val="28"/>
          <w:szCs w:val="28"/>
          <w:rtl/>
        </w:rPr>
        <w:t xml:space="preserve">. החלטתו של נשיא המועצה מעניינת, מפני שלא ברור מהיכן הוא </w:t>
      </w:r>
      <w:r w:rsidR="00576590" w:rsidRPr="0004711E">
        <w:rPr>
          <w:rFonts w:cs="David" w:hint="cs"/>
          <w:sz w:val="28"/>
          <w:szCs w:val="28"/>
          <w:rtl/>
        </w:rPr>
        <w:lastRenderedPageBreak/>
        <w:t xml:space="preserve">שואב את סמכותו לשנות את המנדט </w:t>
      </w:r>
      <w:r w:rsidR="00AF71C3" w:rsidRPr="0004711E">
        <w:rPr>
          <w:rFonts w:cs="David" w:hint="cs"/>
          <w:sz w:val="28"/>
          <w:szCs w:val="28"/>
          <w:rtl/>
        </w:rPr>
        <w:t>כפי שנוסח בהחלטת המועצה. הנשיא מציין</w:t>
      </w:r>
      <w:r w:rsidR="007240D2">
        <w:rPr>
          <w:rFonts w:cs="David" w:hint="cs"/>
          <w:sz w:val="28"/>
          <w:szCs w:val="28"/>
          <w:rtl/>
        </w:rPr>
        <w:t>,</w:t>
      </w:r>
      <w:r w:rsidR="00AF71C3" w:rsidRPr="0004711E">
        <w:rPr>
          <w:rFonts w:cs="David" w:hint="cs"/>
          <w:sz w:val="28"/>
          <w:szCs w:val="28"/>
          <w:rtl/>
        </w:rPr>
        <w:t xml:space="preserve"> כי המועצה </w:t>
      </w:r>
      <w:r w:rsidR="007240D2" w:rsidRPr="0004711E">
        <w:rPr>
          <w:rFonts w:cs="David" w:hint="cs"/>
          <w:sz w:val="28"/>
          <w:szCs w:val="28"/>
          <w:rtl/>
        </w:rPr>
        <w:t xml:space="preserve">ניסחה </w:t>
      </w:r>
      <w:r w:rsidR="00AF71C3" w:rsidRPr="0004711E">
        <w:rPr>
          <w:rFonts w:cs="David" w:hint="cs"/>
          <w:sz w:val="28"/>
          <w:szCs w:val="28"/>
          <w:rtl/>
        </w:rPr>
        <w:t xml:space="preserve">אומנם את המנדט אך הסמיכה </w:t>
      </w:r>
      <w:r w:rsidR="00AF71C3" w:rsidRPr="0004711E">
        <w:rPr>
          <w:rFonts w:cs="David" w:hint="cs"/>
          <w:b/>
          <w:bCs/>
          <w:sz w:val="28"/>
          <w:szCs w:val="28"/>
          <w:rtl/>
        </w:rPr>
        <w:t>אותו</w:t>
      </w:r>
      <w:r w:rsidR="00AF71C3" w:rsidRPr="0004711E">
        <w:rPr>
          <w:rFonts w:cs="David" w:hint="cs"/>
          <w:sz w:val="28"/>
          <w:szCs w:val="28"/>
          <w:rtl/>
        </w:rPr>
        <w:t xml:space="preserve"> להקים את הוועדה וזו לדעתו הדרך הטובה ביותר לקיים את ייעודה של הוועדה. </w:t>
      </w:r>
      <w:r w:rsidR="00177C26">
        <w:rPr>
          <w:rFonts w:cs="David" w:hint="cs"/>
          <w:sz w:val="28"/>
          <w:szCs w:val="28"/>
          <w:rtl/>
        </w:rPr>
        <w:t xml:space="preserve">שתיקת המועצה לאחר מכן מעידה כנראה גם כן על הסכמה שקטה למהלך של נשיא המועצה. </w:t>
      </w:r>
      <w:r w:rsidR="00AF71C3" w:rsidRPr="0004711E">
        <w:rPr>
          <w:rFonts w:cs="David" w:hint="cs"/>
          <w:sz w:val="28"/>
          <w:szCs w:val="28"/>
          <w:rtl/>
        </w:rPr>
        <w:t>מקרה זה יכול לשמש כתקדים בעתיד, שיאפשר תיקון של מנדטים פוליטיים מוטים שמנוסחים</w:t>
      </w:r>
      <w:r w:rsidR="00692192">
        <w:rPr>
          <w:rFonts w:cs="David" w:hint="cs"/>
          <w:sz w:val="28"/>
          <w:szCs w:val="28"/>
          <w:rtl/>
        </w:rPr>
        <w:t xml:space="preserve"> על ידי </w:t>
      </w:r>
      <w:r w:rsidR="00AF71C3" w:rsidRPr="0004711E">
        <w:rPr>
          <w:rFonts w:cs="David" w:hint="cs"/>
          <w:sz w:val="28"/>
          <w:szCs w:val="28"/>
          <w:rtl/>
        </w:rPr>
        <w:t xml:space="preserve">המועצה, באמצעות נשיא המועצה, שיוכל להקים ועדה שתפעל </w:t>
      </w:r>
      <w:r w:rsidR="00B31BC3">
        <w:rPr>
          <w:rFonts w:cs="David" w:hint="cs"/>
          <w:sz w:val="28"/>
          <w:szCs w:val="28"/>
          <w:rtl/>
        </w:rPr>
        <w:t>על פי</w:t>
      </w:r>
      <w:r w:rsidR="00AF71C3" w:rsidRPr="0004711E">
        <w:rPr>
          <w:rFonts w:cs="David" w:hint="cs"/>
          <w:sz w:val="28"/>
          <w:szCs w:val="28"/>
          <w:rtl/>
        </w:rPr>
        <w:t xml:space="preserve"> מנדט שיכול לזכות ללגיטימציה חלף המנדט החד-צדדי שניסחה המועצה.</w:t>
      </w:r>
    </w:p>
    <w:p w:rsidR="00364FB5" w:rsidRPr="0004711E" w:rsidRDefault="00364FB5" w:rsidP="008B316C">
      <w:pPr>
        <w:spacing w:after="0" w:line="360" w:lineRule="auto"/>
        <w:jc w:val="both"/>
        <w:rPr>
          <w:rFonts w:cs="David"/>
          <w:sz w:val="28"/>
          <w:szCs w:val="28"/>
          <w:rtl/>
        </w:rPr>
      </w:pPr>
    </w:p>
    <w:p w:rsidR="00364FB5" w:rsidRPr="0004711E" w:rsidRDefault="00364FB5" w:rsidP="008B316C">
      <w:pPr>
        <w:spacing w:after="0" w:line="360" w:lineRule="auto"/>
        <w:jc w:val="both"/>
        <w:rPr>
          <w:rFonts w:cs="David"/>
          <w:sz w:val="28"/>
          <w:szCs w:val="28"/>
          <w:rtl/>
        </w:rPr>
      </w:pPr>
      <w:r w:rsidRPr="0004711E">
        <w:rPr>
          <w:rFonts w:cs="David" w:hint="cs"/>
          <w:sz w:val="28"/>
          <w:szCs w:val="28"/>
          <w:rtl/>
        </w:rPr>
        <w:t xml:space="preserve">החלטת נשיא המועצה לשנות את המנדט של ועדת גולדסטון סימנה </w:t>
      </w:r>
      <w:r w:rsidR="00177C26">
        <w:rPr>
          <w:rFonts w:cs="David" w:hint="cs"/>
          <w:sz w:val="28"/>
          <w:szCs w:val="28"/>
          <w:rtl/>
        </w:rPr>
        <w:t xml:space="preserve">גם </w:t>
      </w:r>
      <w:r w:rsidRPr="0004711E">
        <w:rPr>
          <w:rFonts w:cs="David" w:hint="cs"/>
          <w:sz w:val="28"/>
          <w:szCs w:val="28"/>
          <w:rtl/>
        </w:rPr>
        <w:t xml:space="preserve">אולי שינוי </w:t>
      </w:r>
      <w:r w:rsidR="00D97165" w:rsidRPr="0004711E">
        <w:rPr>
          <w:rFonts w:cs="David" w:hint="cs"/>
          <w:sz w:val="28"/>
          <w:szCs w:val="28"/>
          <w:rtl/>
        </w:rPr>
        <w:t xml:space="preserve">משמעותי </w:t>
      </w:r>
      <w:r w:rsidRPr="0004711E">
        <w:rPr>
          <w:rFonts w:cs="David" w:hint="cs"/>
          <w:sz w:val="28"/>
          <w:szCs w:val="28"/>
          <w:rtl/>
        </w:rPr>
        <w:t>יותר ולא נקודתי, מפני ש</w:t>
      </w:r>
      <w:r w:rsidR="00D97165" w:rsidRPr="0004711E">
        <w:rPr>
          <w:rFonts w:cs="David" w:hint="cs"/>
          <w:sz w:val="28"/>
          <w:szCs w:val="28"/>
          <w:rtl/>
        </w:rPr>
        <w:t>בוועדת צוק איתן כבר ניסחה המועצה עצמה את המנדט</w:t>
      </w:r>
      <w:r w:rsidR="007240D2">
        <w:rPr>
          <w:rFonts w:cs="David" w:hint="cs"/>
          <w:sz w:val="28"/>
          <w:szCs w:val="28"/>
          <w:rtl/>
        </w:rPr>
        <w:t>,</w:t>
      </w:r>
      <w:r w:rsidR="00D97165" w:rsidRPr="0004711E">
        <w:rPr>
          <w:rFonts w:cs="David" w:hint="cs"/>
          <w:sz w:val="28"/>
          <w:szCs w:val="28"/>
          <w:rtl/>
        </w:rPr>
        <w:t xml:space="preserve"> כך שיכסה את הפרות שני הצדדים ומבלי שסימן את הצד "האשם"</w:t>
      </w:r>
      <w:r w:rsidR="002E4C7D">
        <w:rPr>
          <w:rFonts w:cs="David" w:hint="cs"/>
          <w:sz w:val="28"/>
          <w:szCs w:val="28"/>
          <w:rtl/>
        </w:rPr>
        <w:t xml:space="preserve"> (אם כי, כאמור, ההחלטה שבה נקבע המנדט רצופת גינויים לישראל ואינה מזכירה את חמאס כלל)</w:t>
      </w:r>
      <w:r w:rsidR="00D97165" w:rsidRPr="0004711E">
        <w:rPr>
          <w:rFonts w:cs="David" w:hint="cs"/>
          <w:sz w:val="28"/>
          <w:szCs w:val="28"/>
          <w:rtl/>
        </w:rPr>
        <w:t>.</w:t>
      </w:r>
    </w:p>
    <w:p w:rsidR="00DF412D" w:rsidRPr="0004711E" w:rsidRDefault="00DF412D" w:rsidP="008B316C">
      <w:pPr>
        <w:spacing w:after="0" w:line="360" w:lineRule="auto"/>
        <w:jc w:val="both"/>
        <w:rPr>
          <w:rFonts w:cs="David"/>
          <w:sz w:val="28"/>
          <w:szCs w:val="28"/>
          <w:rtl/>
        </w:rPr>
      </w:pPr>
    </w:p>
    <w:p w:rsidR="00AF71C3" w:rsidRPr="0004711E" w:rsidRDefault="00AF71C3" w:rsidP="008B316C">
      <w:pPr>
        <w:spacing w:after="0" w:line="360" w:lineRule="auto"/>
        <w:jc w:val="both"/>
        <w:rPr>
          <w:rFonts w:cs="David"/>
          <w:sz w:val="28"/>
          <w:szCs w:val="28"/>
          <w:rtl/>
        </w:rPr>
      </w:pPr>
      <w:r w:rsidRPr="0004711E">
        <w:rPr>
          <w:rFonts w:cs="David" w:hint="cs"/>
          <w:sz w:val="28"/>
          <w:szCs w:val="28"/>
          <w:rtl/>
        </w:rPr>
        <w:t>ועדת לבנון השנייה</w:t>
      </w:r>
      <w:r w:rsidR="00CE430D" w:rsidRPr="0004711E">
        <w:rPr>
          <w:rFonts w:cs="David" w:hint="cs"/>
          <w:sz w:val="28"/>
          <w:szCs w:val="28"/>
          <w:rtl/>
        </w:rPr>
        <w:t>, שנדרשה לבדוק רק את התנהגות ישראל ולא את התנהגות חזבאללה,</w:t>
      </w:r>
      <w:r w:rsidRPr="0004711E">
        <w:rPr>
          <w:rFonts w:cs="David" w:hint="cs"/>
          <w:sz w:val="28"/>
          <w:szCs w:val="28"/>
          <w:rtl/>
        </w:rPr>
        <w:t xml:space="preserve"> </w:t>
      </w:r>
      <w:r w:rsidR="00CE430D" w:rsidRPr="0004711E">
        <w:rPr>
          <w:rFonts w:cs="David" w:hint="cs"/>
          <w:sz w:val="28"/>
          <w:szCs w:val="28"/>
          <w:rtl/>
        </w:rPr>
        <w:t>ביקרה את המנדט שקיבלה וציינה:</w:t>
      </w:r>
    </w:p>
    <w:p w:rsidR="00CE430D" w:rsidRPr="0004711E" w:rsidRDefault="00CE430D" w:rsidP="008B316C">
      <w:pPr>
        <w:spacing w:after="0" w:line="360" w:lineRule="auto"/>
        <w:jc w:val="both"/>
        <w:rPr>
          <w:rFonts w:cs="David"/>
          <w:sz w:val="28"/>
          <w:szCs w:val="28"/>
          <w:rtl/>
        </w:rPr>
      </w:pPr>
    </w:p>
    <w:p w:rsidR="00513DBA" w:rsidRDefault="00CE430D">
      <w:pPr>
        <w:bidi w:val="0"/>
        <w:spacing w:after="0" w:line="240" w:lineRule="auto"/>
        <w:jc w:val="both"/>
        <w:rPr>
          <w:sz w:val="28"/>
          <w:szCs w:val="28"/>
        </w:rPr>
      </w:pPr>
      <w:r w:rsidRPr="0004711E">
        <w:rPr>
          <w:sz w:val="28"/>
          <w:szCs w:val="28"/>
        </w:rPr>
        <w:t>"A fundamental point in relation to the conflict and the Commission’s mandate as defined by the Council is the conduct of Hezbollah. The Commission considers that any independent, impartial and objective investigation into a particular conduct during the course of hostilities must of necessity be with reference to all the belligerents involved. Thus an inquiry into the conformity with international humanitarian law of the specific acts of IDF in Lebanon requires that account also be taken of the conduct of the opponent."</w:t>
      </w:r>
      <w:r w:rsidRPr="0004711E">
        <w:rPr>
          <w:rStyle w:val="a7"/>
          <w:sz w:val="28"/>
          <w:szCs w:val="28"/>
        </w:rPr>
        <w:footnoteReference w:id="186"/>
      </w:r>
    </w:p>
    <w:p w:rsidR="00CE430D" w:rsidRPr="0004711E" w:rsidRDefault="00CE430D" w:rsidP="008B316C">
      <w:pPr>
        <w:bidi w:val="0"/>
        <w:spacing w:after="0" w:line="360" w:lineRule="auto"/>
        <w:jc w:val="both"/>
        <w:rPr>
          <w:rFonts w:cs="David"/>
          <w:sz w:val="28"/>
          <w:szCs w:val="28"/>
        </w:rPr>
      </w:pPr>
    </w:p>
    <w:p w:rsidR="00CE430D" w:rsidRPr="0004711E" w:rsidRDefault="00CE430D" w:rsidP="008B316C">
      <w:pPr>
        <w:spacing w:after="0" w:line="360" w:lineRule="auto"/>
        <w:jc w:val="both"/>
        <w:rPr>
          <w:rFonts w:cs="David"/>
          <w:sz w:val="28"/>
          <w:szCs w:val="28"/>
          <w:rtl/>
        </w:rPr>
      </w:pPr>
      <w:r w:rsidRPr="0004711E">
        <w:rPr>
          <w:rFonts w:cs="David" w:hint="cs"/>
          <w:sz w:val="28"/>
          <w:szCs w:val="28"/>
          <w:rtl/>
        </w:rPr>
        <w:lastRenderedPageBreak/>
        <w:t>חרף הביקורת האמורה, הוועדה לא נמנעה מהגשת הדוח כנגד ישראל מבלי שבחנה את התנהגות חזבאללה, וסברה כי היא לא יכולה לחרוג מהמנדט שניתן לה:</w:t>
      </w:r>
    </w:p>
    <w:p w:rsidR="00CE430D" w:rsidRPr="0004711E" w:rsidRDefault="00CE430D" w:rsidP="008B316C">
      <w:pPr>
        <w:spacing w:after="0" w:line="360" w:lineRule="auto"/>
        <w:jc w:val="both"/>
        <w:rPr>
          <w:rFonts w:cs="David"/>
          <w:sz w:val="28"/>
          <w:szCs w:val="28"/>
          <w:rtl/>
        </w:rPr>
      </w:pPr>
    </w:p>
    <w:p w:rsidR="00513DBA" w:rsidRDefault="00CE430D">
      <w:pPr>
        <w:bidi w:val="0"/>
        <w:spacing w:after="0" w:line="240" w:lineRule="auto"/>
        <w:jc w:val="both"/>
        <w:rPr>
          <w:rFonts w:cs="David"/>
          <w:sz w:val="28"/>
          <w:szCs w:val="28"/>
        </w:rPr>
      </w:pPr>
      <w:r w:rsidRPr="0004711E">
        <w:rPr>
          <w:sz w:val="28"/>
          <w:szCs w:val="28"/>
        </w:rPr>
        <w:t>"That said, taking into consideration the express limitations of its mandate, the Commission is not entitled, even if it had wished, to construe it as equally authorizing the investigation of the actions by Hezbollah in Israel. To do so would exceed the Commission’s interpretative function and would be to usurp the Council’s powers.</w:t>
      </w:r>
      <w:r w:rsidR="00E07EE0" w:rsidRPr="0004711E">
        <w:rPr>
          <w:sz w:val="28"/>
          <w:szCs w:val="28"/>
        </w:rPr>
        <w:t>"</w:t>
      </w:r>
      <w:r w:rsidR="00E07EE0" w:rsidRPr="0004711E">
        <w:rPr>
          <w:rStyle w:val="a7"/>
          <w:sz w:val="28"/>
          <w:szCs w:val="28"/>
        </w:rPr>
        <w:footnoteReference w:id="187"/>
      </w:r>
    </w:p>
    <w:p w:rsidR="00AF71C3" w:rsidRPr="0004711E" w:rsidRDefault="00AF71C3" w:rsidP="008B316C">
      <w:pPr>
        <w:spacing w:after="0" w:line="360" w:lineRule="auto"/>
        <w:jc w:val="both"/>
        <w:rPr>
          <w:rFonts w:cs="David"/>
          <w:sz w:val="28"/>
          <w:szCs w:val="28"/>
          <w:rtl/>
        </w:rPr>
      </w:pPr>
    </w:p>
    <w:p w:rsidR="00FF4507" w:rsidRDefault="00FF4507" w:rsidP="007240D2">
      <w:pPr>
        <w:spacing w:after="0" w:line="360" w:lineRule="auto"/>
        <w:jc w:val="both"/>
        <w:rPr>
          <w:rFonts w:cs="David"/>
          <w:sz w:val="28"/>
          <w:szCs w:val="28"/>
          <w:rtl/>
        </w:rPr>
      </w:pPr>
      <w:r>
        <w:rPr>
          <w:rFonts w:cs="David" w:hint="cs"/>
          <w:sz w:val="28"/>
          <w:szCs w:val="28"/>
          <w:rtl/>
        </w:rPr>
        <w:t>הפרק הראשון במדריך המתקדם לו</w:t>
      </w:r>
      <w:r w:rsidR="009F6ED1">
        <w:rPr>
          <w:rFonts w:cs="David" w:hint="cs"/>
          <w:sz w:val="28"/>
          <w:szCs w:val="28"/>
          <w:rtl/>
        </w:rPr>
        <w:t xml:space="preserve">ועדות חקירה </w:t>
      </w:r>
      <w:r>
        <w:rPr>
          <w:rFonts w:cs="David" w:hint="cs"/>
          <w:sz w:val="28"/>
          <w:szCs w:val="28"/>
          <w:rtl/>
        </w:rPr>
        <w:t xml:space="preserve">של </w:t>
      </w:r>
      <w:r>
        <w:rPr>
          <w:rFonts w:cs="David" w:hint="cs"/>
          <w:sz w:val="28"/>
          <w:szCs w:val="28"/>
        </w:rPr>
        <w:t>HPCR</w:t>
      </w:r>
      <w:r>
        <w:rPr>
          <w:rFonts w:cs="David" w:hint="cs"/>
          <w:sz w:val="28"/>
          <w:szCs w:val="28"/>
          <w:rtl/>
        </w:rPr>
        <w:t xml:space="preserve"> של אוניברסיטת הרווארד</w:t>
      </w:r>
      <w:bookmarkStart w:id="46" w:name="_Ref450801583"/>
      <w:r>
        <w:rPr>
          <w:rStyle w:val="a7"/>
          <w:rFonts w:cs="David"/>
          <w:sz w:val="28"/>
          <w:szCs w:val="28"/>
          <w:rtl/>
        </w:rPr>
        <w:footnoteReference w:id="188"/>
      </w:r>
      <w:bookmarkEnd w:id="46"/>
      <w:r w:rsidR="007240D2">
        <w:rPr>
          <w:rFonts w:cs="David" w:hint="cs"/>
          <w:sz w:val="28"/>
          <w:szCs w:val="28"/>
          <w:rtl/>
        </w:rPr>
        <w:t>,</w:t>
      </w:r>
      <w:r>
        <w:rPr>
          <w:rFonts w:cs="David" w:hint="cs"/>
          <w:sz w:val="28"/>
          <w:szCs w:val="28"/>
          <w:rtl/>
        </w:rPr>
        <w:t xml:space="preserve"> שפורסם בשנת 2015</w:t>
      </w:r>
      <w:r w:rsidR="00515158">
        <w:rPr>
          <w:rFonts w:cs="David" w:hint="cs"/>
          <w:sz w:val="28"/>
          <w:szCs w:val="28"/>
          <w:rtl/>
        </w:rPr>
        <w:t>,</w:t>
      </w:r>
      <w:r>
        <w:rPr>
          <w:rFonts w:cs="David" w:hint="cs"/>
          <w:sz w:val="28"/>
          <w:szCs w:val="28"/>
          <w:rtl/>
        </w:rPr>
        <w:t xml:space="preserve"> מתייחס ל"פרש</w:t>
      </w:r>
      <w:r w:rsidR="00177C26">
        <w:rPr>
          <w:rFonts w:cs="David" w:hint="cs"/>
          <w:sz w:val="28"/>
          <w:szCs w:val="28"/>
          <w:rtl/>
        </w:rPr>
        <w:t>נות</w:t>
      </w:r>
      <w:r>
        <w:rPr>
          <w:rFonts w:cs="David" w:hint="cs"/>
          <w:sz w:val="28"/>
          <w:szCs w:val="28"/>
          <w:rtl/>
        </w:rPr>
        <w:t xml:space="preserve"> המנדט"</w:t>
      </w:r>
      <w:r w:rsidR="00692192">
        <w:rPr>
          <w:rFonts w:cs="David" w:hint="cs"/>
          <w:sz w:val="28"/>
          <w:szCs w:val="28"/>
          <w:rtl/>
        </w:rPr>
        <w:t xml:space="preserve"> על ידי </w:t>
      </w:r>
      <w:r>
        <w:rPr>
          <w:rFonts w:cs="David" w:hint="cs"/>
          <w:sz w:val="28"/>
          <w:szCs w:val="28"/>
          <w:rtl/>
        </w:rPr>
        <w:t>ועדת החקירה. תהליך פרש</w:t>
      </w:r>
      <w:r w:rsidR="004D3FED">
        <w:rPr>
          <w:rFonts w:cs="David" w:hint="cs"/>
          <w:sz w:val="28"/>
          <w:szCs w:val="28"/>
          <w:rtl/>
        </w:rPr>
        <w:t>נות</w:t>
      </w:r>
      <w:r>
        <w:rPr>
          <w:rFonts w:cs="David" w:hint="cs"/>
          <w:sz w:val="28"/>
          <w:szCs w:val="28"/>
          <w:rtl/>
        </w:rPr>
        <w:t xml:space="preserve"> המנדט </w:t>
      </w:r>
      <w:r w:rsidR="007240D2">
        <w:rPr>
          <w:rFonts w:cs="David" w:hint="cs"/>
          <w:sz w:val="28"/>
          <w:szCs w:val="28"/>
          <w:rtl/>
        </w:rPr>
        <w:t xml:space="preserve">נחלק </w:t>
      </w:r>
      <w:r>
        <w:rPr>
          <w:rFonts w:cs="David" w:hint="cs"/>
          <w:sz w:val="28"/>
          <w:szCs w:val="28"/>
          <w:rtl/>
        </w:rPr>
        <w:t>במדריך לארבעה שלבים:</w:t>
      </w:r>
    </w:p>
    <w:p w:rsidR="00FF4507" w:rsidRDefault="00FF4507" w:rsidP="008B316C">
      <w:pPr>
        <w:spacing w:after="0" w:line="360" w:lineRule="auto"/>
        <w:jc w:val="both"/>
        <w:rPr>
          <w:rFonts w:cs="David"/>
          <w:sz w:val="28"/>
          <w:szCs w:val="28"/>
          <w:rtl/>
        </w:rPr>
      </w:pPr>
    </w:p>
    <w:p w:rsidR="00FF4507" w:rsidRDefault="00FF4507" w:rsidP="008B316C">
      <w:pPr>
        <w:pStyle w:val="a9"/>
        <w:numPr>
          <w:ilvl w:val="0"/>
          <w:numId w:val="13"/>
        </w:numPr>
        <w:spacing w:after="0" w:line="360" w:lineRule="auto"/>
        <w:jc w:val="both"/>
        <w:rPr>
          <w:rFonts w:cs="David"/>
          <w:sz w:val="28"/>
          <w:szCs w:val="28"/>
        </w:rPr>
      </w:pPr>
      <w:r>
        <w:rPr>
          <w:rFonts w:cs="David" w:hint="cs"/>
          <w:sz w:val="28"/>
          <w:szCs w:val="28"/>
          <w:rtl/>
        </w:rPr>
        <w:t>פירוש הטקסט של המנדט: התיחום הטריטוריאלי; תיחום הזמן; היקף האירוע וטבעו; הפעולות הנדרשות מהוועדה;</w:t>
      </w:r>
    </w:p>
    <w:p w:rsidR="00FF4507" w:rsidRDefault="00FF4507" w:rsidP="008B316C">
      <w:pPr>
        <w:pStyle w:val="a9"/>
        <w:numPr>
          <w:ilvl w:val="0"/>
          <w:numId w:val="13"/>
        </w:numPr>
        <w:spacing w:after="0" w:line="360" w:lineRule="auto"/>
        <w:jc w:val="both"/>
        <w:rPr>
          <w:rFonts w:cs="David"/>
          <w:sz w:val="28"/>
          <w:szCs w:val="28"/>
        </w:rPr>
      </w:pPr>
      <w:r>
        <w:rPr>
          <w:rFonts w:cs="David" w:hint="cs"/>
          <w:sz w:val="28"/>
          <w:szCs w:val="28"/>
          <w:rtl/>
        </w:rPr>
        <w:t xml:space="preserve">הערכת מטרת הוועדה ומשימתה בהתאם לנוסח המנדט ולכוונת הגוף שמינה אותו בהתאם להצהרות שניתנו, דיונים </w:t>
      </w:r>
      <w:r w:rsidR="004D3FED">
        <w:rPr>
          <w:rFonts w:cs="David" w:hint="cs"/>
          <w:sz w:val="28"/>
          <w:szCs w:val="28"/>
          <w:rtl/>
        </w:rPr>
        <w:t>בגוף הממנה וההקשר הכללי;</w:t>
      </w:r>
    </w:p>
    <w:p w:rsidR="004D3FED" w:rsidRDefault="004D3FED" w:rsidP="008B316C">
      <w:pPr>
        <w:pStyle w:val="a9"/>
        <w:numPr>
          <w:ilvl w:val="0"/>
          <w:numId w:val="13"/>
        </w:numPr>
        <w:spacing w:after="0" w:line="360" w:lineRule="auto"/>
        <w:jc w:val="both"/>
        <w:rPr>
          <w:rFonts w:cs="David"/>
          <w:sz w:val="28"/>
          <w:szCs w:val="28"/>
        </w:rPr>
      </w:pPr>
      <w:r>
        <w:rPr>
          <w:rFonts w:cs="David" w:hint="cs"/>
          <w:sz w:val="28"/>
          <w:szCs w:val="28"/>
          <w:rtl/>
        </w:rPr>
        <w:t>זיהוי והבהרה של פערים או דו משמעויות במנדט וטיפול בהם באמצעות פרשנות הגיונית;</w:t>
      </w:r>
    </w:p>
    <w:p w:rsidR="004D3FED" w:rsidRPr="00FF4507" w:rsidRDefault="004D3FED" w:rsidP="00177C26">
      <w:pPr>
        <w:pStyle w:val="a9"/>
        <w:numPr>
          <w:ilvl w:val="0"/>
          <w:numId w:val="13"/>
        </w:numPr>
        <w:spacing w:after="0" w:line="360" w:lineRule="auto"/>
        <w:jc w:val="both"/>
        <w:rPr>
          <w:rFonts w:cs="David"/>
          <w:sz w:val="28"/>
          <w:szCs w:val="28"/>
          <w:rtl/>
        </w:rPr>
      </w:pPr>
      <w:r>
        <w:rPr>
          <w:rFonts w:cs="David" w:hint="cs"/>
          <w:sz w:val="28"/>
          <w:szCs w:val="28"/>
          <w:rtl/>
        </w:rPr>
        <w:t>וידוא כי המנדט מעשי מבחינה טכנית ואינו לוקה במשוא פנים: מנדטים רחבים מדי אינם ניתנים להשגה במציאות של אילוצי זמן ומשאבים ויש להתאים את התוצר הנדרש לזמן ולמשאבים ולא ללשון המנדט. מאחר שתהליך ניסוח המנדט הוא פוליטי, עלול המנדט ללקות במשוא פנים, ואז צריכה הוועדה לנקוט פרשנות שתמנע אותו באחת מהדרכים הבאות: א. קבלת רשות מהגוף הממנה שתאפשר התגברות על הקושי האמור; ב. הצדקת בחינה של כל הצדדים על מנת לקבוע האם היו הפרות של החוק; ג. הפניה לחלק במנדט שמאפשר פרשנות מאוזנת.</w:t>
      </w:r>
    </w:p>
    <w:p w:rsidR="00FF4507" w:rsidRDefault="00FF4507" w:rsidP="008B316C">
      <w:pPr>
        <w:spacing w:after="0" w:line="360" w:lineRule="auto"/>
        <w:jc w:val="both"/>
        <w:rPr>
          <w:rFonts w:cs="David"/>
          <w:sz w:val="28"/>
          <w:szCs w:val="28"/>
          <w:rtl/>
        </w:rPr>
      </w:pPr>
    </w:p>
    <w:p w:rsidR="00515158" w:rsidRDefault="00515158" w:rsidP="008B316C">
      <w:pPr>
        <w:spacing w:after="0" w:line="360" w:lineRule="auto"/>
        <w:jc w:val="both"/>
        <w:rPr>
          <w:rFonts w:cs="David"/>
          <w:sz w:val="28"/>
          <w:szCs w:val="28"/>
          <w:rtl/>
        </w:rPr>
      </w:pPr>
      <w:r>
        <w:rPr>
          <w:rFonts w:cs="David" w:hint="cs"/>
          <w:sz w:val="28"/>
          <w:szCs w:val="28"/>
          <w:rtl/>
        </w:rPr>
        <w:lastRenderedPageBreak/>
        <w:t>דומה, כי נקיטת פרשנות בהתאם לתהליך זה, על ידי ועדת לבנון השנייה, לדוגמה, הייתה עשויה למנוע את התוצאה הקשה ואת הדוח הבלתי מאוזן שאליהם הגיעה הוועדה בשל דרך פרשנותה הדווקנית את המנדט המוטה שניתן לה.</w:t>
      </w:r>
    </w:p>
    <w:p w:rsidR="00515158" w:rsidRDefault="00515158" w:rsidP="008B316C">
      <w:pPr>
        <w:spacing w:after="0" w:line="360" w:lineRule="auto"/>
        <w:jc w:val="both"/>
        <w:rPr>
          <w:rFonts w:cs="David"/>
          <w:sz w:val="28"/>
          <w:szCs w:val="28"/>
          <w:rtl/>
        </w:rPr>
      </w:pPr>
    </w:p>
    <w:p w:rsidR="00C43CE9" w:rsidRPr="003D0069" w:rsidRDefault="00C43CE9" w:rsidP="003D0069">
      <w:pPr>
        <w:pStyle w:val="a9"/>
        <w:numPr>
          <w:ilvl w:val="0"/>
          <w:numId w:val="24"/>
        </w:numPr>
        <w:spacing w:after="0" w:line="360" w:lineRule="auto"/>
        <w:jc w:val="both"/>
        <w:outlineLvl w:val="2"/>
        <w:rPr>
          <w:rFonts w:cs="David"/>
          <w:sz w:val="28"/>
          <w:szCs w:val="28"/>
          <w:rtl/>
        </w:rPr>
      </w:pPr>
      <w:bookmarkStart w:id="47" w:name="_Toc456027320"/>
      <w:r w:rsidRPr="003D0069">
        <w:rPr>
          <w:rFonts w:cs="David" w:hint="cs"/>
          <w:sz w:val="28"/>
          <w:szCs w:val="28"/>
          <w:rtl/>
        </w:rPr>
        <w:t>תיחום הזמן</w:t>
      </w:r>
      <w:bookmarkEnd w:id="47"/>
    </w:p>
    <w:p w:rsidR="00C43CE9" w:rsidRDefault="00C43CE9" w:rsidP="008B316C">
      <w:pPr>
        <w:spacing w:after="0" w:line="360" w:lineRule="auto"/>
        <w:jc w:val="both"/>
        <w:rPr>
          <w:rFonts w:cs="David"/>
          <w:sz w:val="28"/>
          <w:szCs w:val="28"/>
          <w:rtl/>
        </w:rPr>
      </w:pPr>
    </w:p>
    <w:p w:rsidR="00D97165" w:rsidRPr="0004711E" w:rsidRDefault="00D97165" w:rsidP="00C43CE9">
      <w:pPr>
        <w:spacing w:after="0" w:line="360" w:lineRule="auto"/>
        <w:jc w:val="both"/>
        <w:rPr>
          <w:rFonts w:cs="David"/>
          <w:sz w:val="28"/>
          <w:szCs w:val="28"/>
          <w:rtl/>
        </w:rPr>
      </w:pPr>
      <w:r w:rsidRPr="0004711E">
        <w:rPr>
          <w:rFonts w:cs="David" w:hint="cs"/>
          <w:sz w:val="28"/>
          <w:szCs w:val="28"/>
          <w:rtl/>
        </w:rPr>
        <w:t xml:space="preserve">ביקורת נוספת כנגד מנדט של ועדה התעוררה לעניין </w:t>
      </w:r>
      <w:r w:rsidRPr="0004711E">
        <w:rPr>
          <w:rFonts w:cs="David" w:hint="cs"/>
          <w:b/>
          <w:bCs/>
          <w:sz w:val="28"/>
          <w:szCs w:val="28"/>
          <w:rtl/>
        </w:rPr>
        <w:t>תיחום הזמן</w:t>
      </w:r>
      <w:r w:rsidRPr="0004711E">
        <w:rPr>
          <w:rFonts w:cs="David" w:hint="cs"/>
          <w:sz w:val="28"/>
          <w:szCs w:val="28"/>
          <w:rtl/>
        </w:rPr>
        <w:t xml:space="preserve"> שהתבקשה הוועדה לבחון.</w:t>
      </w:r>
      <w:r w:rsidR="00CF1023" w:rsidRPr="0004711E">
        <w:rPr>
          <w:rFonts w:cs="David" w:hint="cs"/>
          <w:sz w:val="28"/>
          <w:szCs w:val="28"/>
          <w:rtl/>
        </w:rPr>
        <w:t xml:space="preserve"> ביקורת זו התעוררה, לדוגמה, לגבי המנדט של ועדת צוק איתן, </w:t>
      </w:r>
      <w:r w:rsidR="005077BA">
        <w:rPr>
          <w:rFonts w:cs="David" w:hint="cs"/>
          <w:sz w:val="28"/>
          <w:szCs w:val="28"/>
          <w:rtl/>
        </w:rPr>
        <w:t>כפי שפורט ב</w:t>
      </w:r>
      <w:r w:rsidR="00C43CE9">
        <w:rPr>
          <w:rFonts w:cs="David" w:hint="cs"/>
          <w:sz w:val="28"/>
          <w:szCs w:val="28"/>
          <w:rtl/>
        </w:rPr>
        <w:t>נספח</w:t>
      </w:r>
      <w:r w:rsidR="005077BA">
        <w:rPr>
          <w:rFonts w:cs="David" w:hint="cs"/>
          <w:sz w:val="28"/>
          <w:szCs w:val="28"/>
          <w:rtl/>
        </w:rPr>
        <w:t xml:space="preserve">, </w:t>
      </w:r>
      <w:r w:rsidR="00CF1023" w:rsidRPr="0004711E">
        <w:rPr>
          <w:rFonts w:cs="David" w:hint="cs"/>
          <w:sz w:val="28"/>
          <w:szCs w:val="28"/>
          <w:rtl/>
        </w:rPr>
        <w:t xml:space="preserve">שהסמיך את הוועדה לבחון את האירועים החל מיום 13.06.14, ולא מיום </w:t>
      </w:r>
      <w:r w:rsidR="00CF1023" w:rsidRPr="0004711E">
        <w:rPr>
          <w:rFonts w:cs="David" w:hint="cs"/>
          <w:b/>
          <w:bCs/>
          <w:sz w:val="28"/>
          <w:szCs w:val="28"/>
          <w:rtl/>
        </w:rPr>
        <w:t>12.06.14</w:t>
      </w:r>
      <w:r w:rsidR="00CF1023" w:rsidRPr="0004711E">
        <w:rPr>
          <w:rFonts w:cs="David" w:hint="cs"/>
          <w:sz w:val="28"/>
          <w:szCs w:val="28"/>
          <w:rtl/>
        </w:rPr>
        <w:t xml:space="preserve"> שבו נחטפו (ומאוחר יותר נרצחו) שלושה נערים מגוש עציון, מה שהוביל לפתיחה במבצע "שובו אחים" </w:t>
      </w:r>
      <w:r w:rsidR="003C7433" w:rsidRPr="0004711E">
        <w:rPr>
          <w:rFonts w:cs="David" w:hint="cs"/>
          <w:sz w:val="28"/>
          <w:szCs w:val="28"/>
          <w:rtl/>
        </w:rPr>
        <w:t>ו</w:t>
      </w:r>
      <w:r w:rsidR="00CF1023" w:rsidRPr="0004711E">
        <w:rPr>
          <w:rFonts w:cs="David" w:hint="cs"/>
          <w:sz w:val="28"/>
          <w:szCs w:val="28"/>
          <w:rtl/>
        </w:rPr>
        <w:t xml:space="preserve">לאחריו </w:t>
      </w:r>
      <w:r w:rsidR="003C7433" w:rsidRPr="0004711E">
        <w:rPr>
          <w:rFonts w:cs="David" w:hint="cs"/>
          <w:sz w:val="28"/>
          <w:szCs w:val="28"/>
          <w:rtl/>
        </w:rPr>
        <w:t>ב</w:t>
      </w:r>
      <w:r w:rsidR="00CF1023" w:rsidRPr="0004711E">
        <w:rPr>
          <w:rFonts w:cs="David" w:hint="cs"/>
          <w:sz w:val="28"/>
          <w:szCs w:val="28"/>
          <w:rtl/>
        </w:rPr>
        <w:t xml:space="preserve">מבצע "צוק איתן". מובן שבחירת המועצה להוציא את תאריך החטיפה והרצח מכלל התקופה שתבחן הוועדה לא הייתה מקרית. אומנם, מנדט הוועדה היה לבחון את </w:t>
      </w:r>
      <w:r w:rsidR="003943A8" w:rsidRPr="0004711E">
        <w:rPr>
          <w:rFonts w:cs="David" w:hint="cs"/>
          <w:sz w:val="28"/>
          <w:szCs w:val="28"/>
          <w:rtl/>
        </w:rPr>
        <w:t>הפרות החוק "לפני, במהלך או אחרי" התקופה שנקובה במנדט הוועדה, והוועדה גם הזכירה את אירוע החטיפה והרצח של הנערים בדוח שפרסמה</w:t>
      </w:r>
      <w:r w:rsidR="003943A8" w:rsidRPr="0004711E">
        <w:rPr>
          <w:rStyle w:val="a7"/>
          <w:rFonts w:cs="David"/>
          <w:sz w:val="28"/>
          <w:szCs w:val="28"/>
          <w:rtl/>
        </w:rPr>
        <w:footnoteReference w:id="189"/>
      </w:r>
      <w:r w:rsidR="000F0EE2" w:rsidRPr="0004711E">
        <w:rPr>
          <w:rFonts w:cs="David" w:hint="cs"/>
          <w:sz w:val="28"/>
          <w:szCs w:val="28"/>
          <w:rtl/>
        </w:rPr>
        <w:t>, אך עצם העובדה שהמועצה, בכוונת מכוון, הוציאה את מועד החטיפה והרצח מהתקופה שביקשה מהוועדה לבחון מעידה על כוונתה המוטה של המועצה כנגד ישראל בהקשר זה.</w:t>
      </w:r>
    </w:p>
    <w:p w:rsidR="00D97165" w:rsidRDefault="00D97165" w:rsidP="008B316C">
      <w:pPr>
        <w:spacing w:after="0" w:line="360" w:lineRule="auto"/>
        <w:jc w:val="both"/>
        <w:rPr>
          <w:rFonts w:cs="David"/>
          <w:sz w:val="28"/>
          <w:szCs w:val="28"/>
          <w:rtl/>
        </w:rPr>
      </w:pPr>
    </w:p>
    <w:p w:rsidR="00560E10" w:rsidRPr="003D0069" w:rsidRDefault="00A41A87" w:rsidP="003D0069">
      <w:pPr>
        <w:pStyle w:val="a9"/>
        <w:numPr>
          <w:ilvl w:val="0"/>
          <w:numId w:val="24"/>
        </w:numPr>
        <w:spacing w:after="0" w:line="360" w:lineRule="auto"/>
        <w:jc w:val="both"/>
        <w:outlineLvl w:val="2"/>
        <w:rPr>
          <w:rFonts w:cs="David"/>
          <w:sz w:val="28"/>
          <w:szCs w:val="28"/>
          <w:rtl/>
        </w:rPr>
      </w:pPr>
      <w:bookmarkStart w:id="48" w:name="_Toc456027321"/>
      <w:r w:rsidRPr="003D0069">
        <w:rPr>
          <w:rFonts w:cs="David" w:hint="cs"/>
          <w:sz w:val="28"/>
          <w:szCs w:val="28"/>
          <w:rtl/>
        </w:rPr>
        <w:t>התיחום הגיאוגרפי</w:t>
      </w:r>
      <w:bookmarkEnd w:id="48"/>
    </w:p>
    <w:p w:rsidR="00560E10" w:rsidRPr="0004711E" w:rsidRDefault="00560E10" w:rsidP="008B316C">
      <w:pPr>
        <w:spacing w:after="0" w:line="360" w:lineRule="auto"/>
        <w:jc w:val="both"/>
        <w:rPr>
          <w:rFonts w:cs="David"/>
          <w:sz w:val="28"/>
          <w:szCs w:val="28"/>
          <w:rtl/>
        </w:rPr>
      </w:pPr>
    </w:p>
    <w:p w:rsidR="000F0EE2" w:rsidRPr="0004711E" w:rsidRDefault="000F0EE2" w:rsidP="007240D2">
      <w:pPr>
        <w:spacing w:after="0" w:line="360" w:lineRule="auto"/>
        <w:jc w:val="both"/>
        <w:rPr>
          <w:rFonts w:cs="David"/>
          <w:sz w:val="28"/>
          <w:szCs w:val="28"/>
          <w:rtl/>
        </w:rPr>
      </w:pPr>
      <w:r w:rsidRPr="0004711E">
        <w:rPr>
          <w:rFonts w:cs="David" w:hint="cs"/>
          <w:sz w:val="28"/>
          <w:szCs w:val="28"/>
          <w:rtl/>
        </w:rPr>
        <w:t>ביקורת נוספת</w:t>
      </w:r>
      <w:r w:rsidR="007240D2">
        <w:rPr>
          <w:rFonts w:cs="David" w:hint="cs"/>
          <w:sz w:val="28"/>
          <w:szCs w:val="28"/>
          <w:rtl/>
        </w:rPr>
        <w:t>,</w:t>
      </w:r>
      <w:r w:rsidRPr="0004711E">
        <w:rPr>
          <w:rFonts w:cs="David" w:hint="cs"/>
          <w:sz w:val="28"/>
          <w:szCs w:val="28"/>
          <w:rtl/>
        </w:rPr>
        <w:t xml:space="preserve"> שהועלתה ביחס למנדט הוועדות נגעה </w:t>
      </w:r>
      <w:r w:rsidRPr="0004711E">
        <w:rPr>
          <w:rFonts w:cs="David" w:hint="cs"/>
          <w:b/>
          <w:bCs/>
          <w:sz w:val="28"/>
          <w:szCs w:val="28"/>
          <w:rtl/>
        </w:rPr>
        <w:t>ל</w:t>
      </w:r>
      <w:r w:rsidR="004227F5" w:rsidRPr="0004711E">
        <w:rPr>
          <w:rFonts w:cs="David" w:hint="cs"/>
          <w:b/>
          <w:bCs/>
          <w:sz w:val="28"/>
          <w:szCs w:val="28"/>
          <w:rtl/>
        </w:rPr>
        <w:t xml:space="preserve">תיחום </w:t>
      </w:r>
      <w:r w:rsidRPr="0004711E">
        <w:rPr>
          <w:rFonts w:cs="David" w:hint="cs"/>
          <w:b/>
          <w:bCs/>
          <w:sz w:val="28"/>
          <w:szCs w:val="28"/>
          <w:rtl/>
        </w:rPr>
        <w:t>ה</w:t>
      </w:r>
      <w:r w:rsidR="004227F5" w:rsidRPr="0004711E">
        <w:rPr>
          <w:rFonts w:cs="David" w:hint="cs"/>
          <w:b/>
          <w:bCs/>
          <w:sz w:val="28"/>
          <w:szCs w:val="28"/>
          <w:rtl/>
        </w:rPr>
        <w:t>גיאוגרפי</w:t>
      </w:r>
      <w:r w:rsidR="004227F5" w:rsidRPr="0004711E">
        <w:rPr>
          <w:rFonts w:cs="David" w:hint="cs"/>
          <w:sz w:val="28"/>
          <w:szCs w:val="28"/>
          <w:rtl/>
        </w:rPr>
        <w:t xml:space="preserve"> </w:t>
      </w:r>
      <w:r w:rsidRPr="0004711E">
        <w:rPr>
          <w:rFonts w:cs="David" w:hint="cs"/>
          <w:sz w:val="28"/>
          <w:szCs w:val="28"/>
          <w:rtl/>
        </w:rPr>
        <w:t>שנכלל בהם. לעניין זה כבר הוזכרה העובדה שוועדת לבנון השנייה קיבלה מנדט לבחון את הפעולות שקרו בשטח לבנון בלבד</w:t>
      </w:r>
      <w:r w:rsidR="00B373A3" w:rsidRPr="0004711E">
        <w:rPr>
          <w:rFonts w:cs="David" w:hint="cs"/>
          <w:sz w:val="28"/>
          <w:szCs w:val="28"/>
          <w:rtl/>
        </w:rPr>
        <w:t xml:space="preserve"> (ואת פעולות ישראל בלבד)</w:t>
      </w:r>
      <w:r w:rsidRPr="0004711E">
        <w:rPr>
          <w:rFonts w:cs="David" w:hint="cs"/>
          <w:sz w:val="28"/>
          <w:szCs w:val="28"/>
          <w:rtl/>
        </w:rPr>
        <w:t xml:space="preserve">, </w:t>
      </w:r>
      <w:r w:rsidR="00B373A3" w:rsidRPr="0004711E">
        <w:rPr>
          <w:rFonts w:cs="David" w:hint="cs"/>
          <w:sz w:val="28"/>
          <w:szCs w:val="28"/>
          <w:rtl/>
        </w:rPr>
        <w:t>ולא את התקפות החזבאללה על ישראל.</w:t>
      </w:r>
      <w:r w:rsidR="007F1463" w:rsidRPr="0004711E">
        <w:rPr>
          <w:rFonts w:cs="David" w:hint="cs"/>
          <w:sz w:val="28"/>
          <w:szCs w:val="28"/>
          <w:rtl/>
        </w:rPr>
        <w:t xml:space="preserve"> ועדת גולדסטון קיבלה מנדט שעל פניו היה רחב מהצורך שלשמו הוקמה הוועדה. כך, לפי המנדט המקורי שקיבלה, </w:t>
      </w:r>
      <w:r w:rsidR="007240D2" w:rsidRPr="0004711E">
        <w:rPr>
          <w:rFonts w:cs="David" w:hint="cs"/>
          <w:sz w:val="28"/>
          <w:szCs w:val="28"/>
          <w:rtl/>
        </w:rPr>
        <w:t xml:space="preserve">התבקשה </w:t>
      </w:r>
      <w:r w:rsidR="007F1463" w:rsidRPr="0004711E">
        <w:rPr>
          <w:rFonts w:cs="David" w:hint="cs"/>
          <w:sz w:val="28"/>
          <w:szCs w:val="28"/>
          <w:rtl/>
        </w:rPr>
        <w:t>הוועדה לבחון את הפעולות שביצעה ישראל "בכל רחבי השטחים הפלסטיניים הכבושים, ובמיוחד ברצועת עזה". כלומר, הוועדה התבקשה לבחון גם פעולות שקרו בשטחי יהודה ושומרון ומזרח ירושלים, למרות שלא ברור מה הקשר ביניהן למבצע "עופרת יצוקה"</w:t>
      </w:r>
      <w:r w:rsidR="007240D2">
        <w:rPr>
          <w:rFonts w:cs="David" w:hint="cs"/>
          <w:sz w:val="28"/>
          <w:szCs w:val="28"/>
          <w:rtl/>
        </w:rPr>
        <w:t>,</w:t>
      </w:r>
      <w:r w:rsidR="007F1463" w:rsidRPr="0004711E">
        <w:rPr>
          <w:rFonts w:cs="David" w:hint="cs"/>
          <w:sz w:val="28"/>
          <w:szCs w:val="28"/>
          <w:rtl/>
        </w:rPr>
        <w:t xml:space="preserve"> שעמד בבסיס ההחלטה למנות את הוועדה. במנדט הוועדה המתוקן, כפי שנוסח</w:t>
      </w:r>
      <w:r w:rsidR="00692192">
        <w:rPr>
          <w:rFonts w:cs="David" w:hint="cs"/>
          <w:sz w:val="28"/>
          <w:szCs w:val="28"/>
          <w:rtl/>
        </w:rPr>
        <w:t xml:space="preserve"> על ידי </w:t>
      </w:r>
      <w:r w:rsidR="007F1463" w:rsidRPr="0004711E">
        <w:rPr>
          <w:rFonts w:cs="David" w:hint="cs"/>
          <w:sz w:val="28"/>
          <w:szCs w:val="28"/>
          <w:rtl/>
        </w:rPr>
        <w:t>נשיא מועצת זכויות האדם, לא נמצאה התייחסות לשטחי יהודה ושומרון או מזרח ירושלים, ובכל זאת התייחסה ועדת גולדסטון בהרחבה רבה גם לעניינים הנוגעים לשטחים אלה.</w:t>
      </w:r>
    </w:p>
    <w:p w:rsidR="000F0EE2" w:rsidRPr="0004711E" w:rsidRDefault="000F0EE2" w:rsidP="008B316C">
      <w:pPr>
        <w:spacing w:after="0" w:line="360" w:lineRule="auto"/>
        <w:jc w:val="both"/>
        <w:rPr>
          <w:rFonts w:cs="David"/>
          <w:sz w:val="28"/>
          <w:szCs w:val="28"/>
          <w:rtl/>
        </w:rPr>
      </w:pPr>
    </w:p>
    <w:p w:rsidR="009E6DCE" w:rsidRPr="0004711E" w:rsidRDefault="003C7433" w:rsidP="00A00FD1">
      <w:pPr>
        <w:spacing w:after="0" w:line="360" w:lineRule="auto"/>
        <w:jc w:val="both"/>
        <w:rPr>
          <w:rFonts w:cs="David"/>
          <w:sz w:val="28"/>
          <w:szCs w:val="28"/>
          <w:rtl/>
        </w:rPr>
      </w:pPr>
      <w:r w:rsidRPr="0004711E">
        <w:rPr>
          <w:rFonts w:cs="David" w:hint="cs"/>
          <w:sz w:val="28"/>
          <w:szCs w:val="28"/>
          <w:rtl/>
        </w:rPr>
        <w:t>להבדיל מ</w:t>
      </w:r>
      <w:r w:rsidR="00FD7E9D" w:rsidRPr="0004711E">
        <w:rPr>
          <w:rFonts w:cs="David" w:hint="cs"/>
          <w:sz w:val="28"/>
          <w:szCs w:val="28"/>
          <w:rtl/>
        </w:rPr>
        <w:t xml:space="preserve">המנדטים של הוועדות </w:t>
      </w:r>
      <w:r w:rsidR="00A167F1" w:rsidRPr="0004711E">
        <w:rPr>
          <w:rFonts w:cs="David" w:hint="cs"/>
          <w:sz w:val="28"/>
          <w:szCs w:val="28"/>
          <w:rtl/>
        </w:rPr>
        <w:t>שתוארו לעיל, התאפיינו ה</w:t>
      </w:r>
      <w:r w:rsidR="00AB25B5" w:rsidRPr="0004711E">
        <w:rPr>
          <w:rFonts w:cs="David" w:hint="cs"/>
          <w:sz w:val="28"/>
          <w:szCs w:val="28"/>
          <w:rtl/>
        </w:rPr>
        <w:t xml:space="preserve">מנדטים של </w:t>
      </w:r>
      <w:r w:rsidR="00A167F1" w:rsidRPr="0004711E">
        <w:rPr>
          <w:rFonts w:cs="David" w:hint="cs"/>
          <w:sz w:val="28"/>
          <w:szCs w:val="28"/>
          <w:rtl/>
        </w:rPr>
        <w:t>הו</w:t>
      </w:r>
      <w:r w:rsidR="00AB25B5" w:rsidRPr="0004711E">
        <w:rPr>
          <w:rFonts w:cs="David" w:hint="cs"/>
          <w:sz w:val="28"/>
          <w:szCs w:val="28"/>
          <w:rtl/>
        </w:rPr>
        <w:t xml:space="preserve">ועדות </w:t>
      </w:r>
      <w:r w:rsidR="00A167F1" w:rsidRPr="0004711E">
        <w:rPr>
          <w:rFonts w:cs="David" w:hint="cs"/>
          <w:sz w:val="28"/>
          <w:szCs w:val="28"/>
          <w:rtl/>
        </w:rPr>
        <w:t xml:space="preserve">שמינה </w:t>
      </w:r>
      <w:r w:rsidR="00AB25B5" w:rsidRPr="0004711E">
        <w:rPr>
          <w:rFonts w:cs="David" w:hint="cs"/>
          <w:sz w:val="28"/>
          <w:szCs w:val="28"/>
          <w:rtl/>
        </w:rPr>
        <w:t>מזכ"ל האו"ם</w:t>
      </w:r>
      <w:r w:rsidR="00A167F1" w:rsidRPr="0004711E">
        <w:rPr>
          <w:rFonts w:cs="David" w:hint="cs"/>
          <w:sz w:val="28"/>
          <w:szCs w:val="28"/>
          <w:rtl/>
        </w:rPr>
        <w:t xml:space="preserve"> באיזון ובתיחום הולמים</w:t>
      </w:r>
      <w:r w:rsidR="00A00FD1">
        <w:rPr>
          <w:rFonts w:cs="David" w:hint="cs"/>
          <w:sz w:val="28"/>
          <w:szCs w:val="28"/>
          <w:rtl/>
        </w:rPr>
        <w:t xml:space="preserve"> יותר</w:t>
      </w:r>
      <w:r w:rsidR="00A167F1" w:rsidRPr="0004711E">
        <w:rPr>
          <w:rFonts w:cs="David" w:hint="cs"/>
          <w:sz w:val="28"/>
          <w:szCs w:val="28"/>
          <w:rtl/>
        </w:rPr>
        <w:t xml:space="preserve">, </w:t>
      </w:r>
      <w:r w:rsidR="00A00FD1">
        <w:rPr>
          <w:rFonts w:cs="David" w:hint="cs"/>
          <w:sz w:val="28"/>
          <w:szCs w:val="28"/>
          <w:rtl/>
        </w:rPr>
        <w:t xml:space="preserve">מה שהקל על </w:t>
      </w:r>
      <w:r w:rsidR="00A167F1" w:rsidRPr="0004711E">
        <w:rPr>
          <w:rFonts w:cs="David" w:hint="cs"/>
          <w:sz w:val="28"/>
          <w:szCs w:val="28"/>
          <w:rtl/>
        </w:rPr>
        <w:t>מדינת ישראל בדרך כלל לשתף פעולה עם הוועדות הללו.</w:t>
      </w:r>
    </w:p>
    <w:p w:rsidR="009E6DCE" w:rsidRDefault="009E6DCE" w:rsidP="008B316C">
      <w:pPr>
        <w:spacing w:after="0" w:line="360" w:lineRule="auto"/>
        <w:jc w:val="both"/>
        <w:rPr>
          <w:rFonts w:cs="David"/>
          <w:sz w:val="28"/>
          <w:szCs w:val="28"/>
          <w:rtl/>
        </w:rPr>
      </w:pPr>
    </w:p>
    <w:p w:rsidR="00A41A87" w:rsidRPr="003D0069" w:rsidRDefault="00A41A87" w:rsidP="009F13F4">
      <w:pPr>
        <w:pStyle w:val="a9"/>
        <w:numPr>
          <w:ilvl w:val="0"/>
          <w:numId w:val="24"/>
        </w:numPr>
        <w:spacing w:after="0" w:line="360" w:lineRule="auto"/>
        <w:jc w:val="both"/>
        <w:outlineLvl w:val="2"/>
        <w:rPr>
          <w:rFonts w:cs="David"/>
          <w:sz w:val="28"/>
          <w:szCs w:val="28"/>
          <w:rtl/>
        </w:rPr>
      </w:pPr>
      <w:bookmarkStart w:id="49" w:name="_Toc456027322"/>
      <w:r w:rsidRPr="003D0069">
        <w:rPr>
          <w:rFonts w:cs="David" w:hint="cs"/>
          <w:sz w:val="28"/>
          <w:szCs w:val="28"/>
          <w:rtl/>
        </w:rPr>
        <w:t xml:space="preserve">התייחסות מדריך </w:t>
      </w:r>
      <w:r w:rsidR="009F13F4">
        <w:rPr>
          <w:rFonts w:cs="David" w:hint="cs"/>
          <w:sz w:val="28"/>
          <w:szCs w:val="28"/>
          <w:rtl/>
        </w:rPr>
        <w:t>נציבות זכויות האדם לו</w:t>
      </w:r>
      <w:r w:rsidRPr="003D0069">
        <w:rPr>
          <w:rFonts w:cs="David" w:hint="cs"/>
          <w:sz w:val="28"/>
          <w:szCs w:val="28"/>
          <w:rtl/>
        </w:rPr>
        <w:t>ועדות החקירה לנושא מנדט ועדות החקירה</w:t>
      </w:r>
      <w:bookmarkEnd w:id="49"/>
    </w:p>
    <w:p w:rsidR="00A41A87" w:rsidRPr="0004711E" w:rsidRDefault="00A41A87" w:rsidP="008B316C">
      <w:pPr>
        <w:spacing w:after="0" w:line="360" w:lineRule="auto"/>
        <w:jc w:val="both"/>
        <w:rPr>
          <w:rFonts w:cs="David"/>
          <w:sz w:val="28"/>
          <w:szCs w:val="28"/>
          <w:rtl/>
        </w:rPr>
      </w:pPr>
    </w:p>
    <w:p w:rsidR="002866D7" w:rsidRPr="0004711E" w:rsidRDefault="002866D7" w:rsidP="008B316C">
      <w:pPr>
        <w:spacing w:after="0" w:line="360" w:lineRule="auto"/>
        <w:jc w:val="both"/>
        <w:rPr>
          <w:rFonts w:cs="David"/>
          <w:sz w:val="28"/>
          <w:szCs w:val="28"/>
          <w:rtl/>
        </w:rPr>
      </w:pPr>
      <w:r w:rsidRPr="0004711E">
        <w:rPr>
          <w:rFonts w:cs="David" w:hint="cs"/>
          <w:sz w:val="28"/>
          <w:szCs w:val="28"/>
          <w:rtl/>
        </w:rPr>
        <w:t xml:space="preserve">בשנת 2015 פרסם משרד הנציב העליון לזכויות אדם של האו"ם את מדריך ועדות החקירה והמשלחות לבירור עובדות על משפט זכויות האדם הבינלאומי והמשפט ההומניטארי הבינלאומי (להלן </w:t>
      </w:r>
      <w:r w:rsidRPr="0004711E">
        <w:rPr>
          <w:rFonts w:cs="David"/>
          <w:sz w:val="28"/>
          <w:szCs w:val="28"/>
          <w:rtl/>
        </w:rPr>
        <w:t>–</w:t>
      </w:r>
      <w:r w:rsidRPr="0004711E">
        <w:rPr>
          <w:rFonts w:cs="David" w:hint="cs"/>
          <w:sz w:val="28"/>
          <w:szCs w:val="28"/>
          <w:rtl/>
        </w:rPr>
        <w:t xml:space="preserve"> מדריך הנציבות)</w:t>
      </w:r>
      <w:bookmarkStart w:id="50" w:name="_Ref450774973"/>
      <w:r w:rsidRPr="0004711E">
        <w:rPr>
          <w:rStyle w:val="a7"/>
          <w:rFonts w:cs="David"/>
          <w:sz w:val="28"/>
          <w:szCs w:val="28"/>
          <w:rtl/>
        </w:rPr>
        <w:footnoteReference w:id="190"/>
      </w:r>
      <w:bookmarkEnd w:id="50"/>
      <w:r w:rsidRPr="0004711E">
        <w:rPr>
          <w:rFonts w:cs="David" w:hint="cs"/>
          <w:sz w:val="28"/>
          <w:szCs w:val="28"/>
          <w:rtl/>
        </w:rPr>
        <w:t>. נראה</w:t>
      </w:r>
      <w:r w:rsidR="007240D2">
        <w:rPr>
          <w:rFonts w:cs="David" w:hint="cs"/>
          <w:sz w:val="28"/>
          <w:szCs w:val="28"/>
          <w:rtl/>
        </w:rPr>
        <w:t>,</w:t>
      </w:r>
      <w:r w:rsidRPr="0004711E">
        <w:rPr>
          <w:rFonts w:cs="David" w:hint="cs"/>
          <w:sz w:val="28"/>
          <w:szCs w:val="28"/>
          <w:rtl/>
        </w:rPr>
        <w:t xml:space="preserve"> כי ברקע לפרסום המדריך עמדה הביקורת הבינלאומית על חלק מוועדות החקירה שמינתה המועצה, במיוחד אלה שבדקו את התנהלותה של ישראל. אין ספק כי מדובר בצעד מבורך, אם יהיה בו כדי להביא לשיפור הכשלים שנפלו במינוי ועדות החקירה ובעבודתן, כפי שיפורטו בחלקם בעבודה זו. הדברים תלויים</w:t>
      </w:r>
      <w:r w:rsidR="007240D2">
        <w:rPr>
          <w:rFonts w:cs="David" w:hint="cs"/>
          <w:sz w:val="28"/>
          <w:szCs w:val="28"/>
          <w:rtl/>
        </w:rPr>
        <w:t>,</w:t>
      </w:r>
      <w:r w:rsidRPr="0004711E">
        <w:rPr>
          <w:rFonts w:cs="David" w:hint="cs"/>
          <w:sz w:val="28"/>
          <w:szCs w:val="28"/>
          <w:rtl/>
        </w:rPr>
        <w:t xml:space="preserve"> כמובן</w:t>
      </w:r>
      <w:r w:rsidR="007240D2">
        <w:rPr>
          <w:rFonts w:cs="David" w:hint="cs"/>
          <w:sz w:val="28"/>
          <w:szCs w:val="28"/>
          <w:rtl/>
        </w:rPr>
        <w:t>,</w:t>
      </w:r>
      <w:r w:rsidRPr="0004711E">
        <w:rPr>
          <w:rFonts w:cs="David" w:hint="cs"/>
          <w:sz w:val="28"/>
          <w:szCs w:val="28"/>
          <w:rtl/>
        </w:rPr>
        <w:t xml:space="preserve"> במידת הנכונות של הוועדות העתידיות</w:t>
      </w:r>
      <w:r w:rsidR="007240D2">
        <w:rPr>
          <w:rFonts w:cs="David" w:hint="cs"/>
          <w:sz w:val="28"/>
          <w:szCs w:val="28"/>
          <w:rtl/>
        </w:rPr>
        <w:t>,</w:t>
      </w:r>
      <w:r w:rsidRPr="0004711E">
        <w:rPr>
          <w:rFonts w:cs="David" w:hint="cs"/>
          <w:sz w:val="28"/>
          <w:szCs w:val="28"/>
          <w:rtl/>
        </w:rPr>
        <w:t xml:space="preserve"> שימונו לפעול ברוח הדברים האמורים במדריך.</w:t>
      </w:r>
    </w:p>
    <w:p w:rsidR="002866D7" w:rsidRPr="0004711E" w:rsidRDefault="002866D7" w:rsidP="008B316C">
      <w:pPr>
        <w:spacing w:after="0" w:line="360" w:lineRule="auto"/>
        <w:jc w:val="both"/>
        <w:rPr>
          <w:rFonts w:cs="David"/>
          <w:sz w:val="28"/>
          <w:szCs w:val="28"/>
          <w:rtl/>
        </w:rPr>
      </w:pPr>
    </w:p>
    <w:p w:rsidR="002866D7" w:rsidRPr="0004711E" w:rsidRDefault="002866D7" w:rsidP="008B316C">
      <w:pPr>
        <w:spacing w:after="0" w:line="360" w:lineRule="auto"/>
        <w:jc w:val="both"/>
        <w:rPr>
          <w:rFonts w:cs="David"/>
          <w:sz w:val="28"/>
          <w:szCs w:val="28"/>
          <w:rtl/>
        </w:rPr>
      </w:pPr>
      <w:r w:rsidRPr="0004711E">
        <w:rPr>
          <w:rFonts w:cs="David" w:hint="cs"/>
          <w:sz w:val="28"/>
          <w:szCs w:val="28"/>
          <w:rtl/>
        </w:rPr>
        <w:t>נושא המנדטים של ועדות החקירה מכוסה במדריך הנציבות בהרחבה יחסית, ומפאת חשיבותם הרבה של הדברים הם יובאו כאן כמעט במלואם</w:t>
      </w:r>
      <w:r w:rsidRPr="0004711E">
        <w:rPr>
          <w:rStyle w:val="a7"/>
          <w:rFonts w:cs="David"/>
          <w:sz w:val="28"/>
          <w:szCs w:val="28"/>
          <w:rtl/>
        </w:rPr>
        <w:footnoteReference w:id="191"/>
      </w:r>
      <w:r w:rsidRPr="0004711E">
        <w:rPr>
          <w:rFonts w:cs="David" w:hint="cs"/>
          <w:sz w:val="28"/>
          <w:szCs w:val="28"/>
          <w:rtl/>
        </w:rPr>
        <w:t>. נאמר שנוסח המנדטים השתנה משמעותית בין הוועדות, בהתאם למצב הנחקר, טבע ההפרות ומטרת החקירה. במצבים מסוימים כיסה המנדט את המדינה כולה (כמו בלוב</w:t>
      </w:r>
      <w:r w:rsidR="005077BA">
        <w:rPr>
          <w:rStyle w:val="a7"/>
          <w:rFonts w:cs="David"/>
          <w:sz w:val="28"/>
          <w:szCs w:val="28"/>
          <w:rtl/>
        </w:rPr>
        <w:footnoteReference w:id="192"/>
      </w:r>
      <w:r w:rsidRPr="0004711E">
        <w:rPr>
          <w:rFonts w:cs="David" w:hint="cs"/>
          <w:sz w:val="28"/>
          <w:szCs w:val="28"/>
          <w:rtl/>
        </w:rPr>
        <w:t xml:space="preserve"> ובסוריה</w:t>
      </w:r>
      <w:r w:rsidR="004A1635">
        <w:rPr>
          <w:rStyle w:val="a7"/>
          <w:rFonts w:cs="David"/>
          <w:sz w:val="28"/>
          <w:szCs w:val="28"/>
          <w:rtl/>
        </w:rPr>
        <w:footnoteReference w:id="193"/>
      </w:r>
      <w:r w:rsidRPr="0004711E">
        <w:rPr>
          <w:rFonts w:cs="David" w:hint="cs"/>
          <w:sz w:val="28"/>
          <w:szCs w:val="28"/>
          <w:rtl/>
        </w:rPr>
        <w:t xml:space="preserve">) ובמצבים אחרים </w:t>
      </w:r>
      <w:r w:rsidRPr="0004711E">
        <w:rPr>
          <w:rFonts w:cs="David"/>
          <w:sz w:val="28"/>
          <w:szCs w:val="28"/>
          <w:rtl/>
        </w:rPr>
        <w:t>–</w:t>
      </w:r>
      <w:r w:rsidRPr="0004711E">
        <w:rPr>
          <w:rFonts w:cs="David" w:hint="cs"/>
          <w:sz w:val="28"/>
          <w:szCs w:val="28"/>
          <w:rtl/>
        </w:rPr>
        <w:t xml:space="preserve"> רק את חלקה (כמו בדארפור</w:t>
      </w:r>
      <w:r w:rsidR="004A1635">
        <w:rPr>
          <w:rStyle w:val="a7"/>
          <w:rFonts w:cs="David"/>
          <w:sz w:val="28"/>
          <w:szCs w:val="28"/>
          <w:rtl/>
        </w:rPr>
        <w:footnoteReference w:id="194"/>
      </w:r>
      <w:r w:rsidRPr="0004711E">
        <w:rPr>
          <w:rFonts w:cs="David" w:hint="cs"/>
          <w:sz w:val="28"/>
          <w:szCs w:val="28"/>
          <w:rtl/>
        </w:rPr>
        <w:t>). ועדות רבות קיבלו מנדט כללי לחקור הפרות של משפט זכויות האדם הבינלאומי או המשפט הבינלאומי ההומניטארי או שניהם. חלק מהוועדות התבקשו לחקור מקרה ספציפי (כמו הוועדה של חוף השנהב שהתבקשה לבחון הפרות זכויות אדם ביחס לצעדה בתאריך 25.03.04). מנדטים אחרים הגדירו תקופות ארוכות יותר לחקירה, במידות דיוק שונות</w:t>
      </w:r>
      <w:r w:rsidRPr="0004711E">
        <w:rPr>
          <w:rStyle w:val="a7"/>
          <w:rFonts w:cs="David"/>
          <w:sz w:val="28"/>
          <w:szCs w:val="28"/>
          <w:rtl/>
        </w:rPr>
        <w:footnoteReference w:id="195"/>
      </w:r>
      <w:r w:rsidRPr="0004711E">
        <w:rPr>
          <w:rFonts w:cs="David" w:hint="cs"/>
          <w:sz w:val="28"/>
          <w:szCs w:val="28"/>
          <w:rtl/>
        </w:rPr>
        <w:t xml:space="preserve">. לעיתים לשון המנדט </w:t>
      </w:r>
      <w:r w:rsidR="007240D2">
        <w:rPr>
          <w:rFonts w:cs="David" w:hint="cs"/>
          <w:sz w:val="28"/>
          <w:szCs w:val="28"/>
          <w:rtl/>
        </w:rPr>
        <w:t xml:space="preserve">היא </w:t>
      </w:r>
      <w:r w:rsidRPr="0004711E">
        <w:rPr>
          <w:rFonts w:cs="David" w:hint="cs"/>
          <w:sz w:val="28"/>
          <w:szCs w:val="28"/>
          <w:rtl/>
        </w:rPr>
        <w:t xml:space="preserve">כללית ומצריכה פרשנות של הוועדה, </w:t>
      </w:r>
      <w:r w:rsidRPr="0004711E">
        <w:rPr>
          <w:rFonts w:cs="David" w:hint="cs"/>
          <w:sz w:val="28"/>
          <w:szCs w:val="28"/>
          <w:rtl/>
        </w:rPr>
        <w:lastRenderedPageBreak/>
        <w:t>ולעיתים היא מאוד מדויקת (מוזכרים המנדטים של צפון קוריאה מ-2013</w:t>
      </w:r>
      <w:r w:rsidR="004A1635">
        <w:rPr>
          <w:rStyle w:val="a7"/>
          <w:rFonts w:cs="David"/>
          <w:sz w:val="28"/>
          <w:szCs w:val="28"/>
          <w:rtl/>
        </w:rPr>
        <w:footnoteReference w:id="196"/>
      </w:r>
      <w:r w:rsidRPr="0004711E">
        <w:rPr>
          <w:rFonts w:cs="David" w:hint="cs"/>
          <w:sz w:val="28"/>
          <w:szCs w:val="28"/>
          <w:rtl/>
        </w:rPr>
        <w:t xml:space="preserve"> ומזרח טימור מ-2006</w:t>
      </w:r>
      <w:r w:rsidR="004A1635">
        <w:rPr>
          <w:rStyle w:val="a7"/>
          <w:rFonts w:cs="David"/>
          <w:sz w:val="28"/>
          <w:szCs w:val="28"/>
          <w:rtl/>
        </w:rPr>
        <w:footnoteReference w:id="197"/>
      </w:r>
      <w:r w:rsidRPr="0004711E">
        <w:rPr>
          <w:rFonts w:cs="David" w:hint="cs"/>
          <w:sz w:val="28"/>
          <w:szCs w:val="28"/>
          <w:rtl/>
        </w:rPr>
        <w:t>). המנדט צריך להתאים למצב הנחקר ולספק לוועדה תמונה ברורה של מה שנדרש ממנה, לשקף סטנדרטים בינלאו</w:t>
      </w:r>
      <w:r w:rsidR="003C7433" w:rsidRPr="0004711E">
        <w:rPr>
          <w:rFonts w:cs="David" w:hint="cs"/>
          <w:sz w:val="28"/>
          <w:szCs w:val="28"/>
          <w:rtl/>
        </w:rPr>
        <w:t>מיים לבירור עובדות ולהיות מנוסח</w:t>
      </w:r>
      <w:r w:rsidRPr="0004711E">
        <w:rPr>
          <w:rFonts w:cs="David" w:hint="cs"/>
          <w:sz w:val="28"/>
          <w:szCs w:val="28"/>
          <w:rtl/>
        </w:rPr>
        <w:t xml:space="preserve"> באופן שיאפשר לוועדה לבצע את מלאכתה בהתאם למתודולוגיה של הפרקטיקה הטובה ביותר ומבלי לקבוע מראש היבטים כלשהם של עבודתה.</w:t>
      </w:r>
    </w:p>
    <w:p w:rsidR="002866D7" w:rsidRPr="0004711E" w:rsidRDefault="002866D7" w:rsidP="008B316C">
      <w:pPr>
        <w:spacing w:after="0" w:line="360" w:lineRule="auto"/>
        <w:jc w:val="both"/>
        <w:rPr>
          <w:rFonts w:cs="David"/>
          <w:sz w:val="28"/>
          <w:szCs w:val="28"/>
          <w:rtl/>
        </w:rPr>
      </w:pPr>
    </w:p>
    <w:p w:rsidR="002866D7" w:rsidRPr="0004711E" w:rsidRDefault="002866D7" w:rsidP="007240D2">
      <w:pPr>
        <w:spacing w:after="0" w:line="360" w:lineRule="auto"/>
        <w:jc w:val="both"/>
        <w:rPr>
          <w:rFonts w:cs="David"/>
          <w:sz w:val="28"/>
          <w:szCs w:val="28"/>
          <w:rtl/>
        </w:rPr>
      </w:pPr>
      <w:r w:rsidRPr="0004711E">
        <w:rPr>
          <w:rFonts w:cs="David" w:hint="cs"/>
          <w:sz w:val="28"/>
          <w:szCs w:val="28"/>
          <w:rtl/>
        </w:rPr>
        <w:t xml:space="preserve">מועד הגשת דוח הוועדה והמשאבים המוקצים לה צריכים להתאים למנדט ולנסיבות שבהן היא תצטרך לפעול. לא תמיד כך היה, והדבר עורר קשיים מיותרים. לדוגמה, ועדת חוף השנהב מ-2011 נדרשה לקיים את חקירתה ולכתוב את הדוח בתוך שישה שבועות בלבד. במקרים אחרים, </w:t>
      </w:r>
      <w:r w:rsidR="007240D2" w:rsidRPr="0004711E">
        <w:rPr>
          <w:rFonts w:cs="David" w:hint="cs"/>
          <w:sz w:val="28"/>
          <w:szCs w:val="28"/>
          <w:rtl/>
        </w:rPr>
        <w:t xml:space="preserve">לא התאים </w:t>
      </w:r>
      <w:r w:rsidRPr="0004711E">
        <w:rPr>
          <w:rFonts w:cs="David" w:hint="cs"/>
          <w:sz w:val="28"/>
          <w:szCs w:val="28"/>
          <w:rtl/>
        </w:rPr>
        <w:t>תקציב הוועדה להיקף משימותיה.</w:t>
      </w:r>
    </w:p>
    <w:p w:rsidR="002866D7" w:rsidRPr="0004711E" w:rsidRDefault="002866D7" w:rsidP="008B316C">
      <w:pPr>
        <w:spacing w:after="0" w:line="360" w:lineRule="auto"/>
        <w:jc w:val="both"/>
        <w:rPr>
          <w:rFonts w:cs="David"/>
          <w:sz w:val="28"/>
          <w:szCs w:val="28"/>
          <w:rtl/>
        </w:rPr>
      </w:pPr>
    </w:p>
    <w:p w:rsidR="002866D7" w:rsidRPr="0004711E" w:rsidRDefault="002866D7" w:rsidP="008B316C">
      <w:pPr>
        <w:spacing w:after="0" w:line="360" w:lineRule="auto"/>
        <w:jc w:val="both"/>
        <w:rPr>
          <w:rFonts w:cs="David"/>
          <w:sz w:val="28"/>
          <w:szCs w:val="28"/>
          <w:rtl/>
        </w:rPr>
      </w:pPr>
      <w:r w:rsidRPr="0004711E">
        <w:rPr>
          <w:rFonts w:cs="David" w:hint="cs"/>
          <w:sz w:val="28"/>
          <w:szCs w:val="28"/>
          <w:rtl/>
        </w:rPr>
        <w:t xml:space="preserve">באשר </w:t>
      </w:r>
      <w:r w:rsidRPr="0004711E">
        <w:rPr>
          <w:rFonts w:cs="David" w:hint="cs"/>
          <w:b/>
          <w:bCs/>
          <w:sz w:val="28"/>
          <w:szCs w:val="28"/>
          <w:rtl/>
        </w:rPr>
        <w:t>להגדרת המשימה</w:t>
      </w:r>
      <w:r w:rsidRPr="0004711E">
        <w:rPr>
          <w:rFonts w:cs="David" w:hint="cs"/>
          <w:sz w:val="28"/>
          <w:szCs w:val="28"/>
          <w:rtl/>
        </w:rPr>
        <w:t xml:space="preserve"> במנדט הוועדה, מזכיר מדריך הנציבות ניסוחים שונים בהם נעשה שימוש בעבר: ועדת בורונדי מ-1995 התבקשה "לבסס את העובדות"; ועדת מזרח טימור מ-2006 התבקשה "לבסס את העובדות והנסיבות"; ועדת גיאורגיה מ-1993 התבקשה "לחקור את מצב הפרות זכויות האדם"; ועדת דארפור מ-2004 התבקשה "לחקור דיווחים על הפרות של המשפט הבינלאומי ההומניטארי ושל משפט זכויות האדם הבינלאומי"; ועדת חוף השנהב מ-2011 נדרשה "לחקור את העובדות והנסיבות סביב הטענות לפגיעות והפרות קשות של זכויות אדם"; ועדת סוריה מ-2011 הוסמכה "לחקור את כל ההפרות הנטענות של משפט זכויות האדם הבינלאומי... ולבסס את העובדות והנסיבות שיכולים לעלות כדי הפרות כאלה"; ועדת מזרח טימור מ-1999 התבקשה "לאסוף ולאגד בשיטתיות מידע על הפרות אפשריות של זכויות אדם ומעשים שיכולים לבסס הפרות של משפט בינלאומי הומניטארי".</w:t>
      </w:r>
    </w:p>
    <w:p w:rsidR="002866D7" w:rsidRPr="0004711E" w:rsidRDefault="002866D7" w:rsidP="008B316C">
      <w:pPr>
        <w:spacing w:after="0" w:line="360" w:lineRule="auto"/>
        <w:jc w:val="both"/>
        <w:rPr>
          <w:rFonts w:cs="David"/>
          <w:sz w:val="28"/>
          <w:szCs w:val="28"/>
          <w:rtl/>
        </w:rPr>
      </w:pPr>
    </w:p>
    <w:p w:rsidR="002866D7" w:rsidRPr="0004711E" w:rsidRDefault="002866D7" w:rsidP="007240D2">
      <w:pPr>
        <w:spacing w:after="0" w:line="360" w:lineRule="auto"/>
        <w:jc w:val="both"/>
        <w:rPr>
          <w:rFonts w:cs="David"/>
          <w:sz w:val="28"/>
          <w:szCs w:val="28"/>
          <w:rtl/>
        </w:rPr>
      </w:pPr>
      <w:r w:rsidRPr="0004711E">
        <w:rPr>
          <w:rFonts w:cs="David" w:hint="cs"/>
          <w:sz w:val="28"/>
          <w:szCs w:val="28"/>
          <w:rtl/>
        </w:rPr>
        <w:t xml:space="preserve">חרף הבדלי הנוסחים, </w:t>
      </w:r>
      <w:r w:rsidR="007240D2" w:rsidRPr="0004711E">
        <w:rPr>
          <w:rFonts w:cs="David" w:hint="cs"/>
          <w:sz w:val="28"/>
          <w:szCs w:val="28"/>
          <w:rtl/>
        </w:rPr>
        <w:t xml:space="preserve">התייחסו </w:t>
      </w:r>
      <w:r w:rsidRPr="0004711E">
        <w:rPr>
          <w:rFonts w:cs="David" w:hint="cs"/>
          <w:sz w:val="28"/>
          <w:szCs w:val="28"/>
          <w:rtl/>
        </w:rPr>
        <w:t>הוועדות למשימה באופן עקבי כך שתכלול את ביסוס העובדות בקשר לאירועים ולטענות על הפרות משפט זכויות האדם הבינלאומי והמשפט ההומניטארי הבינלאומי; את הערכת העובדות לאור החוק המתאים ליישום; את המסקנות באשר לקיומן של הפרות, ובמקום שרלוונטי, את המ</w:t>
      </w:r>
      <w:r w:rsidR="003C7433" w:rsidRPr="0004711E">
        <w:rPr>
          <w:rFonts w:cs="David" w:hint="cs"/>
          <w:sz w:val="28"/>
          <w:szCs w:val="28"/>
          <w:rtl/>
        </w:rPr>
        <w:t>ְ</w:t>
      </w:r>
      <w:r w:rsidRPr="0004711E">
        <w:rPr>
          <w:rFonts w:cs="David" w:hint="cs"/>
          <w:sz w:val="28"/>
          <w:szCs w:val="28"/>
          <w:rtl/>
        </w:rPr>
        <w:t>ב</w:t>
      </w:r>
      <w:r w:rsidR="003C7433" w:rsidRPr="0004711E">
        <w:rPr>
          <w:rFonts w:cs="David" w:hint="cs"/>
          <w:sz w:val="28"/>
          <w:szCs w:val="28"/>
          <w:rtl/>
        </w:rPr>
        <w:t>ַ</w:t>
      </w:r>
      <w:r w:rsidRPr="0004711E">
        <w:rPr>
          <w:rFonts w:cs="David" w:hint="cs"/>
          <w:sz w:val="28"/>
          <w:szCs w:val="28"/>
          <w:rtl/>
        </w:rPr>
        <w:t>צ</w:t>
      </w:r>
      <w:r w:rsidR="003C7433" w:rsidRPr="0004711E">
        <w:rPr>
          <w:rFonts w:cs="David" w:hint="cs"/>
          <w:sz w:val="28"/>
          <w:szCs w:val="28"/>
          <w:rtl/>
        </w:rPr>
        <w:t>ְּ</w:t>
      </w:r>
      <w:r w:rsidRPr="0004711E">
        <w:rPr>
          <w:rFonts w:cs="David" w:hint="cs"/>
          <w:sz w:val="28"/>
          <w:szCs w:val="28"/>
          <w:rtl/>
        </w:rPr>
        <w:t>ע</w:t>
      </w:r>
      <w:r w:rsidR="003C7433" w:rsidRPr="0004711E">
        <w:rPr>
          <w:rFonts w:cs="David" w:hint="cs"/>
          <w:sz w:val="28"/>
          <w:szCs w:val="28"/>
          <w:rtl/>
        </w:rPr>
        <w:t>ִ</w:t>
      </w:r>
      <w:r w:rsidRPr="0004711E">
        <w:rPr>
          <w:rFonts w:cs="David" w:hint="cs"/>
          <w:sz w:val="28"/>
          <w:szCs w:val="28"/>
          <w:rtl/>
        </w:rPr>
        <w:t>ים לכאורה; את ההמלצות לישויות שונות.</w:t>
      </w:r>
    </w:p>
    <w:p w:rsidR="002866D7" w:rsidRPr="0004711E" w:rsidRDefault="002866D7" w:rsidP="008B316C">
      <w:pPr>
        <w:spacing w:after="0" w:line="360" w:lineRule="auto"/>
        <w:jc w:val="both"/>
        <w:rPr>
          <w:rFonts w:cs="David"/>
          <w:sz w:val="28"/>
          <w:szCs w:val="28"/>
          <w:rtl/>
        </w:rPr>
      </w:pPr>
    </w:p>
    <w:p w:rsidR="002866D7" w:rsidRPr="0004711E" w:rsidRDefault="002866D7" w:rsidP="009F13F4">
      <w:pPr>
        <w:spacing w:after="0" w:line="360" w:lineRule="auto"/>
        <w:jc w:val="both"/>
        <w:rPr>
          <w:rFonts w:cs="David"/>
          <w:sz w:val="28"/>
          <w:szCs w:val="28"/>
          <w:rtl/>
        </w:rPr>
      </w:pPr>
      <w:r w:rsidRPr="0004711E">
        <w:rPr>
          <w:rFonts w:cs="David" w:hint="cs"/>
          <w:sz w:val="28"/>
          <w:szCs w:val="28"/>
          <w:rtl/>
        </w:rPr>
        <w:lastRenderedPageBreak/>
        <w:t xml:space="preserve">באשר </w:t>
      </w:r>
      <w:r w:rsidRPr="0004711E">
        <w:rPr>
          <w:rFonts w:cs="David" w:hint="cs"/>
          <w:b/>
          <w:bCs/>
          <w:sz w:val="28"/>
          <w:szCs w:val="28"/>
          <w:rtl/>
        </w:rPr>
        <w:t>לענפי החוק שיש ליישם</w:t>
      </w:r>
      <w:r w:rsidRPr="0004711E">
        <w:rPr>
          <w:rFonts w:cs="David" w:hint="cs"/>
          <w:sz w:val="28"/>
          <w:szCs w:val="28"/>
          <w:rtl/>
        </w:rPr>
        <w:t xml:space="preserve"> מציין מדריך הנציבות</w:t>
      </w:r>
      <w:r w:rsidR="00216FC6">
        <w:rPr>
          <w:rFonts w:cs="David" w:hint="cs"/>
          <w:sz w:val="28"/>
          <w:szCs w:val="28"/>
          <w:rtl/>
        </w:rPr>
        <w:t>,</w:t>
      </w:r>
      <w:r w:rsidRPr="0004711E">
        <w:rPr>
          <w:rFonts w:cs="David" w:hint="cs"/>
          <w:sz w:val="28"/>
          <w:szCs w:val="28"/>
          <w:rtl/>
        </w:rPr>
        <w:t xml:space="preserve"> כי חלק מהמנדטים התייחסו רק למשפט זכויות האדם הבינלאומי ואילו מנדטים אחרים, שהתייחסו לעימותים מזוינים, התייחסו גם למשפט ההומניטארי הבינלאומי. המנדט של ועדת גולדסטון התייחס לשני ענפי החוק, ואילו המנדט של הוועדה</w:t>
      </w:r>
      <w:r w:rsidR="00216FC6">
        <w:rPr>
          <w:rFonts w:cs="David" w:hint="cs"/>
          <w:sz w:val="28"/>
          <w:szCs w:val="28"/>
          <w:rtl/>
        </w:rPr>
        <w:t>,</w:t>
      </w:r>
      <w:r w:rsidRPr="0004711E">
        <w:rPr>
          <w:rFonts w:cs="David" w:hint="cs"/>
          <w:sz w:val="28"/>
          <w:szCs w:val="28"/>
          <w:rtl/>
        </w:rPr>
        <w:t xml:space="preserve"> שהקים מזכ"ל האו"ם לגינאה מ-2009 התייחס רק ל"טענות להפרות חמורות של זכויות אדם". מכל מקום, הוועדות עצמן הפעילו שיקול דעת בבחירת ענף החוק המתאים ליישום. לדוגמה, למרות שהמנדטים של לוב מ-2011-2012 וסוריה מ-2011-2014 התייחסו רק למשפט זכויות האדם הבינלאומי, </w:t>
      </w:r>
      <w:r w:rsidR="00216FC6" w:rsidRPr="0004711E">
        <w:rPr>
          <w:rFonts w:cs="David" w:hint="cs"/>
          <w:sz w:val="28"/>
          <w:szCs w:val="28"/>
          <w:rtl/>
        </w:rPr>
        <w:t xml:space="preserve">פירשו </w:t>
      </w:r>
      <w:r w:rsidRPr="0004711E">
        <w:rPr>
          <w:rFonts w:cs="David" w:hint="cs"/>
          <w:sz w:val="28"/>
          <w:szCs w:val="28"/>
          <w:rtl/>
        </w:rPr>
        <w:t>שתי הוועדות את המנדט שלהן כך שיכלול את המשפט ההומניטארי הבינלאומי כאשר המצב במדינות הללו הגיע לרמה של עימות מזוין פנימי. לעיתים כולל מנדט הוועדה הפניה למשפט הפלילי הבינלאומי, כמו בוועדה של סוריה</w:t>
      </w:r>
      <w:r w:rsidR="00216FC6">
        <w:rPr>
          <w:rFonts w:cs="David" w:hint="cs"/>
          <w:sz w:val="28"/>
          <w:szCs w:val="28"/>
          <w:rtl/>
        </w:rPr>
        <w:t>,</w:t>
      </w:r>
      <w:r w:rsidRPr="0004711E">
        <w:rPr>
          <w:rFonts w:cs="David" w:hint="cs"/>
          <w:sz w:val="28"/>
          <w:szCs w:val="28"/>
          <w:rtl/>
        </w:rPr>
        <w:t xml:space="preserve"> שנדרשה לקבוע מה הפשעים שבוצעו ומי היו המבצעים.</w:t>
      </w:r>
      <w:r w:rsidR="009F13F4">
        <w:rPr>
          <w:rFonts w:cs="David" w:hint="cs"/>
          <w:sz w:val="28"/>
          <w:szCs w:val="28"/>
          <w:rtl/>
        </w:rPr>
        <w:t xml:space="preserve"> כפי שיפורט בהמשך, כאשר יידון נושא מומחיות חברי הוועדה, לענף החוק שמחילה ועדת החקירה על ניתוח הממצאים יש חשיבות רבה בגזירת מסקנות הוועדה מתוך הממצאים.</w:t>
      </w:r>
    </w:p>
    <w:p w:rsidR="002866D7" w:rsidRPr="0004711E" w:rsidRDefault="002866D7" w:rsidP="008B316C">
      <w:pPr>
        <w:spacing w:after="0" w:line="360" w:lineRule="auto"/>
        <w:jc w:val="both"/>
        <w:rPr>
          <w:rFonts w:cs="David"/>
          <w:sz w:val="28"/>
          <w:szCs w:val="28"/>
          <w:rtl/>
        </w:rPr>
      </w:pPr>
    </w:p>
    <w:p w:rsidR="002866D7" w:rsidRPr="0004711E" w:rsidRDefault="002866D7" w:rsidP="00596B59">
      <w:pPr>
        <w:spacing w:after="0" w:line="360" w:lineRule="auto"/>
        <w:jc w:val="both"/>
        <w:rPr>
          <w:rFonts w:cs="David"/>
          <w:sz w:val="28"/>
          <w:szCs w:val="28"/>
          <w:rtl/>
        </w:rPr>
      </w:pPr>
      <w:r w:rsidRPr="0004711E">
        <w:rPr>
          <w:rFonts w:cs="David" w:hint="cs"/>
          <w:sz w:val="28"/>
          <w:szCs w:val="28"/>
          <w:rtl/>
        </w:rPr>
        <w:t xml:space="preserve">מדריך הנציבות מציין כי יש מגמה מתגברת להכליל במנדטים את נושא </w:t>
      </w:r>
      <w:r w:rsidRPr="0004711E">
        <w:rPr>
          <w:rFonts w:cs="David" w:hint="cs"/>
          <w:b/>
          <w:bCs/>
          <w:sz w:val="28"/>
          <w:szCs w:val="28"/>
          <w:rtl/>
        </w:rPr>
        <w:t>האחריותיות</w:t>
      </w:r>
      <w:r w:rsidRPr="0004711E">
        <w:rPr>
          <w:rFonts w:cs="David" w:hint="cs"/>
          <w:sz w:val="28"/>
          <w:szCs w:val="28"/>
          <w:rtl/>
        </w:rPr>
        <w:t xml:space="preserve"> ולזהות את מבצעי ההפרות והפשעים. כך היה במנדטים של דארפור (2004), מזרח טימור (2006), לוב (2011), סוריה (2011) ושל ועדת צוק איתן. הוועדות הבהירו</w:t>
      </w:r>
      <w:r w:rsidR="00216FC6">
        <w:rPr>
          <w:rFonts w:cs="David" w:hint="cs"/>
          <w:sz w:val="28"/>
          <w:szCs w:val="28"/>
          <w:rtl/>
        </w:rPr>
        <w:t>,</w:t>
      </w:r>
      <w:r w:rsidRPr="0004711E">
        <w:rPr>
          <w:rFonts w:cs="David" w:hint="cs"/>
          <w:sz w:val="28"/>
          <w:szCs w:val="28"/>
          <w:rtl/>
        </w:rPr>
        <w:t xml:space="preserve"> כי הן מבינות אחריותיות ככוללת יותר מאשר העמדות לדין פלילי. ועדת דארפור דיברה על רכיבי הצדק והפיצויים של האחריותיות וכן העמדה לדין ונקיטת צעדים</w:t>
      </w:r>
      <w:r w:rsidR="00216FC6">
        <w:rPr>
          <w:rFonts w:cs="David" w:hint="cs"/>
          <w:sz w:val="28"/>
          <w:szCs w:val="28"/>
          <w:rtl/>
        </w:rPr>
        <w:t>,</w:t>
      </w:r>
      <w:r w:rsidRPr="0004711E">
        <w:rPr>
          <w:rFonts w:cs="David" w:hint="cs"/>
          <w:sz w:val="28"/>
          <w:szCs w:val="28"/>
          <w:rtl/>
        </w:rPr>
        <w:t xml:space="preserve"> שיביאו עמם הקלה ותיקון עוולה לקורבנות. ועדת מזרח טימור ציינה</w:t>
      </w:r>
      <w:r w:rsidR="00216FC6">
        <w:rPr>
          <w:rFonts w:cs="David" w:hint="cs"/>
          <w:sz w:val="28"/>
          <w:szCs w:val="28"/>
          <w:rtl/>
        </w:rPr>
        <w:t>,</w:t>
      </w:r>
      <w:r w:rsidRPr="0004711E">
        <w:rPr>
          <w:rFonts w:cs="David" w:hint="cs"/>
          <w:sz w:val="28"/>
          <w:szCs w:val="28"/>
          <w:rtl/>
        </w:rPr>
        <w:t xml:space="preserve"> כי ממשלת מזרח טימור סבורה שמערכת הצדק המקומית במדינה היא בעלת העדיפות לטיפול בהיבטי הצדק הפלילי. ועדה זו התייחסה גם לאמצעי אחריותיות נוספים כמו הליכים משמעתיים לשוטרים ותלונות למוסד זכויות האדם הלאומי. המנדט מביא דוגמאות נוספות לדרך תפיסת האחריותיות בדוחות הוועדות של סרי לנקה (2010) ולוב (2011).</w:t>
      </w:r>
    </w:p>
    <w:p w:rsidR="002866D7" w:rsidRPr="0004711E" w:rsidRDefault="002866D7" w:rsidP="008B316C">
      <w:pPr>
        <w:spacing w:after="0" w:line="360" w:lineRule="auto"/>
        <w:jc w:val="both"/>
        <w:rPr>
          <w:rFonts w:cs="David"/>
          <w:sz w:val="28"/>
          <w:szCs w:val="28"/>
          <w:rtl/>
        </w:rPr>
      </w:pPr>
    </w:p>
    <w:p w:rsidR="002866D7" w:rsidRPr="0004711E" w:rsidRDefault="002866D7" w:rsidP="00216FC6">
      <w:pPr>
        <w:spacing w:after="0" w:line="360" w:lineRule="auto"/>
        <w:jc w:val="both"/>
        <w:rPr>
          <w:rFonts w:cs="David"/>
          <w:sz w:val="28"/>
          <w:szCs w:val="28"/>
          <w:rtl/>
        </w:rPr>
      </w:pPr>
      <w:r w:rsidRPr="0004711E">
        <w:rPr>
          <w:rFonts w:cs="David" w:hint="cs"/>
          <w:sz w:val="28"/>
          <w:szCs w:val="28"/>
          <w:rtl/>
        </w:rPr>
        <w:t xml:space="preserve">הוועדות של דארפור (2004), גינאה (2009), לוב (2011), הרפובליקה המרכז אפריקאית ואחרות נדרשו, בדרכי ניסוח שונות, לזהות את האחראים להפרת הזכויות. יחד עם זאת, רק הוועדות של גינאה (2009) ומזרח טימור (2006) עשו זאת בדוחות הפומביים שפרסמו. </w:t>
      </w:r>
      <w:r w:rsidR="00216FC6">
        <w:rPr>
          <w:rFonts w:cs="David" w:hint="cs"/>
          <w:sz w:val="28"/>
          <w:szCs w:val="28"/>
          <w:rtl/>
        </w:rPr>
        <w:t>שאר</w:t>
      </w:r>
      <w:r w:rsidR="00216FC6" w:rsidRPr="0004711E">
        <w:rPr>
          <w:rFonts w:cs="David" w:hint="cs"/>
          <w:sz w:val="28"/>
          <w:szCs w:val="28"/>
          <w:rtl/>
        </w:rPr>
        <w:t xml:space="preserve"> </w:t>
      </w:r>
      <w:r w:rsidRPr="0004711E">
        <w:rPr>
          <w:rFonts w:cs="David" w:hint="cs"/>
          <w:sz w:val="28"/>
          <w:szCs w:val="28"/>
          <w:rtl/>
        </w:rPr>
        <w:t>הוועדות פרסמו את השמות ברשימה מסווגת</w:t>
      </w:r>
      <w:r w:rsidR="00216FC6">
        <w:rPr>
          <w:rFonts w:cs="David" w:hint="cs"/>
          <w:sz w:val="28"/>
          <w:szCs w:val="28"/>
          <w:rtl/>
        </w:rPr>
        <w:t>,</w:t>
      </w:r>
      <w:r w:rsidRPr="0004711E">
        <w:rPr>
          <w:rFonts w:cs="David" w:hint="cs"/>
          <w:sz w:val="28"/>
          <w:szCs w:val="28"/>
          <w:rtl/>
        </w:rPr>
        <w:t xml:space="preserve"> שהועברה למזכ"ל האו"ם או לנציב העליון לזכויות האדם של האו"ם. ועדת דארפור (2004) ציינה כי החליטה שלא לפרסם את שמות המבצעים משלושה טעמים: א. </w:t>
      </w:r>
      <w:r w:rsidRPr="0004711E">
        <w:rPr>
          <w:rFonts w:cs="David" w:hint="cs"/>
          <w:sz w:val="28"/>
          <w:szCs w:val="28"/>
          <w:rtl/>
        </w:rPr>
        <w:lastRenderedPageBreak/>
        <w:t>שמירה על הליך הוגן וכבוד לזכויות החשודים; ב. העובדה כי לוועדה לא ניתנו סמכויות חקירה או העמדה לדין; ג. שמירת עדים מהטרדה או הפחדה. ועדת לוב (2011) נימקה את החלטתה של</w:t>
      </w:r>
      <w:r w:rsidR="00596B59">
        <w:rPr>
          <w:rFonts w:cs="David" w:hint="cs"/>
          <w:sz w:val="28"/>
          <w:szCs w:val="28"/>
          <w:rtl/>
        </w:rPr>
        <w:t>א</w:t>
      </w:r>
      <w:r w:rsidRPr="0004711E">
        <w:rPr>
          <w:rFonts w:cs="David" w:hint="cs"/>
          <w:sz w:val="28"/>
          <w:szCs w:val="28"/>
          <w:rtl/>
        </w:rPr>
        <w:t xml:space="preserve"> לפרסם שמות בשני טעמים: א. מניעת סיכון למי שמוחזקים </w:t>
      </w:r>
      <w:r w:rsidR="003C7433" w:rsidRPr="0004711E">
        <w:rPr>
          <w:rFonts w:cs="David" w:hint="cs"/>
          <w:sz w:val="28"/>
          <w:szCs w:val="28"/>
          <w:rtl/>
        </w:rPr>
        <w:t>ב</w:t>
      </w:r>
      <w:r w:rsidRPr="0004711E">
        <w:rPr>
          <w:rFonts w:cs="David" w:hint="cs"/>
          <w:sz w:val="28"/>
          <w:szCs w:val="28"/>
          <w:rtl/>
        </w:rPr>
        <w:t>מעצר; ב. שמירת הזכות למשפט הוגן של מי שיובא בפני בית משפט בעתיד. המדריך מסכם וקובע כי שני העקרונות שצריכים להנחות ועדות לעניין זה הם הגנת מקורות המידע מפגיעה ושמירת הזכות למשפט הוגן של מי שחשודים בביצוע הפרות.</w:t>
      </w:r>
    </w:p>
    <w:p w:rsidR="002866D7" w:rsidRPr="0004711E" w:rsidRDefault="002866D7" w:rsidP="008B316C">
      <w:pPr>
        <w:spacing w:after="0" w:line="360" w:lineRule="auto"/>
        <w:jc w:val="both"/>
        <w:rPr>
          <w:rFonts w:cs="David"/>
          <w:sz w:val="28"/>
          <w:szCs w:val="28"/>
          <w:rtl/>
        </w:rPr>
      </w:pPr>
    </w:p>
    <w:p w:rsidR="002866D7" w:rsidRPr="0004711E" w:rsidRDefault="002866D7" w:rsidP="00216FC6">
      <w:pPr>
        <w:spacing w:after="0" w:line="360" w:lineRule="auto"/>
        <w:jc w:val="both"/>
        <w:rPr>
          <w:rFonts w:cs="David"/>
          <w:sz w:val="28"/>
          <w:szCs w:val="28"/>
          <w:rtl/>
        </w:rPr>
      </w:pPr>
      <w:r w:rsidRPr="0004711E">
        <w:rPr>
          <w:rFonts w:cs="David" w:hint="cs"/>
          <w:sz w:val="28"/>
          <w:szCs w:val="28"/>
          <w:rtl/>
        </w:rPr>
        <w:t xml:space="preserve">לעניין </w:t>
      </w:r>
      <w:r w:rsidRPr="0004711E">
        <w:rPr>
          <w:rFonts w:cs="David" w:hint="cs"/>
          <w:b/>
          <w:bCs/>
          <w:sz w:val="28"/>
          <w:szCs w:val="28"/>
          <w:rtl/>
        </w:rPr>
        <w:t>הצדדים תחת חקירה</w:t>
      </w:r>
      <w:r w:rsidRPr="0004711E">
        <w:rPr>
          <w:rFonts w:cs="David" w:hint="cs"/>
          <w:sz w:val="28"/>
          <w:szCs w:val="28"/>
          <w:rtl/>
        </w:rPr>
        <w:t xml:space="preserve"> מציין מדריך הנציבות כי בדרך כלל מנדטים לא התייחסו באופן מפורש לצד שפעולותיו הן נושא החקירה ודרשו את "חקירת כל ההפרות הנטענות". עם זאת, לעיתים, בעיקר במקרים של כיבוש זר או פלישה, דרש </w:t>
      </w:r>
      <w:r w:rsidR="00216FC6" w:rsidRPr="0004711E">
        <w:rPr>
          <w:rFonts w:cs="David" w:hint="cs"/>
          <w:sz w:val="28"/>
          <w:szCs w:val="28"/>
          <w:rtl/>
        </w:rPr>
        <w:t xml:space="preserve">המנדט </w:t>
      </w:r>
      <w:r w:rsidRPr="0004711E">
        <w:rPr>
          <w:rFonts w:cs="David" w:hint="cs"/>
          <w:sz w:val="28"/>
          <w:szCs w:val="28"/>
          <w:rtl/>
        </w:rPr>
        <w:t>לחקור את הפעולות של צד אחד בלבד. לעניין זה מזכיר הדוח את ועדת לבנון השנייה, שנדרשה לחקור רק את פעולות ישראל, ושבדוח שלה כתבה כי לא ניתן לבחון את פעולות ישראל מבלי לבחון את פעולות חזבאללה, אך היא נמנעת מעשות כן כדי לא לחרוג מהמנדט שניתן לה. כן מזכיר הדוח את ועדת גולדסטון, שלמרות שלפי החלטת מועצת זכויות האדם נדרשה לחקור רק את פעולות ישראל, נשיא המועצה דרש ממנה, בעת שהכריז על הקמתה, לחקור את כל ההפרות שאירעו בהקשר של מבצע "עופרת יצוקה": לפניו, במהלכו ולאחריו.</w:t>
      </w:r>
    </w:p>
    <w:p w:rsidR="002866D7" w:rsidRPr="0004711E" w:rsidRDefault="002866D7" w:rsidP="008B316C">
      <w:pPr>
        <w:spacing w:after="0" w:line="360" w:lineRule="auto"/>
        <w:jc w:val="both"/>
        <w:rPr>
          <w:rFonts w:cs="David"/>
          <w:sz w:val="28"/>
          <w:szCs w:val="28"/>
          <w:rtl/>
        </w:rPr>
      </w:pPr>
    </w:p>
    <w:p w:rsidR="002866D7" w:rsidRPr="0004711E" w:rsidRDefault="002A0D02" w:rsidP="008B316C">
      <w:pPr>
        <w:spacing w:after="0" w:line="360" w:lineRule="auto"/>
        <w:jc w:val="both"/>
        <w:rPr>
          <w:rFonts w:cs="David"/>
          <w:sz w:val="28"/>
          <w:szCs w:val="28"/>
          <w:rtl/>
        </w:rPr>
      </w:pPr>
      <w:r>
        <w:rPr>
          <w:rFonts w:cs="David" w:hint="cs"/>
          <w:sz w:val="28"/>
          <w:szCs w:val="28"/>
          <w:rtl/>
        </w:rPr>
        <w:t xml:space="preserve">במדריך הנציבות נטען, כי </w:t>
      </w:r>
      <w:r w:rsidR="002866D7" w:rsidRPr="0004711E">
        <w:rPr>
          <w:rFonts w:cs="David" w:hint="cs"/>
          <w:sz w:val="28"/>
          <w:szCs w:val="28"/>
          <w:rtl/>
        </w:rPr>
        <w:t xml:space="preserve">במקום שבו התייחס המנדט למשפט בינלאומי הומניטארי או משפט פלילי בינלאומי, החילה ועדת החקירה משפט זה על כל הצדדים, לרבות על שחקנים לא מדינתיים. </w:t>
      </w:r>
    </w:p>
    <w:p w:rsidR="002866D7" w:rsidRDefault="002866D7" w:rsidP="008B316C">
      <w:pPr>
        <w:spacing w:after="0" w:line="360" w:lineRule="auto"/>
        <w:jc w:val="both"/>
        <w:rPr>
          <w:rFonts w:cs="David"/>
          <w:sz w:val="28"/>
          <w:szCs w:val="28"/>
          <w:rtl/>
        </w:rPr>
      </w:pPr>
    </w:p>
    <w:p w:rsidR="00A41A87" w:rsidRPr="00C22118" w:rsidRDefault="00A41A87" w:rsidP="00C22118">
      <w:pPr>
        <w:pStyle w:val="a9"/>
        <w:numPr>
          <w:ilvl w:val="0"/>
          <w:numId w:val="24"/>
        </w:numPr>
        <w:spacing w:after="0" w:line="360" w:lineRule="auto"/>
        <w:jc w:val="both"/>
        <w:outlineLvl w:val="2"/>
        <w:rPr>
          <w:rFonts w:cs="David"/>
          <w:sz w:val="28"/>
          <w:szCs w:val="28"/>
          <w:rtl/>
        </w:rPr>
      </w:pPr>
      <w:bookmarkStart w:id="51" w:name="_Toc456027323"/>
      <w:r w:rsidRPr="00C22118">
        <w:rPr>
          <w:rFonts w:cs="David" w:hint="cs"/>
          <w:sz w:val="28"/>
          <w:szCs w:val="28"/>
          <w:rtl/>
        </w:rPr>
        <w:t xml:space="preserve">סיכום </w:t>
      </w:r>
      <w:r w:rsidRPr="00C22118">
        <w:rPr>
          <w:rFonts w:cs="David"/>
          <w:sz w:val="28"/>
          <w:szCs w:val="28"/>
          <w:rtl/>
        </w:rPr>
        <w:t>–</w:t>
      </w:r>
      <w:r w:rsidRPr="00C22118">
        <w:rPr>
          <w:rFonts w:cs="David" w:hint="cs"/>
          <w:sz w:val="28"/>
          <w:szCs w:val="28"/>
          <w:rtl/>
        </w:rPr>
        <w:t xml:space="preserve"> נוסח המנדט</w:t>
      </w:r>
      <w:bookmarkEnd w:id="51"/>
    </w:p>
    <w:p w:rsidR="00A41A87" w:rsidRPr="0004711E" w:rsidRDefault="00A41A87" w:rsidP="008B316C">
      <w:pPr>
        <w:spacing w:after="0" w:line="360" w:lineRule="auto"/>
        <w:jc w:val="both"/>
        <w:rPr>
          <w:rFonts w:cs="David"/>
          <w:sz w:val="28"/>
          <w:szCs w:val="28"/>
          <w:rtl/>
        </w:rPr>
      </w:pPr>
    </w:p>
    <w:p w:rsidR="008847CF" w:rsidRPr="0004711E" w:rsidRDefault="00A167F1" w:rsidP="00CB344B">
      <w:pPr>
        <w:spacing w:after="0" w:line="360" w:lineRule="auto"/>
        <w:jc w:val="both"/>
        <w:rPr>
          <w:rFonts w:cs="David"/>
          <w:sz w:val="28"/>
          <w:szCs w:val="28"/>
          <w:rtl/>
        </w:rPr>
      </w:pPr>
      <w:r w:rsidRPr="0004711E">
        <w:rPr>
          <w:rFonts w:cs="David" w:hint="cs"/>
          <w:sz w:val="28"/>
          <w:szCs w:val="28"/>
          <w:rtl/>
        </w:rPr>
        <w:t>לסיכום</w:t>
      </w:r>
      <w:r w:rsidR="0057635B" w:rsidRPr="0004711E">
        <w:rPr>
          <w:rFonts w:cs="David" w:hint="cs"/>
          <w:sz w:val="28"/>
          <w:szCs w:val="28"/>
          <w:rtl/>
        </w:rPr>
        <w:t xml:space="preserve"> חלק זה</w:t>
      </w:r>
      <w:r w:rsidRPr="0004711E">
        <w:rPr>
          <w:rFonts w:cs="David" w:hint="cs"/>
          <w:sz w:val="28"/>
          <w:szCs w:val="28"/>
          <w:rtl/>
        </w:rPr>
        <w:t xml:space="preserve">, </w:t>
      </w:r>
      <w:r w:rsidR="00CB344B">
        <w:rPr>
          <w:rFonts w:cs="David" w:hint="cs"/>
          <w:sz w:val="28"/>
          <w:szCs w:val="28"/>
          <w:rtl/>
        </w:rPr>
        <w:t>יש לשאול את</w:t>
      </w:r>
      <w:r w:rsidR="008847CF" w:rsidRPr="0004711E">
        <w:rPr>
          <w:rFonts w:cs="David" w:hint="cs"/>
          <w:sz w:val="28"/>
          <w:szCs w:val="28"/>
          <w:rtl/>
        </w:rPr>
        <w:t xml:space="preserve"> השאלה</w:t>
      </w:r>
      <w:r w:rsidR="00216FC6">
        <w:rPr>
          <w:rFonts w:cs="David" w:hint="cs"/>
          <w:sz w:val="28"/>
          <w:szCs w:val="28"/>
          <w:rtl/>
        </w:rPr>
        <w:t>,</w:t>
      </w:r>
      <w:r w:rsidR="008847CF" w:rsidRPr="0004711E">
        <w:rPr>
          <w:rFonts w:cs="David" w:hint="cs"/>
          <w:sz w:val="28"/>
          <w:szCs w:val="28"/>
          <w:rtl/>
        </w:rPr>
        <w:t xml:space="preserve"> מה המשקל שיש לייחס לנוסח המנדט בעת קבלת ההחלטה האם לשתף פעולה עם </w:t>
      </w:r>
      <w:r w:rsidR="009C039C">
        <w:rPr>
          <w:rFonts w:cs="David" w:hint="cs"/>
          <w:sz w:val="28"/>
          <w:szCs w:val="28"/>
          <w:rtl/>
        </w:rPr>
        <w:t>ועדת החקירה</w:t>
      </w:r>
      <w:r w:rsidR="008847CF" w:rsidRPr="0004711E">
        <w:rPr>
          <w:rFonts w:cs="David" w:hint="cs"/>
          <w:sz w:val="28"/>
          <w:szCs w:val="28"/>
          <w:rtl/>
        </w:rPr>
        <w:t xml:space="preserve">. לעניין זה נחלקו דעות המרואיינים. בעוד שחלקם סברו שלמנדט יש ערך רב ושאין לשתף פעולה באופן גלוי עם </w:t>
      </w:r>
      <w:r w:rsidR="0074404A">
        <w:rPr>
          <w:rFonts w:cs="David" w:hint="cs"/>
          <w:sz w:val="28"/>
          <w:szCs w:val="28"/>
          <w:rtl/>
        </w:rPr>
        <w:t>ועדה</w:t>
      </w:r>
      <w:r w:rsidR="008847CF" w:rsidRPr="0004711E">
        <w:rPr>
          <w:rFonts w:cs="David" w:hint="cs"/>
          <w:sz w:val="28"/>
          <w:szCs w:val="28"/>
          <w:rtl/>
        </w:rPr>
        <w:t xml:space="preserve"> שעצם לידת</w:t>
      </w:r>
      <w:r w:rsidR="00A41A87">
        <w:rPr>
          <w:rFonts w:cs="David" w:hint="cs"/>
          <w:sz w:val="28"/>
          <w:szCs w:val="28"/>
          <w:rtl/>
        </w:rPr>
        <w:t>ה</w:t>
      </w:r>
      <w:r w:rsidR="008847CF" w:rsidRPr="0004711E">
        <w:rPr>
          <w:rFonts w:cs="David" w:hint="cs"/>
          <w:sz w:val="28"/>
          <w:szCs w:val="28"/>
          <w:rtl/>
        </w:rPr>
        <w:t xml:space="preserve"> בחטא בדמות מנדט מוטה או לקוי, סברו אחרים שערכו של המנדט מוגבל ובכל מקרה הוא משני לשאלה מי עומד בראש </w:t>
      </w:r>
      <w:r w:rsidR="001165FD">
        <w:rPr>
          <w:rFonts w:cs="David" w:hint="cs"/>
          <w:sz w:val="28"/>
          <w:szCs w:val="28"/>
          <w:rtl/>
        </w:rPr>
        <w:t>הוועדה</w:t>
      </w:r>
      <w:r w:rsidR="008847CF" w:rsidRPr="0004711E">
        <w:rPr>
          <w:rFonts w:cs="David" w:hint="cs"/>
          <w:sz w:val="28"/>
          <w:szCs w:val="28"/>
          <w:rtl/>
        </w:rPr>
        <w:t xml:space="preserve"> ומיהם חברי</w:t>
      </w:r>
      <w:r w:rsidR="00A41A87">
        <w:rPr>
          <w:rFonts w:cs="David" w:hint="cs"/>
          <w:sz w:val="28"/>
          <w:szCs w:val="28"/>
          <w:rtl/>
        </w:rPr>
        <w:t>ה</w:t>
      </w:r>
      <w:r w:rsidR="008847CF" w:rsidRPr="0004711E">
        <w:rPr>
          <w:rFonts w:cs="David" w:hint="cs"/>
          <w:sz w:val="28"/>
          <w:szCs w:val="28"/>
          <w:rtl/>
        </w:rPr>
        <w:t xml:space="preserve">. נראה, כי לשאלת זהות יושב ראש </w:t>
      </w:r>
      <w:r w:rsidR="001165FD">
        <w:rPr>
          <w:rFonts w:cs="David" w:hint="cs"/>
          <w:sz w:val="28"/>
          <w:szCs w:val="28"/>
          <w:rtl/>
        </w:rPr>
        <w:t>הוועדה</w:t>
      </w:r>
      <w:r w:rsidR="008847CF" w:rsidRPr="0004711E">
        <w:rPr>
          <w:rFonts w:cs="David" w:hint="cs"/>
          <w:sz w:val="28"/>
          <w:szCs w:val="28"/>
          <w:rtl/>
        </w:rPr>
        <w:t xml:space="preserve"> יש אכן משקל רב יותר. בסופו של דבר, יו"ר ועדה יכול להחליט באיזה אופן הוא מפרש את המנדט ומה בדיוק הוא בודק במסגרת תהליך הבדיקה. </w:t>
      </w:r>
    </w:p>
    <w:p w:rsidR="008847CF" w:rsidRPr="0004711E" w:rsidRDefault="008847CF" w:rsidP="008B316C">
      <w:pPr>
        <w:spacing w:after="0" w:line="360" w:lineRule="auto"/>
        <w:jc w:val="both"/>
        <w:rPr>
          <w:rFonts w:cs="David"/>
          <w:sz w:val="28"/>
          <w:szCs w:val="28"/>
          <w:rtl/>
        </w:rPr>
      </w:pPr>
    </w:p>
    <w:p w:rsidR="008847CF" w:rsidRPr="0004711E" w:rsidRDefault="008847CF" w:rsidP="00A41A87">
      <w:pPr>
        <w:spacing w:after="0" w:line="360" w:lineRule="auto"/>
        <w:jc w:val="both"/>
        <w:rPr>
          <w:rFonts w:cs="David"/>
          <w:sz w:val="28"/>
          <w:szCs w:val="28"/>
          <w:rtl/>
        </w:rPr>
      </w:pPr>
      <w:r w:rsidRPr="0004711E">
        <w:rPr>
          <w:rFonts w:cs="David" w:hint="cs"/>
          <w:sz w:val="28"/>
          <w:szCs w:val="28"/>
          <w:rtl/>
        </w:rPr>
        <w:t>נראה</w:t>
      </w:r>
      <w:r w:rsidR="00216FC6">
        <w:rPr>
          <w:rFonts w:cs="David" w:hint="cs"/>
          <w:sz w:val="28"/>
          <w:szCs w:val="28"/>
          <w:rtl/>
        </w:rPr>
        <w:t>,</w:t>
      </w:r>
      <w:r w:rsidRPr="0004711E">
        <w:rPr>
          <w:rFonts w:cs="David" w:hint="cs"/>
          <w:sz w:val="28"/>
          <w:szCs w:val="28"/>
          <w:rtl/>
        </w:rPr>
        <w:t xml:space="preserve"> כי למדינת ישראל יש יכולת להשפיע על נוסח המנדט שיופקד בידי </w:t>
      </w:r>
      <w:r w:rsidR="009C039C">
        <w:rPr>
          <w:rFonts w:cs="David" w:hint="cs"/>
          <w:sz w:val="28"/>
          <w:szCs w:val="28"/>
          <w:rtl/>
        </w:rPr>
        <w:t>ועדת החקירה</w:t>
      </w:r>
      <w:r w:rsidRPr="0004711E">
        <w:rPr>
          <w:rFonts w:cs="David" w:hint="cs"/>
          <w:sz w:val="28"/>
          <w:szCs w:val="28"/>
          <w:rtl/>
        </w:rPr>
        <w:t>. הגם שהיכולת הזו קטנה עד כמעט בלתי קיימת בשלב שבו מנוסחת ההחלטה במועצת זכויות האדם, לדוגמה, שהמוטיבציה של</w:t>
      </w:r>
      <w:r w:rsidR="00A41A87">
        <w:rPr>
          <w:rFonts w:cs="David" w:hint="cs"/>
          <w:sz w:val="28"/>
          <w:szCs w:val="28"/>
          <w:rtl/>
        </w:rPr>
        <w:t>ה</w:t>
      </w:r>
      <w:r w:rsidRPr="0004711E">
        <w:rPr>
          <w:rFonts w:cs="David" w:hint="cs"/>
          <w:sz w:val="28"/>
          <w:szCs w:val="28"/>
          <w:rtl/>
        </w:rPr>
        <w:t xml:space="preserve"> היא בעיקרה פוליטית, הרי שניתן להשפיע על שינוי המנדט בשלב מאוחר יותר, בשיח עם נשיא המועצה וכחלק מהתנאים שיכולה המדינה להציב בתמורה לשיתוף פעולה מצדה</w:t>
      </w:r>
      <w:r w:rsidR="00C473BB" w:rsidRPr="0004711E">
        <w:rPr>
          <w:rStyle w:val="a7"/>
          <w:rFonts w:cs="David"/>
          <w:sz w:val="28"/>
          <w:szCs w:val="28"/>
          <w:rtl/>
        </w:rPr>
        <w:footnoteReference w:id="198"/>
      </w:r>
      <w:r w:rsidRPr="0004711E">
        <w:rPr>
          <w:rFonts w:cs="David" w:hint="cs"/>
          <w:sz w:val="28"/>
          <w:szCs w:val="28"/>
          <w:rtl/>
        </w:rPr>
        <w:t>. כפי שצוין, ייתכן שתקדים שינוי המנדט של ועדת גולדסטון השפיע לחיוב גם על אופן ניסוח המנדט של ועדת צוק איתן</w:t>
      </w:r>
      <w:r w:rsidR="002E4C7D">
        <w:rPr>
          <w:rFonts w:cs="David" w:hint="cs"/>
          <w:sz w:val="28"/>
          <w:szCs w:val="28"/>
          <w:rtl/>
        </w:rPr>
        <w:t xml:space="preserve"> (אך, כאמור, לא על ההחלטה שבמסגרתה הוא נקבע)</w:t>
      </w:r>
      <w:r w:rsidRPr="0004711E">
        <w:rPr>
          <w:rFonts w:cs="David" w:hint="cs"/>
          <w:sz w:val="28"/>
          <w:szCs w:val="28"/>
          <w:rtl/>
        </w:rPr>
        <w:t>.</w:t>
      </w:r>
    </w:p>
    <w:p w:rsidR="00A167F1" w:rsidRPr="0004711E" w:rsidRDefault="00A167F1" w:rsidP="008B316C">
      <w:pPr>
        <w:spacing w:after="0" w:line="360" w:lineRule="auto"/>
        <w:jc w:val="both"/>
        <w:rPr>
          <w:rFonts w:cs="David"/>
          <w:sz w:val="28"/>
          <w:szCs w:val="28"/>
          <w:rtl/>
        </w:rPr>
      </w:pPr>
    </w:p>
    <w:p w:rsidR="00DC30CC" w:rsidRPr="0004711E" w:rsidRDefault="00C473BB" w:rsidP="008B316C">
      <w:pPr>
        <w:spacing w:after="0" w:line="360" w:lineRule="auto"/>
        <w:jc w:val="both"/>
        <w:rPr>
          <w:rFonts w:cs="David"/>
          <w:sz w:val="28"/>
          <w:szCs w:val="28"/>
          <w:rtl/>
        </w:rPr>
      </w:pPr>
      <w:r w:rsidRPr="0004711E">
        <w:rPr>
          <w:rFonts w:cs="David" w:hint="cs"/>
          <w:sz w:val="28"/>
          <w:szCs w:val="28"/>
          <w:rtl/>
        </w:rPr>
        <w:t xml:space="preserve">נראה גם כי </w:t>
      </w:r>
      <w:r w:rsidR="00C17EE3" w:rsidRPr="0004711E">
        <w:rPr>
          <w:rFonts w:cs="David" w:hint="cs"/>
          <w:sz w:val="28"/>
          <w:szCs w:val="28"/>
          <w:rtl/>
        </w:rPr>
        <w:t xml:space="preserve">מדריך הנציבות </w:t>
      </w:r>
      <w:r w:rsidRPr="0004711E">
        <w:rPr>
          <w:rFonts w:cs="David" w:hint="cs"/>
          <w:sz w:val="28"/>
          <w:szCs w:val="28"/>
          <w:rtl/>
        </w:rPr>
        <w:t>שפורסם לאחרונה, אשר מתייחס לסטנדרטים הראויים</w:t>
      </w:r>
      <w:r w:rsidR="006D4190">
        <w:rPr>
          <w:rFonts w:cs="David" w:hint="cs"/>
          <w:sz w:val="28"/>
          <w:szCs w:val="28"/>
          <w:rtl/>
        </w:rPr>
        <w:t xml:space="preserve"> </w:t>
      </w:r>
      <w:r w:rsidRPr="0004711E">
        <w:rPr>
          <w:rFonts w:cs="David" w:hint="cs"/>
          <w:sz w:val="28"/>
          <w:szCs w:val="28"/>
          <w:rtl/>
        </w:rPr>
        <w:t xml:space="preserve">בהקמה ובפעולה של </w:t>
      </w:r>
      <w:r w:rsidR="009F6ED1">
        <w:rPr>
          <w:rFonts w:cs="David" w:hint="cs"/>
          <w:sz w:val="28"/>
          <w:szCs w:val="28"/>
          <w:rtl/>
        </w:rPr>
        <w:t xml:space="preserve">ועדות חקירה </w:t>
      </w:r>
      <w:r w:rsidRPr="0004711E">
        <w:rPr>
          <w:rFonts w:cs="David" w:hint="cs"/>
          <w:sz w:val="28"/>
          <w:szCs w:val="28"/>
          <w:rtl/>
        </w:rPr>
        <w:t xml:space="preserve">בינלאומיות, </w:t>
      </w:r>
      <w:r w:rsidR="00C17EE3" w:rsidRPr="0004711E">
        <w:rPr>
          <w:rFonts w:cs="David" w:hint="cs"/>
          <w:sz w:val="28"/>
          <w:szCs w:val="28"/>
          <w:rtl/>
        </w:rPr>
        <w:t>ישמש מעתה כלי אובייקטיבי ויעיל כדי להעלות טענות כנגד מנדטים מוטים</w:t>
      </w:r>
      <w:r w:rsidRPr="0004711E">
        <w:rPr>
          <w:rFonts w:cs="David" w:hint="cs"/>
          <w:sz w:val="28"/>
          <w:szCs w:val="28"/>
          <w:rtl/>
        </w:rPr>
        <w:t>.</w:t>
      </w:r>
    </w:p>
    <w:p w:rsidR="00C473BB" w:rsidRPr="0004711E" w:rsidRDefault="00C473BB" w:rsidP="008B316C">
      <w:pPr>
        <w:spacing w:after="0" w:line="360" w:lineRule="auto"/>
        <w:jc w:val="both"/>
        <w:rPr>
          <w:rFonts w:cs="David"/>
          <w:sz w:val="28"/>
          <w:szCs w:val="28"/>
          <w:rtl/>
        </w:rPr>
      </w:pPr>
    </w:p>
    <w:p w:rsidR="00C473BB" w:rsidRPr="0004711E" w:rsidRDefault="00C473BB" w:rsidP="008B316C">
      <w:pPr>
        <w:spacing w:after="0" w:line="360" w:lineRule="auto"/>
        <w:jc w:val="both"/>
        <w:rPr>
          <w:rFonts w:cs="David"/>
          <w:sz w:val="28"/>
          <w:szCs w:val="28"/>
          <w:rtl/>
        </w:rPr>
      </w:pPr>
      <w:r w:rsidRPr="0004711E">
        <w:rPr>
          <w:rFonts w:cs="David" w:hint="cs"/>
          <w:sz w:val="28"/>
          <w:szCs w:val="28"/>
          <w:rtl/>
        </w:rPr>
        <w:t xml:space="preserve">מכל מקום, השאלה הבאה, ואולי החשובה מכול, שיש לשאול בעת קבלת ההחלטה על שיתוף הפעולה עם </w:t>
      </w:r>
      <w:r w:rsidR="009C039C">
        <w:rPr>
          <w:rFonts w:cs="David" w:hint="cs"/>
          <w:sz w:val="28"/>
          <w:szCs w:val="28"/>
          <w:rtl/>
        </w:rPr>
        <w:t>ועדת החקירה</w:t>
      </w:r>
      <w:r w:rsidRPr="0004711E">
        <w:rPr>
          <w:rFonts w:cs="David" w:hint="cs"/>
          <w:sz w:val="28"/>
          <w:szCs w:val="28"/>
          <w:rtl/>
        </w:rPr>
        <w:t xml:space="preserve"> נוגעת ל</w:t>
      </w:r>
      <w:r w:rsidR="00F417B6">
        <w:rPr>
          <w:rFonts w:cs="David" w:hint="cs"/>
          <w:sz w:val="28"/>
          <w:szCs w:val="28"/>
          <w:rtl/>
        </w:rPr>
        <w:t xml:space="preserve">הרכב </w:t>
      </w:r>
      <w:r w:rsidR="001165FD">
        <w:rPr>
          <w:rFonts w:cs="David" w:hint="cs"/>
          <w:sz w:val="28"/>
          <w:szCs w:val="28"/>
          <w:rtl/>
        </w:rPr>
        <w:t>הוועדה</w:t>
      </w:r>
      <w:r w:rsidRPr="0004711E">
        <w:rPr>
          <w:rFonts w:cs="David" w:hint="cs"/>
          <w:sz w:val="28"/>
          <w:szCs w:val="28"/>
          <w:rtl/>
        </w:rPr>
        <w:t>. בכך נעסוק להלן.</w:t>
      </w:r>
    </w:p>
    <w:p w:rsidR="00F417B6" w:rsidRDefault="00F417B6" w:rsidP="008B316C">
      <w:pPr>
        <w:bidi w:val="0"/>
        <w:spacing w:after="0" w:line="360" w:lineRule="auto"/>
        <w:rPr>
          <w:rFonts w:cs="David"/>
          <w:b/>
          <w:bCs/>
          <w:sz w:val="28"/>
          <w:szCs w:val="28"/>
        </w:rPr>
      </w:pPr>
    </w:p>
    <w:p w:rsidR="00224FED" w:rsidRPr="00C22118" w:rsidRDefault="00F417B6" w:rsidP="00C22118">
      <w:pPr>
        <w:pStyle w:val="a9"/>
        <w:numPr>
          <w:ilvl w:val="0"/>
          <w:numId w:val="22"/>
        </w:numPr>
        <w:spacing w:after="0" w:line="360" w:lineRule="auto"/>
        <w:jc w:val="both"/>
        <w:outlineLvl w:val="1"/>
        <w:rPr>
          <w:rFonts w:cs="David"/>
          <w:b/>
          <w:bCs/>
          <w:sz w:val="28"/>
          <w:szCs w:val="28"/>
          <w:rtl/>
        </w:rPr>
      </w:pPr>
      <w:bookmarkStart w:id="52" w:name="_Toc456027324"/>
      <w:r w:rsidRPr="00C22118">
        <w:rPr>
          <w:rFonts w:cs="David" w:hint="cs"/>
          <w:b/>
          <w:bCs/>
          <w:sz w:val="28"/>
          <w:szCs w:val="28"/>
          <w:rtl/>
        </w:rPr>
        <w:t xml:space="preserve">הרכב </w:t>
      </w:r>
      <w:r w:rsidR="009C039C" w:rsidRPr="00C22118">
        <w:rPr>
          <w:rFonts w:cs="David" w:hint="cs"/>
          <w:b/>
          <w:bCs/>
          <w:sz w:val="28"/>
          <w:szCs w:val="28"/>
          <w:rtl/>
        </w:rPr>
        <w:t>ועדת החקירה</w:t>
      </w:r>
      <w:bookmarkEnd w:id="52"/>
    </w:p>
    <w:p w:rsidR="00224FED" w:rsidRPr="0004711E" w:rsidRDefault="00224FED" w:rsidP="008B316C">
      <w:pPr>
        <w:spacing w:after="0" w:line="360" w:lineRule="auto"/>
        <w:jc w:val="both"/>
        <w:rPr>
          <w:rFonts w:cs="David"/>
          <w:sz w:val="28"/>
          <w:szCs w:val="28"/>
          <w:rtl/>
        </w:rPr>
      </w:pPr>
    </w:p>
    <w:p w:rsidR="00224FED" w:rsidRPr="0004711E" w:rsidRDefault="00224FED" w:rsidP="008B316C">
      <w:pPr>
        <w:spacing w:after="0" w:line="360" w:lineRule="auto"/>
        <w:jc w:val="both"/>
        <w:rPr>
          <w:rFonts w:cs="David"/>
          <w:sz w:val="28"/>
          <w:szCs w:val="28"/>
          <w:rtl/>
        </w:rPr>
      </w:pPr>
      <w:r w:rsidRPr="0004711E">
        <w:rPr>
          <w:rFonts w:cs="David" w:hint="cs"/>
          <w:sz w:val="28"/>
          <w:szCs w:val="28"/>
          <w:rtl/>
        </w:rPr>
        <w:t>נעבור, אם כן, לבחון את השיקול הנוגע ל</w:t>
      </w:r>
      <w:r w:rsidR="00F417B6">
        <w:rPr>
          <w:rFonts w:cs="David" w:hint="cs"/>
          <w:sz w:val="28"/>
          <w:szCs w:val="28"/>
          <w:rtl/>
        </w:rPr>
        <w:t xml:space="preserve">הרכב </w:t>
      </w:r>
      <w:r w:rsidR="009C039C">
        <w:rPr>
          <w:rFonts w:cs="David" w:hint="cs"/>
          <w:sz w:val="28"/>
          <w:szCs w:val="28"/>
          <w:rtl/>
        </w:rPr>
        <w:t>ועדת החקירה</w:t>
      </w:r>
      <w:r w:rsidRPr="0004711E">
        <w:rPr>
          <w:rFonts w:cs="David" w:hint="cs"/>
          <w:sz w:val="28"/>
          <w:szCs w:val="28"/>
          <w:rtl/>
        </w:rPr>
        <w:t xml:space="preserve"> בעת קבלת ההחלטה אם לשתף פעולה עם </w:t>
      </w:r>
      <w:r w:rsidR="001165FD">
        <w:rPr>
          <w:rFonts w:cs="David" w:hint="cs"/>
          <w:sz w:val="28"/>
          <w:szCs w:val="28"/>
          <w:rtl/>
        </w:rPr>
        <w:t>הוועדה</w:t>
      </w:r>
      <w:r w:rsidRPr="0004711E">
        <w:rPr>
          <w:rFonts w:cs="David" w:hint="cs"/>
          <w:sz w:val="28"/>
          <w:szCs w:val="28"/>
          <w:rtl/>
        </w:rPr>
        <w:t xml:space="preserve">. אין ספק, </w:t>
      </w:r>
      <w:r w:rsidR="003066F3" w:rsidRPr="0004711E">
        <w:rPr>
          <w:rFonts w:cs="David" w:hint="cs"/>
          <w:sz w:val="28"/>
          <w:szCs w:val="28"/>
          <w:rtl/>
        </w:rPr>
        <w:t xml:space="preserve">שהרקע ממנו מגיעים חברי </w:t>
      </w:r>
      <w:r w:rsidR="001165FD">
        <w:rPr>
          <w:rFonts w:cs="David" w:hint="cs"/>
          <w:sz w:val="28"/>
          <w:szCs w:val="28"/>
          <w:rtl/>
        </w:rPr>
        <w:t>הוועדה</w:t>
      </w:r>
      <w:r w:rsidR="003066F3" w:rsidRPr="0004711E">
        <w:rPr>
          <w:rFonts w:cs="David" w:hint="cs"/>
          <w:sz w:val="28"/>
          <w:szCs w:val="28"/>
          <w:rtl/>
        </w:rPr>
        <w:t xml:space="preserve"> הוא בעל משקל קריטי לעניין תוצר העבודה</w:t>
      </w:r>
      <w:r w:rsidR="000F4C20">
        <w:rPr>
          <w:rFonts w:cs="David" w:hint="cs"/>
          <w:sz w:val="28"/>
          <w:szCs w:val="28"/>
          <w:rtl/>
        </w:rPr>
        <w:t>,</w:t>
      </w:r>
      <w:r w:rsidR="003066F3" w:rsidRPr="0004711E">
        <w:rPr>
          <w:rFonts w:cs="David" w:hint="cs"/>
          <w:sz w:val="28"/>
          <w:szCs w:val="28"/>
          <w:rtl/>
        </w:rPr>
        <w:t xml:space="preserve"> שיופק</w:t>
      </w:r>
      <w:r w:rsidR="00692192">
        <w:rPr>
          <w:rFonts w:cs="David" w:hint="cs"/>
          <w:sz w:val="28"/>
          <w:szCs w:val="28"/>
          <w:rtl/>
        </w:rPr>
        <w:t xml:space="preserve"> על ידי </w:t>
      </w:r>
      <w:r w:rsidR="001165FD">
        <w:rPr>
          <w:rFonts w:cs="David" w:hint="cs"/>
          <w:sz w:val="28"/>
          <w:szCs w:val="28"/>
          <w:rtl/>
        </w:rPr>
        <w:t>הוועדה</w:t>
      </w:r>
      <w:r w:rsidR="003066F3" w:rsidRPr="0004711E">
        <w:rPr>
          <w:rFonts w:cs="David" w:hint="cs"/>
          <w:sz w:val="28"/>
          <w:szCs w:val="28"/>
          <w:rtl/>
        </w:rPr>
        <w:t>.</w:t>
      </w:r>
    </w:p>
    <w:p w:rsidR="00224FED" w:rsidRDefault="00224FED" w:rsidP="008B316C">
      <w:pPr>
        <w:spacing w:after="0" w:line="360" w:lineRule="auto"/>
        <w:jc w:val="both"/>
        <w:rPr>
          <w:rFonts w:cs="David"/>
          <w:sz w:val="28"/>
          <w:szCs w:val="28"/>
          <w:rtl/>
        </w:rPr>
      </w:pPr>
    </w:p>
    <w:p w:rsidR="00FC0D4A" w:rsidRPr="00C22118" w:rsidRDefault="00FC0D4A" w:rsidP="00C22118">
      <w:pPr>
        <w:pStyle w:val="a9"/>
        <w:numPr>
          <w:ilvl w:val="0"/>
          <w:numId w:val="25"/>
        </w:numPr>
        <w:spacing w:after="0" w:line="360" w:lineRule="auto"/>
        <w:jc w:val="both"/>
        <w:outlineLvl w:val="2"/>
        <w:rPr>
          <w:rFonts w:cs="David"/>
          <w:sz w:val="28"/>
          <w:szCs w:val="28"/>
          <w:rtl/>
        </w:rPr>
      </w:pPr>
      <w:bookmarkStart w:id="53" w:name="_Toc456027325"/>
      <w:r w:rsidRPr="00C22118">
        <w:rPr>
          <w:rFonts w:cs="David" w:hint="cs"/>
          <w:sz w:val="28"/>
          <w:szCs w:val="28"/>
          <w:rtl/>
        </w:rPr>
        <w:t xml:space="preserve">כללים ראויים למינוי חברי </w:t>
      </w:r>
      <w:r w:rsidR="009C039C" w:rsidRPr="00C22118">
        <w:rPr>
          <w:rFonts w:cs="David" w:hint="cs"/>
          <w:sz w:val="28"/>
          <w:szCs w:val="28"/>
          <w:rtl/>
        </w:rPr>
        <w:t>ועדת החקירה</w:t>
      </w:r>
      <w:bookmarkEnd w:id="53"/>
    </w:p>
    <w:p w:rsidR="00FC0D4A" w:rsidRPr="0004711E" w:rsidRDefault="00FC0D4A" w:rsidP="008B316C">
      <w:pPr>
        <w:spacing w:after="0" w:line="360" w:lineRule="auto"/>
        <w:jc w:val="both"/>
        <w:rPr>
          <w:rFonts w:cs="David"/>
          <w:sz w:val="28"/>
          <w:szCs w:val="28"/>
          <w:rtl/>
        </w:rPr>
      </w:pPr>
    </w:p>
    <w:p w:rsidR="00066591" w:rsidRPr="0004711E" w:rsidRDefault="00066591" w:rsidP="00A41A87">
      <w:pPr>
        <w:spacing w:after="0" w:line="360" w:lineRule="auto"/>
        <w:jc w:val="both"/>
        <w:rPr>
          <w:rFonts w:cs="David"/>
          <w:sz w:val="28"/>
          <w:szCs w:val="28"/>
          <w:rtl/>
        </w:rPr>
      </w:pPr>
      <w:r w:rsidRPr="0004711E">
        <w:rPr>
          <w:rFonts w:cs="David" w:hint="cs"/>
          <w:sz w:val="28"/>
          <w:szCs w:val="28"/>
          <w:rtl/>
        </w:rPr>
        <w:t xml:space="preserve">מדריך הנציבות מתייחס לסוגיית הבחירה והמינוי של חברי </w:t>
      </w:r>
      <w:r w:rsidR="00F431BB" w:rsidRPr="0004711E">
        <w:rPr>
          <w:rFonts w:cs="David" w:hint="cs"/>
          <w:sz w:val="28"/>
          <w:szCs w:val="28"/>
          <w:rtl/>
        </w:rPr>
        <w:t>הוועדות</w:t>
      </w:r>
      <w:r w:rsidRPr="0004711E">
        <w:rPr>
          <w:rStyle w:val="a7"/>
          <w:rFonts w:cs="David"/>
          <w:sz w:val="28"/>
          <w:szCs w:val="28"/>
          <w:rtl/>
        </w:rPr>
        <w:footnoteReference w:id="199"/>
      </w:r>
      <w:r w:rsidRPr="0004711E">
        <w:rPr>
          <w:rFonts w:cs="David" w:hint="cs"/>
          <w:sz w:val="28"/>
          <w:szCs w:val="28"/>
          <w:rtl/>
        </w:rPr>
        <w:t xml:space="preserve">. </w:t>
      </w:r>
      <w:r w:rsidR="0018336F" w:rsidRPr="0004711E">
        <w:rPr>
          <w:rFonts w:cs="David" w:hint="cs"/>
          <w:sz w:val="28"/>
          <w:szCs w:val="28"/>
          <w:rtl/>
        </w:rPr>
        <w:t xml:space="preserve">ההחלטה על </w:t>
      </w:r>
      <w:r w:rsidR="00F431BB" w:rsidRPr="0004711E">
        <w:rPr>
          <w:rFonts w:cs="David" w:hint="cs"/>
          <w:sz w:val="28"/>
          <w:szCs w:val="28"/>
          <w:rtl/>
        </w:rPr>
        <w:t>מינוי החברים נמצא</w:t>
      </w:r>
      <w:r w:rsidR="0018336F" w:rsidRPr="0004711E">
        <w:rPr>
          <w:rFonts w:cs="David" w:hint="cs"/>
          <w:sz w:val="28"/>
          <w:szCs w:val="28"/>
          <w:rtl/>
        </w:rPr>
        <w:t>ת</w:t>
      </w:r>
      <w:r w:rsidR="00F431BB" w:rsidRPr="0004711E">
        <w:rPr>
          <w:rFonts w:cs="David" w:hint="cs"/>
          <w:sz w:val="28"/>
          <w:szCs w:val="28"/>
          <w:rtl/>
        </w:rPr>
        <w:t xml:space="preserve"> בידי הרשות שקבעה את מנדט הוועדה </w:t>
      </w:r>
      <w:r w:rsidR="0018336F" w:rsidRPr="0004711E">
        <w:rPr>
          <w:rFonts w:cs="David" w:hint="cs"/>
          <w:sz w:val="28"/>
          <w:szCs w:val="28"/>
          <w:rtl/>
        </w:rPr>
        <w:t>או בידי מי שזו מינתה לשם כך. הנציבות מחזיקה דרך קבע רשימת אנשים</w:t>
      </w:r>
      <w:r w:rsidR="000F4C20">
        <w:rPr>
          <w:rFonts w:cs="David" w:hint="cs"/>
          <w:sz w:val="28"/>
          <w:szCs w:val="28"/>
          <w:rtl/>
        </w:rPr>
        <w:t>,</w:t>
      </w:r>
      <w:r w:rsidR="0018336F" w:rsidRPr="0004711E">
        <w:rPr>
          <w:rFonts w:cs="David" w:hint="cs"/>
          <w:sz w:val="28"/>
          <w:szCs w:val="28"/>
          <w:rtl/>
        </w:rPr>
        <w:t xml:space="preserve"> המתאימים לשמש כחברים של </w:t>
      </w:r>
      <w:r w:rsidR="009F6ED1">
        <w:rPr>
          <w:rFonts w:cs="David" w:hint="cs"/>
          <w:sz w:val="28"/>
          <w:szCs w:val="28"/>
          <w:rtl/>
        </w:rPr>
        <w:t>ועדות חקירה</w:t>
      </w:r>
      <w:r w:rsidR="0018336F" w:rsidRPr="0004711E">
        <w:rPr>
          <w:rFonts w:cs="David" w:hint="cs"/>
          <w:sz w:val="28"/>
          <w:szCs w:val="28"/>
          <w:rtl/>
        </w:rPr>
        <w:t xml:space="preserve">. במועצת זכויות האדם, נוהג נשיא המועצה </w:t>
      </w:r>
      <w:r w:rsidR="00F417B6">
        <w:rPr>
          <w:rFonts w:cs="David" w:hint="cs"/>
          <w:sz w:val="28"/>
          <w:szCs w:val="28"/>
          <w:rtl/>
        </w:rPr>
        <w:t xml:space="preserve">לבקש </w:t>
      </w:r>
      <w:r w:rsidR="0018336F" w:rsidRPr="0004711E">
        <w:rPr>
          <w:rFonts w:cs="David" w:hint="cs"/>
          <w:sz w:val="28"/>
          <w:szCs w:val="28"/>
          <w:rtl/>
        </w:rPr>
        <w:t xml:space="preserve">את </w:t>
      </w:r>
      <w:r w:rsidR="0018336F" w:rsidRPr="0004711E">
        <w:rPr>
          <w:rFonts w:cs="David" w:hint="cs"/>
          <w:sz w:val="28"/>
          <w:szCs w:val="28"/>
          <w:rtl/>
        </w:rPr>
        <w:lastRenderedPageBreak/>
        <w:t xml:space="preserve">עמדתם של מדינות, ארגונים לא ממשלתיים והנציב העליון לזכויות האדם באשר למועמדים מתאימים לוועדות החקירה. ההחלטה הסופית מצויה בידי המועצה. </w:t>
      </w:r>
    </w:p>
    <w:p w:rsidR="0018336F" w:rsidRPr="0004711E" w:rsidRDefault="0018336F" w:rsidP="008B316C">
      <w:pPr>
        <w:spacing w:after="0" w:line="360" w:lineRule="auto"/>
        <w:jc w:val="both"/>
        <w:rPr>
          <w:rFonts w:cs="David"/>
          <w:sz w:val="28"/>
          <w:szCs w:val="28"/>
          <w:rtl/>
        </w:rPr>
      </w:pPr>
    </w:p>
    <w:p w:rsidR="0018336F" w:rsidRPr="0004711E" w:rsidRDefault="0018336F" w:rsidP="000F4C20">
      <w:pPr>
        <w:spacing w:after="0" w:line="360" w:lineRule="auto"/>
        <w:jc w:val="both"/>
        <w:rPr>
          <w:rFonts w:cs="David"/>
          <w:sz w:val="28"/>
          <w:szCs w:val="28"/>
          <w:rtl/>
        </w:rPr>
      </w:pPr>
      <w:r w:rsidRPr="0004711E">
        <w:rPr>
          <w:rFonts w:cs="David" w:hint="cs"/>
          <w:sz w:val="28"/>
          <w:szCs w:val="28"/>
          <w:rtl/>
        </w:rPr>
        <w:t xml:space="preserve">באשר </w:t>
      </w:r>
      <w:r w:rsidRPr="0004711E">
        <w:rPr>
          <w:rFonts w:cs="David" w:hint="cs"/>
          <w:b/>
          <w:bCs/>
          <w:sz w:val="28"/>
          <w:szCs w:val="28"/>
          <w:rtl/>
        </w:rPr>
        <w:t>למספר חברי הוועדה</w:t>
      </w:r>
      <w:r w:rsidRPr="0004711E">
        <w:rPr>
          <w:rFonts w:cs="David" w:hint="cs"/>
          <w:sz w:val="28"/>
          <w:szCs w:val="28"/>
          <w:rtl/>
        </w:rPr>
        <w:t xml:space="preserve"> מציין מדריך הנציבות, כי יש עדיפות למינוי מספר אי-זוגי של חברים (בדרך כלל שלושה או חמישה) על מנת להקל על תהליך קבלת ההחלטות במקרה שאין קונצנזוס בין חברי הוועדה. לעיתים </w:t>
      </w:r>
      <w:r w:rsidR="000F4C20">
        <w:rPr>
          <w:rFonts w:cs="David" w:hint="cs"/>
          <w:sz w:val="28"/>
          <w:szCs w:val="28"/>
          <w:rtl/>
        </w:rPr>
        <w:t xml:space="preserve">נקבע </w:t>
      </w:r>
      <w:r w:rsidRPr="0004711E">
        <w:rPr>
          <w:rFonts w:cs="David" w:hint="cs"/>
          <w:sz w:val="28"/>
          <w:szCs w:val="28"/>
          <w:rtl/>
        </w:rPr>
        <w:t xml:space="preserve">מספר החברים בהחלטת הקמת הוועדה עצמה. אחרת, </w:t>
      </w:r>
      <w:r w:rsidR="000F4C20" w:rsidRPr="0004711E">
        <w:rPr>
          <w:rFonts w:cs="David" w:hint="cs"/>
          <w:sz w:val="28"/>
          <w:szCs w:val="28"/>
          <w:rtl/>
        </w:rPr>
        <w:t xml:space="preserve">ייקבע </w:t>
      </w:r>
      <w:r w:rsidRPr="0004711E">
        <w:rPr>
          <w:rFonts w:cs="David" w:hint="cs"/>
          <w:sz w:val="28"/>
          <w:szCs w:val="28"/>
          <w:rtl/>
        </w:rPr>
        <w:t xml:space="preserve">מספר החברים באמצעות בחינה מדוקדקת של המנדט שניתן לוועדה, הפעילויות שהיא צפויה לבצע, סוג המומחיות הנדרשת, היכולת הלוגיסטית </w:t>
      </w:r>
      <w:r w:rsidR="000F4C20">
        <w:rPr>
          <w:rFonts w:cs="David" w:hint="cs"/>
          <w:sz w:val="28"/>
          <w:szCs w:val="28"/>
          <w:rtl/>
        </w:rPr>
        <w:t xml:space="preserve">שלה </w:t>
      </w:r>
      <w:r w:rsidRPr="0004711E">
        <w:rPr>
          <w:rFonts w:cs="David" w:hint="cs"/>
          <w:sz w:val="28"/>
          <w:szCs w:val="28"/>
          <w:rtl/>
        </w:rPr>
        <w:t>והמשאבים הכספיים הזמינים. גידול בכמות החברים משפיע גם על כמות המשאבים הכללית הנדרשת</w:t>
      </w:r>
      <w:r w:rsidR="00AA7260" w:rsidRPr="0004711E">
        <w:rPr>
          <w:rFonts w:cs="David" w:hint="cs"/>
          <w:sz w:val="28"/>
          <w:szCs w:val="28"/>
          <w:rtl/>
        </w:rPr>
        <w:t xml:space="preserve"> (צוות, תחבורה, בטיחות וכו'). במצבים של קשיים קיצוניים הצפויים בעבודה הוועדה ומשאבים מוגבלים, יש להעדיף מינוי ועדות קטנות. בכל מקרה, יש להתחשב גם ביכולת המזכירות ב</w:t>
      </w:r>
      <w:r w:rsidR="00F417B6">
        <w:rPr>
          <w:rFonts w:cs="David" w:hint="cs"/>
          <w:sz w:val="28"/>
          <w:szCs w:val="28"/>
          <w:rtl/>
        </w:rPr>
        <w:t>ה</w:t>
      </w:r>
      <w:r w:rsidR="00AA7260" w:rsidRPr="0004711E">
        <w:rPr>
          <w:rFonts w:cs="David" w:hint="cs"/>
          <w:sz w:val="28"/>
          <w:szCs w:val="28"/>
          <w:rtl/>
        </w:rPr>
        <w:t>קשר למספר החברים.</w:t>
      </w:r>
    </w:p>
    <w:p w:rsidR="00AA7260" w:rsidRPr="0004711E" w:rsidRDefault="00AA7260" w:rsidP="008B316C">
      <w:pPr>
        <w:spacing w:after="0" w:line="360" w:lineRule="auto"/>
        <w:jc w:val="both"/>
        <w:rPr>
          <w:rFonts w:cs="David"/>
          <w:sz w:val="28"/>
          <w:szCs w:val="28"/>
          <w:rtl/>
        </w:rPr>
      </w:pPr>
    </w:p>
    <w:p w:rsidR="00AA7260" w:rsidRPr="0004711E" w:rsidRDefault="00356A0C" w:rsidP="000F4C20">
      <w:pPr>
        <w:spacing w:after="0" w:line="360" w:lineRule="auto"/>
        <w:jc w:val="both"/>
        <w:rPr>
          <w:rFonts w:cs="David"/>
          <w:sz w:val="28"/>
          <w:szCs w:val="28"/>
          <w:rtl/>
        </w:rPr>
      </w:pPr>
      <w:r w:rsidRPr="0004711E">
        <w:rPr>
          <w:rFonts w:cs="David" w:hint="cs"/>
          <w:sz w:val="28"/>
          <w:szCs w:val="28"/>
          <w:rtl/>
        </w:rPr>
        <w:t xml:space="preserve">המדריך מזכיר כמה </w:t>
      </w:r>
      <w:r w:rsidRPr="0004711E">
        <w:rPr>
          <w:rFonts w:cs="David" w:hint="cs"/>
          <w:b/>
          <w:bCs/>
          <w:sz w:val="28"/>
          <w:szCs w:val="28"/>
          <w:rtl/>
        </w:rPr>
        <w:t>כישורים</w:t>
      </w:r>
      <w:r w:rsidRPr="0004711E">
        <w:rPr>
          <w:rFonts w:cs="David" w:hint="cs"/>
          <w:sz w:val="28"/>
          <w:szCs w:val="28"/>
          <w:rtl/>
        </w:rPr>
        <w:t xml:space="preserve"> בסיסיים</w:t>
      </w:r>
      <w:r w:rsidR="000F4C20">
        <w:rPr>
          <w:rFonts w:cs="David" w:hint="cs"/>
          <w:sz w:val="28"/>
          <w:szCs w:val="28"/>
          <w:rtl/>
        </w:rPr>
        <w:t>,</w:t>
      </w:r>
      <w:r w:rsidRPr="0004711E">
        <w:rPr>
          <w:rFonts w:cs="David" w:hint="cs"/>
          <w:sz w:val="28"/>
          <w:szCs w:val="28"/>
          <w:rtl/>
        </w:rPr>
        <w:t xml:space="preserve"> שצריכים </w:t>
      </w:r>
      <w:r w:rsidR="000F4C20" w:rsidRPr="0004711E">
        <w:rPr>
          <w:rFonts w:cs="David" w:hint="cs"/>
          <w:sz w:val="28"/>
          <w:szCs w:val="28"/>
          <w:rtl/>
        </w:rPr>
        <w:t xml:space="preserve">להנחות </w:t>
      </w:r>
      <w:r w:rsidRPr="0004711E">
        <w:rPr>
          <w:rFonts w:cs="David" w:hint="cs"/>
          <w:sz w:val="28"/>
          <w:szCs w:val="28"/>
          <w:rtl/>
        </w:rPr>
        <w:t>תמיד בעת בחירת החברים בוועדות:</w:t>
      </w:r>
    </w:p>
    <w:p w:rsidR="00356A0C" w:rsidRPr="0004711E" w:rsidRDefault="00356A0C" w:rsidP="008B316C">
      <w:pPr>
        <w:spacing w:after="0" w:line="360" w:lineRule="auto"/>
        <w:jc w:val="both"/>
        <w:rPr>
          <w:rFonts w:cs="David"/>
          <w:sz w:val="28"/>
          <w:szCs w:val="28"/>
          <w:rtl/>
        </w:rPr>
      </w:pPr>
    </w:p>
    <w:p w:rsidR="00356A0C" w:rsidRPr="0004711E" w:rsidRDefault="00356A0C" w:rsidP="008B316C">
      <w:pPr>
        <w:pStyle w:val="a9"/>
        <w:numPr>
          <w:ilvl w:val="0"/>
          <w:numId w:val="9"/>
        </w:numPr>
        <w:spacing w:after="0" w:line="360" w:lineRule="auto"/>
        <w:jc w:val="both"/>
        <w:rPr>
          <w:rFonts w:cs="David"/>
          <w:sz w:val="28"/>
          <w:szCs w:val="28"/>
          <w:rtl/>
        </w:rPr>
      </w:pPr>
      <w:r w:rsidRPr="0004711E">
        <w:rPr>
          <w:rFonts w:cs="David" w:hint="cs"/>
          <w:b/>
          <w:bCs/>
          <w:sz w:val="28"/>
          <w:szCs w:val="28"/>
          <w:rtl/>
        </w:rPr>
        <w:t xml:space="preserve">עצמאות וחוסר משוא פנים </w:t>
      </w:r>
      <w:r w:rsidRPr="0004711E">
        <w:rPr>
          <w:rFonts w:cs="David"/>
          <w:sz w:val="28"/>
          <w:szCs w:val="28"/>
          <w:rtl/>
        </w:rPr>
        <w:t>–</w:t>
      </w:r>
      <w:r w:rsidRPr="0004711E">
        <w:rPr>
          <w:rFonts w:cs="David" w:hint="cs"/>
          <w:sz w:val="28"/>
          <w:szCs w:val="28"/>
          <w:rtl/>
        </w:rPr>
        <w:t xml:space="preserve"> המועמדים צריכים להיות בעלי עבר </w:t>
      </w:r>
      <w:r w:rsidR="00A66BB6" w:rsidRPr="0004711E">
        <w:rPr>
          <w:rFonts w:cs="David" w:hint="cs"/>
          <w:sz w:val="28"/>
          <w:szCs w:val="28"/>
          <w:rtl/>
        </w:rPr>
        <w:t>מוכח של עצמאות וחוסר משוא פנים. חשוב לוודא שהרקע שלהם, ההצהרות הפומביות הקודמות שלהם או השיוך הפוליטי או האחר שלהם אינם משפיעים על עצמאותם או היעדר משוא הפנים שלהם ולא יוצרים תפיסה של הטיה;</w:t>
      </w:r>
    </w:p>
    <w:p w:rsidR="00A66BB6" w:rsidRPr="0004711E" w:rsidRDefault="00A66BB6" w:rsidP="008B316C">
      <w:pPr>
        <w:pStyle w:val="a9"/>
        <w:numPr>
          <w:ilvl w:val="0"/>
          <w:numId w:val="9"/>
        </w:numPr>
        <w:spacing w:after="0" w:line="360" w:lineRule="auto"/>
        <w:jc w:val="both"/>
        <w:rPr>
          <w:rFonts w:cs="David"/>
          <w:b/>
          <w:bCs/>
          <w:sz w:val="28"/>
          <w:szCs w:val="28"/>
        </w:rPr>
      </w:pPr>
      <w:r w:rsidRPr="0004711E">
        <w:rPr>
          <w:rFonts w:cs="David" w:hint="cs"/>
          <w:b/>
          <w:bCs/>
          <w:sz w:val="28"/>
          <w:szCs w:val="28"/>
          <w:rtl/>
        </w:rPr>
        <w:t>יכולת מוכרת וידע וניסיון משמעותיים מוכחים במשפט זכויות האדם הבינלאומי, המשפט ההומניטארי הבינלאומי והמשפט הפלילי הבינלאומי, בהתאם לעניין</w:t>
      </w:r>
      <w:r w:rsidRPr="0004711E">
        <w:rPr>
          <w:rFonts w:cs="David" w:hint="cs"/>
          <w:sz w:val="28"/>
          <w:szCs w:val="28"/>
          <w:rtl/>
        </w:rPr>
        <w:t>;</w:t>
      </w:r>
    </w:p>
    <w:p w:rsidR="00A66BB6" w:rsidRPr="0004711E" w:rsidRDefault="00A66BB6" w:rsidP="008B316C">
      <w:pPr>
        <w:pStyle w:val="a9"/>
        <w:numPr>
          <w:ilvl w:val="0"/>
          <w:numId w:val="9"/>
        </w:numPr>
        <w:spacing w:after="0" w:line="360" w:lineRule="auto"/>
        <w:jc w:val="both"/>
        <w:rPr>
          <w:rFonts w:cs="David"/>
          <w:b/>
          <w:bCs/>
          <w:sz w:val="28"/>
          <w:szCs w:val="28"/>
        </w:rPr>
      </w:pPr>
      <w:r w:rsidRPr="0004711E">
        <w:rPr>
          <w:rFonts w:cs="David" w:hint="cs"/>
          <w:b/>
          <w:bCs/>
          <w:sz w:val="28"/>
          <w:szCs w:val="28"/>
          <w:rtl/>
        </w:rPr>
        <w:t>ידע משמעותי בבירור עובדות בתחום זכויות האדם ובעקרונות, סטנדרטים ומתודולוגיה של חקירה, וניסיון מוכח בתחום</w:t>
      </w:r>
      <w:r w:rsidRPr="0004711E">
        <w:rPr>
          <w:rFonts w:cs="David" w:hint="cs"/>
          <w:sz w:val="28"/>
          <w:szCs w:val="28"/>
          <w:rtl/>
        </w:rPr>
        <w:t>;</w:t>
      </w:r>
    </w:p>
    <w:p w:rsidR="00A66BB6" w:rsidRPr="0004711E" w:rsidRDefault="00A66BB6" w:rsidP="008B316C">
      <w:pPr>
        <w:pStyle w:val="a9"/>
        <w:numPr>
          <w:ilvl w:val="0"/>
          <w:numId w:val="9"/>
        </w:numPr>
        <w:spacing w:after="0" w:line="360" w:lineRule="auto"/>
        <w:jc w:val="both"/>
        <w:rPr>
          <w:rFonts w:cs="David"/>
          <w:b/>
          <w:bCs/>
          <w:sz w:val="28"/>
          <w:szCs w:val="28"/>
        </w:rPr>
      </w:pPr>
      <w:r w:rsidRPr="0004711E">
        <w:rPr>
          <w:rFonts w:cs="David" w:hint="cs"/>
          <w:b/>
          <w:bCs/>
          <w:sz w:val="28"/>
          <w:szCs w:val="28"/>
          <w:rtl/>
        </w:rPr>
        <w:t>ניסיון בינלאומי משמעותי בתחום זכויות האדם</w:t>
      </w:r>
      <w:r w:rsidRPr="0004711E">
        <w:rPr>
          <w:rFonts w:cs="David" w:hint="cs"/>
          <w:sz w:val="28"/>
          <w:szCs w:val="28"/>
          <w:rtl/>
        </w:rPr>
        <w:t>;</w:t>
      </w:r>
    </w:p>
    <w:p w:rsidR="00A66BB6" w:rsidRPr="0004711E" w:rsidRDefault="00A66BB6" w:rsidP="008B316C">
      <w:pPr>
        <w:pStyle w:val="a9"/>
        <w:numPr>
          <w:ilvl w:val="0"/>
          <w:numId w:val="9"/>
        </w:numPr>
        <w:spacing w:after="0" w:line="360" w:lineRule="auto"/>
        <w:jc w:val="both"/>
        <w:rPr>
          <w:rFonts w:cs="David"/>
          <w:b/>
          <w:bCs/>
          <w:sz w:val="28"/>
          <w:szCs w:val="28"/>
        </w:rPr>
      </w:pPr>
      <w:r w:rsidRPr="0004711E">
        <w:rPr>
          <w:rFonts w:cs="David" w:hint="cs"/>
          <w:b/>
          <w:bCs/>
          <w:sz w:val="28"/>
          <w:szCs w:val="28"/>
          <w:rtl/>
        </w:rPr>
        <w:t>מחויבות לשמירה על כל זכויות האדם ושוויון בין המינים</w:t>
      </w:r>
      <w:r w:rsidRPr="0004711E">
        <w:rPr>
          <w:rFonts w:cs="David" w:hint="cs"/>
          <w:sz w:val="28"/>
          <w:szCs w:val="28"/>
          <w:rtl/>
        </w:rPr>
        <w:t>;</w:t>
      </w:r>
    </w:p>
    <w:p w:rsidR="00A66BB6" w:rsidRPr="0004711E" w:rsidRDefault="00A66BB6" w:rsidP="008B316C">
      <w:pPr>
        <w:pStyle w:val="a9"/>
        <w:numPr>
          <w:ilvl w:val="0"/>
          <w:numId w:val="9"/>
        </w:numPr>
        <w:spacing w:after="0" w:line="360" w:lineRule="auto"/>
        <w:jc w:val="both"/>
        <w:rPr>
          <w:rFonts w:cs="David"/>
          <w:b/>
          <w:bCs/>
          <w:sz w:val="28"/>
          <w:szCs w:val="28"/>
        </w:rPr>
      </w:pPr>
      <w:r w:rsidRPr="0004711E">
        <w:rPr>
          <w:rFonts w:cs="David" w:hint="cs"/>
          <w:b/>
          <w:bCs/>
          <w:sz w:val="28"/>
          <w:szCs w:val="28"/>
          <w:rtl/>
        </w:rPr>
        <w:t>יושרה אישית ומוסר גבוה</w:t>
      </w:r>
      <w:r w:rsidRPr="0004711E">
        <w:rPr>
          <w:rFonts w:cs="David" w:hint="cs"/>
          <w:sz w:val="28"/>
          <w:szCs w:val="28"/>
          <w:rtl/>
        </w:rPr>
        <w:t>;</w:t>
      </w:r>
    </w:p>
    <w:p w:rsidR="00A66BB6" w:rsidRPr="0004711E" w:rsidRDefault="00A66BB6" w:rsidP="008B316C">
      <w:pPr>
        <w:pStyle w:val="a9"/>
        <w:numPr>
          <w:ilvl w:val="0"/>
          <w:numId w:val="9"/>
        </w:numPr>
        <w:spacing w:after="0" w:line="360" w:lineRule="auto"/>
        <w:jc w:val="both"/>
        <w:rPr>
          <w:rFonts w:cs="David"/>
          <w:b/>
          <w:bCs/>
          <w:sz w:val="28"/>
          <w:szCs w:val="28"/>
        </w:rPr>
      </w:pPr>
      <w:r w:rsidRPr="0004711E">
        <w:rPr>
          <w:rFonts w:cs="David" w:hint="cs"/>
          <w:b/>
          <w:bCs/>
          <w:sz w:val="28"/>
          <w:szCs w:val="28"/>
          <w:rtl/>
        </w:rPr>
        <w:t>הכרת המדינה, המצב והאזור</w:t>
      </w:r>
      <w:r w:rsidRPr="0004711E">
        <w:rPr>
          <w:rFonts w:cs="David" w:hint="cs"/>
          <w:sz w:val="28"/>
          <w:szCs w:val="28"/>
          <w:rtl/>
        </w:rPr>
        <w:t xml:space="preserve"> </w:t>
      </w:r>
      <w:r w:rsidRPr="0004711E">
        <w:rPr>
          <w:rFonts w:cs="David"/>
          <w:sz w:val="28"/>
          <w:szCs w:val="28"/>
          <w:rtl/>
        </w:rPr>
        <w:t>–</w:t>
      </w:r>
      <w:r w:rsidRPr="0004711E">
        <w:rPr>
          <w:rFonts w:cs="David" w:hint="cs"/>
          <w:sz w:val="28"/>
          <w:szCs w:val="28"/>
          <w:rtl/>
        </w:rPr>
        <w:t xml:space="preserve"> לא נדרשת מכל החברים;</w:t>
      </w:r>
    </w:p>
    <w:p w:rsidR="00A66BB6" w:rsidRPr="0004711E" w:rsidRDefault="00A66BB6" w:rsidP="000F4C20">
      <w:pPr>
        <w:pStyle w:val="a9"/>
        <w:numPr>
          <w:ilvl w:val="0"/>
          <w:numId w:val="9"/>
        </w:numPr>
        <w:spacing w:after="0" w:line="360" w:lineRule="auto"/>
        <w:jc w:val="both"/>
        <w:rPr>
          <w:rFonts w:cs="David"/>
          <w:b/>
          <w:bCs/>
          <w:sz w:val="28"/>
          <w:szCs w:val="28"/>
        </w:rPr>
      </w:pPr>
      <w:r w:rsidRPr="0004711E">
        <w:rPr>
          <w:rFonts w:cs="David" w:hint="cs"/>
          <w:b/>
          <w:bCs/>
          <w:sz w:val="28"/>
          <w:szCs w:val="28"/>
          <w:rtl/>
        </w:rPr>
        <w:lastRenderedPageBreak/>
        <w:t>כישורי שפה</w:t>
      </w:r>
      <w:r w:rsidRPr="0004711E">
        <w:rPr>
          <w:rFonts w:cs="David" w:hint="cs"/>
          <w:sz w:val="28"/>
          <w:szCs w:val="28"/>
          <w:rtl/>
        </w:rPr>
        <w:t xml:space="preserve"> </w:t>
      </w:r>
      <w:r w:rsidRPr="0004711E">
        <w:rPr>
          <w:rFonts w:cs="David"/>
          <w:sz w:val="28"/>
          <w:szCs w:val="28"/>
          <w:rtl/>
        </w:rPr>
        <w:t>–</w:t>
      </w:r>
      <w:r w:rsidRPr="0004711E">
        <w:rPr>
          <w:rFonts w:cs="David" w:hint="cs"/>
          <w:sz w:val="28"/>
          <w:szCs w:val="28"/>
          <w:rtl/>
        </w:rPr>
        <w:t xml:space="preserve"> </w:t>
      </w:r>
      <w:r w:rsidR="000F4C20">
        <w:rPr>
          <w:rFonts w:cs="David" w:hint="cs"/>
          <w:sz w:val="28"/>
          <w:szCs w:val="28"/>
          <w:rtl/>
        </w:rPr>
        <w:t xml:space="preserve">על </w:t>
      </w:r>
      <w:r w:rsidRPr="0004711E">
        <w:rPr>
          <w:rFonts w:cs="David" w:hint="cs"/>
          <w:sz w:val="28"/>
          <w:szCs w:val="28"/>
          <w:rtl/>
        </w:rPr>
        <w:t>כל חברי הוועדה להיות בעלי יכולת שפה שוטפת בשפ</w:t>
      </w:r>
      <w:r w:rsidR="00F417B6">
        <w:rPr>
          <w:rFonts w:cs="David" w:hint="cs"/>
          <w:sz w:val="28"/>
          <w:szCs w:val="28"/>
          <w:rtl/>
        </w:rPr>
        <w:t>ה בה מתנהל</w:t>
      </w:r>
      <w:r w:rsidRPr="0004711E">
        <w:rPr>
          <w:rFonts w:cs="David" w:hint="cs"/>
          <w:sz w:val="28"/>
          <w:szCs w:val="28"/>
          <w:rtl/>
        </w:rPr>
        <w:t>ת הוועדה. ידע בשפה המקומית המדוברת באזור החקירה יכול להיות שימושי;</w:t>
      </w:r>
    </w:p>
    <w:p w:rsidR="00A66BB6" w:rsidRPr="0004711E" w:rsidRDefault="00A66BB6" w:rsidP="008B316C">
      <w:pPr>
        <w:pStyle w:val="a9"/>
        <w:numPr>
          <w:ilvl w:val="0"/>
          <w:numId w:val="9"/>
        </w:numPr>
        <w:spacing w:after="0" w:line="360" w:lineRule="auto"/>
        <w:jc w:val="both"/>
        <w:rPr>
          <w:rFonts w:cs="David"/>
          <w:b/>
          <w:bCs/>
          <w:sz w:val="28"/>
          <w:szCs w:val="28"/>
        </w:rPr>
      </w:pPr>
      <w:r w:rsidRPr="0004711E">
        <w:rPr>
          <w:rFonts w:cs="David" w:hint="cs"/>
          <w:b/>
          <w:bCs/>
          <w:sz w:val="28"/>
          <w:szCs w:val="28"/>
          <w:rtl/>
        </w:rPr>
        <w:t>פרופיל ציבורי וחשיפה לתפקידי מנהיגות בתחום זכויות האדם ברמה הלאומית, האזורית או הבינלאומית</w:t>
      </w:r>
      <w:r w:rsidRPr="0004711E">
        <w:rPr>
          <w:rFonts w:cs="David" w:hint="cs"/>
          <w:sz w:val="28"/>
          <w:szCs w:val="28"/>
          <w:rtl/>
        </w:rPr>
        <w:t xml:space="preserve"> </w:t>
      </w:r>
      <w:r w:rsidR="00DC1EE9" w:rsidRPr="0004711E">
        <w:rPr>
          <w:rFonts w:cs="David"/>
          <w:sz w:val="28"/>
          <w:szCs w:val="28"/>
          <w:rtl/>
        </w:rPr>
        <w:t>–</w:t>
      </w:r>
      <w:r w:rsidRPr="0004711E">
        <w:rPr>
          <w:rFonts w:cs="David" w:hint="cs"/>
          <w:sz w:val="28"/>
          <w:szCs w:val="28"/>
          <w:rtl/>
        </w:rPr>
        <w:t xml:space="preserve"> </w:t>
      </w:r>
      <w:r w:rsidR="00DC1EE9" w:rsidRPr="0004711E">
        <w:rPr>
          <w:rFonts w:cs="David" w:hint="cs"/>
          <w:sz w:val="28"/>
          <w:szCs w:val="28"/>
          <w:rtl/>
        </w:rPr>
        <w:t>חברים שהם אישויות בולטות יכולים להיות מועילים במנדטים שדורשים גישה עם פרופיל גבוה, אך זה לא צריך להיות שיקול מכריע;</w:t>
      </w:r>
    </w:p>
    <w:p w:rsidR="00DC1EE9" w:rsidRPr="0004711E" w:rsidRDefault="00DC1EE9" w:rsidP="008B316C">
      <w:pPr>
        <w:pStyle w:val="a9"/>
        <w:numPr>
          <w:ilvl w:val="0"/>
          <w:numId w:val="9"/>
        </w:numPr>
        <w:spacing w:after="0" w:line="360" w:lineRule="auto"/>
        <w:jc w:val="both"/>
        <w:rPr>
          <w:rFonts w:cs="David"/>
          <w:b/>
          <w:bCs/>
          <w:sz w:val="28"/>
          <w:szCs w:val="28"/>
        </w:rPr>
      </w:pPr>
      <w:r w:rsidRPr="0004711E">
        <w:rPr>
          <w:rFonts w:cs="David" w:hint="cs"/>
          <w:b/>
          <w:bCs/>
          <w:sz w:val="28"/>
          <w:szCs w:val="28"/>
          <w:rtl/>
        </w:rPr>
        <w:t>התאמה לתנאי המשימה/יכולת לעבוד ב</w:t>
      </w:r>
      <w:r w:rsidR="00F417B6">
        <w:rPr>
          <w:rFonts w:cs="David" w:hint="cs"/>
          <w:b/>
          <w:bCs/>
          <w:sz w:val="28"/>
          <w:szCs w:val="28"/>
          <w:rtl/>
        </w:rPr>
        <w:t xml:space="preserve">תנאים </w:t>
      </w:r>
      <w:r w:rsidRPr="0004711E">
        <w:rPr>
          <w:rFonts w:cs="David" w:hint="cs"/>
          <w:b/>
          <w:bCs/>
          <w:sz w:val="28"/>
          <w:szCs w:val="28"/>
          <w:rtl/>
        </w:rPr>
        <w:t>קשים</w:t>
      </w:r>
      <w:r w:rsidRPr="0004711E">
        <w:rPr>
          <w:rFonts w:cs="David" w:hint="cs"/>
          <w:sz w:val="28"/>
          <w:szCs w:val="28"/>
          <w:rtl/>
        </w:rPr>
        <w:t xml:space="preserve"> </w:t>
      </w:r>
      <w:r w:rsidRPr="0004711E">
        <w:rPr>
          <w:rFonts w:cs="David"/>
          <w:sz w:val="28"/>
          <w:szCs w:val="28"/>
          <w:rtl/>
        </w:rPr>
        <w:t>–</w:t>
      </w:r>
      <w:r w:rsidRPr="0004711E">
        <w:rPr>
          <w:rFonts w:cs="David" w:hint="cs"/>
          <w:sz w:val="28"/>
          <w:szCs w:val="28"/>
          <w:rtl/>
        </w:rPr>
        <w:t xml:space="preserve"> ביקורי שטח, במיוחד באזורים קשים, עשויים להצריך תשומת לב מיוחדת לתנאי הבריאות הפיסית.</w:t>
      </w:r>
    </w:p>
    <w:p w:rsidR="00DC1EE9" w:rsidRPr="0004711E" w:rsidRDefault="00DC1EE9" w:rsidP="008B316C">
      <w:pPr>
        <w:spacing w:after="0" w:line="360" w:lineRule="auto"/>
        <w:jc w:val="both"/>
        <w:rPr>
          <w:rFonts w:cs="David"/>
          <w:sz w:val="28"/>
          <w:szCs w:val="28"/>
          <w:rtl/>
        </w:rPr>
      </w:pPr>
    </w:p>
    <w:p w:rsidR="00DC1EE9" w:rsidRPr="0004711E" w:rsidRDefault="00DC1EE9" w:rsidP="008B316C">
      <w:pPr>
        <w:spacing w:after="0" w:line="360" w:lineRule="auto"/>
        <w:jc w:val="both"/>
        <w:rPr>
          <w:rFonts w:cs="David"/>
          <w:sz w:val="28"/>
          <w:szCs w:val="28"/>
          <w:rtl/>
        </w:rPr>
      </w:pPr>
      <w:r w:rsidRPr="0004711E">
        <w:rPr>
          <w:rFonts w:cs="David" w:hint="cs"/>
          <w:sz w:val="28"/>
          <w:szCs w:val="28"/>
          <w:rtl/>
        </w:rPr>
        <w:t xml:space="preserve">כמו כן, הוועדות צריכות להיות מורכבות תוך שמירה על </w:t>
      </w:r>
      <w:r w:rsidRPr="0004711E">
        <w:rPr>
          <w:rFonts w:cs="David" w:hint="cs"/>
          <w:b/>
          <w:bCs/>
          <w:sz w:val="28"/>
          <w:szCs w:val="28"/>
          <w:rtl/>
        </w:rPr>
        <w:t>איזון מגדרי</w:t>
      </w:r>
      <w:r w:rsidRPr="0004711E">
        <w:rPr>
          <w:rFonts w:cs="David" w:hint="cs"/>
          <w:sz w:val="28"/>
          <w:szCs w:val="28"/>
          <w:rtl/>
        </w:rPr>
        <w:t xml:space="preserve"> בין גברים לנשים </w:t>
      </w:r>
      <w:r w:rsidRPr="0004711E">
        <w:rPr>
          <w:rFonts w:cs="David" w:hint="cs"/>
          <w:b/>
          <w:bCs/>
          <w:sz w:val="28"/>
          <w:szCs w:val="28"/>
          <w:rtl/>
        </w:rPr>
        <w:t>וגיוון גיאוגרפי</w:t>
      </w:r>
      <w:r w:rsidR="003E5C0B">
        <w:rPr>
          <w:rStyle w:val="a7"/>
          <w:rFonts w:cs="David"/>
          <w:sz w:val="28"/>
          <w:szCs w:val="28"/>
          <w:rtl/>
        </w:rPr>
        <w:footnoteReference w:id="200"/>
      </w:r>
      <w:r w:rsidRPr="0004711E">
        <w:rPr>
          <w:rFonts w:cs="David" w:hint="cs"/>
          <w:sz w:val="28"/>
          <w:szCs w:val="28"/>
          <w:rtl/>
        </w:rPr>
        <w:t>. בעניין האחרון,</w:t>
      </w:r>
      <w:r w:rsidR="00391B49">
        <w:rPr>
          <w:rFonts w:cs="David" w:hint="cs"/>
          <w:sz w:val="28"/>
          <w:szCs w:val="28"/>
          <w:rtl/>
        </w:rPr>
        <w:t xml:space="preserve"> קובע המדריך,</w:t>
      </w:r>
      <w:r w:rsidRPr="0004711E">
        <w:rPr>
          <w:rFonts w:cs="David" w:hint="cs"/>
          <w:sz w:val="28"/>
          <w:szCs w:val="28"/>
          <w:rtl/>
        </w:rPr>
        <w:t xml:space="preserve"> הכללת נציגים מאזור המדינה הנתונה לבדיקה יכול</w:t>
      </w:r>
      <w:r w:rsidR="00F51ABB">
        <w:rPr>
          <w:rFonts w:cs="David" w:hint="cs"/>
          <w:sz w:val="28"/>
          <w:szCs w:val="28"/>
          <w:rtl/>
        </w:rPr>
        <w:t>ה</w:t>
      </w:r>
      <w:r w:rsidRPr="0004711E">
        <w:rPr>
          <w:rFonts w:cs="David" w:hint="cs"/>
          <w:sz w:val="28"/>
          <w:szCs w:val="28"/>
          <w:rtl/>
        </w:rPr>
        <w:t xml:space="preserve"> לסייע לחברי הוועדה להבין את ההקשרים הפוליטי, החוקי, החברתי והתרבותי שבהם יש לקיים את החקירה.</w:t>
      </w:r>
    </w:p>
    <w:p w:rsidR="00DC1EE9" w:rsidRPr="0004711E" w:rsidRDefault="00DC1EE9" w:rsidP="008B316C">
      <w:pPr>
        <w:spacing w:after="0" w:line="360" w:lineRule="auto"/>
        <w:jc w:val="both"/>
        <w:rPr>
          <w:rFonts w:cs="David"/>
          <w:sz w:val="28"/>
          <w:szCs w:val="28"/>
          <w:rtl/>
        </w:rPr>
      </w:pPr>
    </w:p>
    <w:p w:rsidR="00DC1EE9" w:rsidRPr="0004711E" w:rsidRDefault="00DC1EE9" w:rsidP="002A0D02">
      <w:pPr>
        <w:spacing w:after="0" w:line="360" w:lineRule="auto"/>
        <w:jc w:val="both"/>
        <w:rPr>
          <w:rFonts w:cs="David"/>
          <w:sz w:val="28"/>
          <w:szCs w:val="28"/>
          <w:rtl/>
        </w:rPr>
      </w:pPr>
      <w:r w:rsidRPr="0004711E">
        <w:rPr>
          <w:rFonts w:cs="David" w:hint="cs"/>
          <w:sz w:val="28"/>
          <w:szCs w:val="28"/>
          <w:rtl/>
        </w:rPr>
        <w:t xml:space="preserve">לפי האמור במדריך, במהלך תהליך הבחירה, על המועמדים לחשוף כל מידע שיכול להוביל לשאלות באשר לעצמאותם, </w:t>
      </w:r>
      <w:r w:rsidR="000F4C20">
        <w:rPr>
          <w:rFonts w:cs="David" w:hint="cs"/>
          <w:sz w:val="28"/>
          <w:szCs w:val="28"/>
          <w:rtl/>
        </w:rPr>
        <w:t>ל</w:t>
      </w:r>
      <w:r w:rsidRPr="0004711E">
        <w:rPr>
          <w:rFonts w:cs="David" w:hint="cs"/>
          <w:sz w:val="28"/>
          <w:szCs w:val="28"/>
          <w:rtl/>
        </w:rPr>
        <w:t>חוסר משוא הפנים שלהם ו</w:t>
      </w:r>
      <w:r w:rsidR="000F4C20">
        <w:rPr>
          <w:rFonts w:cs="David" w:hint="cs"/>
          <w:sz w:val="28"/>
          <w:szCs w:val="28"/>
          <w:rtl/>
        </w:rPr>
        <w:t>ל</w:t>
      </w:r>
      <w:r w:rsidRPr="0004711E">
        <w:rPr>
          <w:rFonts w:cs="David" w:hint="cs"/>
          <w:sz w:val="28"/>
          <w:szCs w:val="28"/>
          <w:rtl/>
        </w:rPr>
        <w:t xml:space="preserve">יושרתם, לרבות כל פרסום על נושא החקירה, </w:t>
      </w:r>
      <w:r w:rsidR="000F4C20">
        <w:rPr>
          <w:rFonts w:cs="David" w:hint="cs"/>
          <w:sz w:val="28"/>
          <w:szCs w:val="28"/>
          <w:rtl/>
        </w:rPr>
        <w:t xml:space="preserve">על </w:t>
      </w:r>
      <w:r w:rsidRPr="0004711E">
        <w:rPr>
          <w:rFonts w:cs="David" w:hint="cs"/>
          <w:sz w:val="28"/>
          <w:szCs w:val="28"/>
          <w:rtl/>
        </w:rPr>
        <w:t xml:space="preserve">שיוכים פוליטיים, אינטרס כלכלי במדינה הנוגעת בדבר או </w:t>
      </w:r>
      <w:r w:rsidR="000F4C20">
        <w:rPr>
          <w:rFonts w:cs="David" w:hint="cs"/>
          <w:sz w:val="28"/>
          <w:szCs w:val="28"/>
          <w:rtl/>
        </w:rPr>
        <w:t xml:space="preserve">על </w:t>
      </w:r>
      <w:r w:rsidRPr="0004711E">
        <w:rPr>
          <w:rFonts w:cs="David" w:hint="cs"/>
          <w:sz w:val="28"/>
          <w:szCs w:val="28"/>
          <w:rtl/>
        </w:rPr>
        <w:t xml:space="preserve">חברות בארגון שיש לו נגיעה או אינטרס בעניינים הנחקרים. הוועדות וחבריהן נמצאים תחת </w:t>
      </w:r>
      <w:r w:rsidR="00D9285E" w:rsidRPr="0004711E">
        <w:rPr>
          <w:rFonts w:cs="David" w:hint="cs"/>
          <w:sz w:val="28"/>
          <w:szCs w:val="28"/>
          <w:rtl/>
        </w:rPr>
        <w:t>ביקורת ציבורית מוגברת. חשיפה מוקדמת של מידע בידי החברים מחזקת את אמינותם ואת יכולת</w:t>
      </w:r>
      <w:r w:rsidR="000F4C20">
        <w:rPr>
          <w:rFonts w:cs="David" w:hint="cs"/>
          <w:sz w:val="28"/>
          <w:szCs w:val="28"/>
          <w:rtl/>
        </w:rPr>
        <w:t>ם</w:t>
      </w:r>
      <w:r w:rsidR="00D9285E" w:rsidRPr="0004711E">
        <w:rPr>
          <w:rFonts w:cs="David" w:hint="cs"/>
          <w:sz w:val="28"/>
          <w:szCs w:val="28"/>
          <w:rtl/>
        </w:rPr>
        <w:t xml:space="preserve"> של הוועדה ו</w:t>
      </w:r>
      <w:r w:rsidR="000F4C20">
        <w:rPr>
          <w:rFonts w:cs="David" w:hint="cs"/>
          <w:sz w:val="28"/>
          <w:szCs w:val="28"/>
          <w:rtl/>
        </w:rPr>
        <w:t xml:space="preserve">של </w:t>
      </w:r>
      <w:r w:rsidR="00D9285E" w:rsidRPr="0004711E">
        <w:rPr>
          <w:rFonts w:cs="David" w:hint="cs"/>
          <w:sz w:val="28"/>
          <w:szCs w:val="28"/>
          <w:rtl/>
        </w:rPr>
        <w:t xml:space="preserve">הגוף שהסמיך אותה להתמודד עם ניסיונות לא כנים להכפיש את עבודתם. </w:t>
      </w:r>
    </w:p>
    <w:p w:rsidR="00D9285E" w:rsidRPr="0004711E" w:rsidRDefault="00D9285E" w:rsidP="008B316C">
      <w:pPr>
        <w:spacing w:after="0" w:line="360" w:lineRule="auto"/>
        <w:jc w:val="both"/>
        <w:rPr>
          <w:rFonts w:cs="David"/>
          <w:sz w:val="28"/>
          <w:szCs w:val="28"/>
          <w:rtl/>
        </w:rPr>
      </w:pPr>
    </w:p>
    <w:p w:rsidR="00D9285E" w:rsidRPr="0004711E" w:rsidRDefault="00D9285E" w:rsidP="0022607E">
      <w:pPr>
        <w:spacing w:after="0" w:line="360" w:lineRule="auto"/>
        <w:jc w:val="both"/>
        <w:rPr>
          <w:rFonts w:cs="David"/>
          <w:sz w:val="28"/>
          <w:szCs w:val="28"/>
          <w:rtl/>
        </w:rPr>
      </w:pPr>
      <w:r w:rsidRPr="0004711E">
        <w:rPr>
          <w:rFonts w:cs="David" w:hint="cs"/>
          <w:sz w:val="28"/>
          <w:szCs w:val="28"/>
          <w:rtl/>
        </w:rPr>
        <w:t>לאחר סיום תהליך הבחירה, יוציא הגוף הממנה מכתב מינויים שיפרט את המנדט ו</w:t>
      </w:r>
      <w:r w:rsidR="000F4C20">
        <w:rPr>
          <w:rFonts w:cs="David" w:hint="cs"/>
          <w:sz w:val="28"/>
          <w:szCs w:val="28"/>
          <w:rtl/>
        </w:rPr>
        <w:t xml:space="preserve">את </w:t>
      </w:r>
      <w:r w:rsidRPr="0004711E">
        <w:rPr>
          <w:rFonts w:cs="David" w:hint="cs"/>
          <w:sz w:val="28"/>
          <w:szCs w:val="28"/>
          <w:rtl/>
        </w:rPr>
        <w:t xml:space="preserve">לוח הזמנים לעבודת הוועדה ויקבע יו"ר לוועדה מתוך אחד החברים. </w:t>
      </w:r>
      <w:r w:rsidR="0054304F" w:rsidRPr="0004711E">
        <w:rPr>
          <w:rFonts w:cs="David" w:hint="cs"/>
          <w:sz w:val="28"/>
          <w:szCs w:val="28"/>
          <w:rtl/>
        </w:rPr>
        <w:t xml:space="preserve">המכתב </w:t>
      </w:r>
      <w:r w:rsidR="00F417B6">
        <w:rPr>
          <w:rFonts w:cs="David" w:hint="cs"/>
          <w:sz w:val="28"/>
          <w:szCs w:val="28"/>
          <w:rtl/>
        </w:rPr>
        <w:t>י</w:t>
      </w:r>
      <w:r w:rsidR="0054304F" w:rsidRPr="0004711E">
        <w:rPr>
          <w:rFonts w:cs="David" w:hint="cs"/>
          <w:sz w:val="28"/>
          <w:szCs w:val="28"/>
          <w:rtl/>
        </w:rPr>
        <w:t xml:space="preserve">פרט גם את התמיכה שיספק הנציב העליון של זכויות האדם </w:t>
      </w:r>
      <w:r w:rsidR="00F417B6">
        <w:rPr>
          <w:rFonts w:cs="David" w:hint="cs"/>
          <w:sz w:val="28"/>
          <w:szCs w:val="28"/>
          <w:rtl/>
        </w:rPr>
        <w:t xml:space="preserve">לוועדה </w:t>
      </w:r>
      <w:r w:rsidR="0054304F" w:rsidRPr="0004711E">
        <w:rPr>
          <w:rFonts w:cs="David" w:hint="cs"/>
          <w:sz w:val="28"/>
          <w:szCs w:val="28"/>
          <w:rtl/>
        </w:rPr>
        <w:t>ואת תפקיד המזכירות. המועמדים בדרך כלל משרתים פרו בונו. לאחר המינוי, נדרשים החברים לחתום על הצהרה</w:t>
      </w:r>
      <w:r w:rsidR="0022607E">
        <w:rPr>
          <w:rStyle w:val="a7"/>
          <w:rFonts w:cs="David"/>
          <w:sz w:val="28"/>
          <w:szCs w:val="28"/>
          <w:rtl/>
        </w:rPr>
        <w:footnoteReference w:id="201"/>
      </w:r>
      <w:r w:rsidR="0022607E">
        <w:rPr>
          <w:rFonts w:cs="David" w:hint="cs"/>
          <w:sz w:val="28"/>
          <w:szCs w:val="28"/>
          <w:rtl/>
        </w:rPr>
        <w:t>.</w:t>
      </w:r>
    </w:p>
    <w:p w:rsidR="00FC0D4A" w:rsidRDefault="00FC0D4A" w:rsidP="008B316C">
      <w:pPr>
        <w:spacing w:after="0" w:line="360" w:lineRule="auto"/>
        <w:jc w:val="both"/>
        <w:rPr>
          <w:rFonts w:cs="David"/>
          <w:sz w:val="28"/>
          <w:szCs w:val="28"/>
          <w:rtl/>
        </w:rPr>
      </w:pPr>
    </w:p>
    <w:p w:rsidR="00FC0D4A" w:rsidRPr="00C22118" w:rsidRDefault="00FC0D4A" w:rsidP="00C22118">
      <w:pPr>
        <w:pStyle w:val="a9"/>
        <w:numPr>
          <w:ilvl w:val="0"/>
          <w:numId w:val="25"/>
        </w:numPr>
        <w:spacing w:after="0" w:line="360" w:lineRule="auto"/>
        <w:jc w:val="both"/>
        <w:outlineLvl w:val="2"/>
        <w:rPr>
          <w:rFonts w:cs="David"/>
          <w:sz w:val="28"/>
          <w:szCs w:val="28"/>
          <w:rtl/>
        </w:rPr>
      </w:pPr>
      <w:bookmarkStart w:id="54" w:name="_Toc456027326"/>
      <w:r w:rsidRPr="00C22118">
        <w:rPr>
          <w:rFonts w:cs="David" w:hint="cs"/>
          <w:sz w:val="28"/>
          <w:szCs w:val="28"/>
          <w:rtl/>
        </w:rPr>
        <w:t>טענות ביחס ל</w:t>
      </w:r>
      <w:r w:rsidR="00812992" w:rsidRPr="00C22118">
        <w:rPr>
          <w:rFonts w:cs="David" w:hint="cs"/>
          <w:sz w:val="28"/>
          <w:szCs w:val="28"/>
          <w:rtl/>
        </w:rPr>
        <w:t xml:space="preserve">הטיה נגד ישראל של </w:t>
      </w:r>
      <w:r w:rsidRPr="00C22118">
        <w:rPr>
          <w:rFonts w:cs="David" w:hint="cs"/>
          <w:sz w:val="28"/>
          <w:szCs w:val="28"/>
          <w:rtl/>
        </w:rPr>
        <w:t xml:space="preserve">חברי </w:t>
      </w:r>
      <w:r w:rsidR="009F6ED1" w:rsidRPr="00C22118">
        <w:rPr>
          <w:rFonts w:cs="David" w:hint="cs"/>
          <w:sz w:val="28"/>
          <w:szCs w:val="28"/>
          <w:rtl/>
        </w:rPr>
        <w:t xml:space="preserve">ועדות חקירה </w:t>
      </w:r>
      <w:r w:rsidRPr="00C22118">
        <w:rPr>
          <w:rFonts w:cs="David" w:hint="cs"/>
          <w:sz w:val="28"/>
          <w:szCs w:val="28"/>
          <w:rtl/>
        </w:rPr>
        <w:t>שמונו בעניינה</w:t>
      </w:r>
      <w:bookmarkEnd w:id="54"/>
    </w:p>
    <w:p w:rsidR="00FC0D4A" w:rsidRPr="0004711E" w:rsidRDefault="00FC0D4A" w:rsidP="008B316C">
      <w:pPr>
        <w:spacing w:after="0" w:line="360" w:lineRule="auto"/>
        <w:jc w:val="both"/>
        <w:rPr>
          <w:rFonts w:cs="David"/>
          <w:sz w:val="28"/>
          <w:szCs w:val="28"/>
          <w:rtl/>
        </w:rPr>
      </w:pPr>
    </w:p>
    <w:p w:rsidR="0054304F" w:rsidRPr="0004711E" w:rsidRDefault="0054304F" w:rsidP="002A0D02">
      <w:pPr>
        <w:spacing w:after="0" w:line="360" w:lineRule="auto"/>
        <w:jc w:val="both"/>
        <w:rPr>
          <w:rFonts w:cs="David"/>
          <w:sz w:val="28"/>
          <w:szCs w:val="28"/>
          <w:rtl/>
        </w:rPr>
      </w:pPr>
      <w:r w:rsidRPr="0004711E">
        <w:rPr>
          <w:rFonts w:cs="David" w:hint="cs"/>
          <w:sz w:val="28"/>
          <w:szCs w:val="28"/>
          <w:rtl/>
        </w:rPr>
        <w:t xml:space="preserve">נראה, אם כן, כי המדריך קובע קביעות ראויות באשר לתהליך הבחירה של החברים ושל הדרישות בהן </w:t>
      </w:r>
      <w:r w:rsidR="000F4C20">
        <w:rPr>
          <w:rFonts w:cs="David" w:hint="cs"/>
          <w:sz w:val="28"/>
          <w:szCs w:val="28"/>
          <w:rtl/>
        </w:rPr>
        <w:t xml:space="preserve">עליהם </w:t>
      </w:r>
      <w:r w:rsidRPr="0004711E">
        <w:rPr>
          <w:rFonts w:cs="David" w:hint="cs"/>
          <w:sz w:val="28"/>
          <w:szCs w:val="28"/>
          <w:rtl/>
        </w:rPr>
        <w:t xml:space="preserve">לעמוד. </w:t>
      </w:r>
      <w:r w:rsidR="00203A2F" w:rsidRPr="0004711E">
        <w:rPr>
          <w:rFonts w:cs="David" w:hint="cs"/>
          <w:sz w:val="28"/>
          <w:szCs w:val="28"/>
          <w:rtl/>
        </w:rPr>
        <w:t>הדרישה לפעול בחוסר משוא פנים נזכרת גם בסעיפים 3 ו-25 להצהרת העצרת על בירור עובדות, כפי שפורטו לעיל בחלק העוסק במנדט הוועדות.</w:t>
      </w:r>
      <w:r w:rsidR="002A0D02">
        <w:rPr>
          <w:rFonts w:cs="David" w:hint="cs"/>
          <w:sz w:val="28"/>
          <w:szCs w:val="28"/>
          <w:rtl/>
        </w:rPr>
        <w:t xml:space="preserve"> נראה, כי כל הדרישות הללו מחברי הוועדה יפות גם לחברי ועדות שמתמנות ע"י גופים אחרים, ולא רק על ידי מועצת זכויות האדם.</w:t>
      </w:r>
      <w:r w:rsidR="00203A2F" w:rsidRPr="0004711E">
        <w:rPr>
          <w:rFonts w:cs="David" w:hint="cs"/>
          <w:sz w:val="28"/>
          <w:szCs w:val="28"/>
          <w:rtl/>
        </w:rPr>
        <w:t xml:space="preserve"> </w:t>
      </w:r>
      <w:r w:rsidRPr="0004711E">
        <w:rPr>
          <w:rFonts w:cs="David" w:hint="cs"/>
          <w:sz w:val="28"/>
          <w:szCs w:val="28"/>
          <w:rtl/>
        </w:rPr>
        <w:t xml:space="preserve">עם זאת, נראה כי בחיי המעשה, או לפחות אלה שמוכרים לנו עד לפרסום המדריך, לא כך פעלו הדברים. למדינת ישראל היו בעבר טענות רבות כלפי חברי </w:t>
      </w:r>
      <w:r w:rsidR="001165FD">
        <w:rPr>
          <w:rFonts w:cs="David" w:hint="cs"/>
          <w:sz w:val="28"/>
          <w:szCs w:val="28"/>
          <w:rtl/>
        </w:rPr>
        <w:t>הוועדות</w:t>
      </w:r>
      <w:r w:rsidR="000F4C20">
        <w:rPr>
          <w:rFonts w:cs="David" w:hint="cs"/>
          <w:sz w:val="28"/>
          <w:szCs w:val="28"/>
          <w:rtl/>
        </w:rPr>
        <w:t>,</w:t>
      </w:r>
      <w:r w:rsidRPr="0004711E">
        <w:rPr>
          <w:rFonts w:cs="David" w:hint="cs"/>
          <w:sz w:val="28"/>
          <w:szCs w:val="28"/>
          <w:rtl/>
        </w:rPr>
        <w:t xml:space="preserve"> שנבחרו לבדוק את פעולותיה. נ</w:t>
      </w:r>
      <w:r w:rsidR="00361439" w:rsidRPr="0004711E">
        <w:rPr>
          <w:rFonts w:cs="David" w:hint="cs"/>
          <w:sz w:val="28"/>
          <w:szCs w:val="28"/>
          <w:rtl/>
        </w:rPr>
        <w:t xml:space="preserve">דגים להלן את הטענות הישראליות לעניין זה באמצעות </w:t>
      </w:r>
      <w:r w:rsidRPr="0004711E">
        <w:rPr>
          <w:rFonts w:cs="David" w:hint="cs"/>
          <w:sz w:val="28"/>
          <w:szCs w:val="28"/>
          <w:rtl/>
        </w:rPr>
        <w:t>כמה מקרים.</w:t>
      </w:r>
    </w:p>
    <w:p w:rsidR="0054304F" w:rsidRPr="0004711E" w:rsidRDefault="0054304F" w:rsidP="008B316C">
      <w:pPr>
        <w:spacing w:after="0" w:line="360" w:lineRule="auto"/>
        <w:jc w:val="both"/>
        <w:rPr>
          <w:rFonts w:cs="David"/>
          <w:sz w:val="28"/>
          <w:szCs w:val="28"/>
          <w:rtl/>
        </w:rPr>
      </w:pPr>
    </w:p>
    <w:p w:rsidR="00224FED" w:rsidRPr="0004711E" w:rsidRDefault="00224FED" w:rsidP="000F4C20">
      <w:pPr>
        <w:spacing w:after="0" w:line="360" w:lineRule="auto"/>
        <w:jc w:val="both"/>
        <w:rPr>
          <w:rFonts w:cs="David"/>
          <w:sz w:val="28"/>
          <w:szCs w:val="28"/>
          <w:rtl/>
        </w:rPr>
      </w:pPr>
      <w:r w:rsidRPr="0004711E">
        <w:rPr>
          <w:rFonts w:cs="David" w:hint="cs"/>
          <w:b/>
          <w:bCs/>
          <w:sz w:val="28"/>
          <w:szCs w:val="28"/>
          <w:rtl/>
        </w:rPr>
        <w:t>ועדת העצרת הכללית</w:t>
      </w:r>
      <w:r w:rsidRPr="0004711E">
        <w:rPr>
          <w:rFonts w:cs="David" w:hint="cs"/>
          <w:sz w:val="28"/>
          <w:szCs w:val="28"/>
          <w:rtl/>
        </w:rPr>
        <w:t xml:space="preserve"> מ-1968 כללה שלושה חברים</w:t>
      </w:r>
      <w:r w:rsidR="000F4C20">
        <w:rPr>
          <w:rFonts w:cs="David" w:hint="cs"/>
          <w:sz w:val="28"/>
          <w:szCs w:val="28"/>
          <w:rtl/>
        </w:rPr>
        <w:t>,</w:t>
      </w:r>
      <w:r w:rsidRPr="0004711E">
        <w:rPr>
          <w:rFonts w:cs="David" w:hint="cs"/>
          <w:sz w:val="28"/>
          <w:szCs w:val="28"/>
          <w:rtl/>
        </w:rPr>
        <w:t xml:space="preserve"> שמונו</w:t>
      </w:r>
      <w:r w:rsidR="00692192">
        <w:rPr>
          <w:rFonts w:cs="David" w:hint="cs"/>
          <w:sz w:val="28"/>
          <w:szCs w:val="28"/>
          <w:rtl/>
        </w:rPr>
        <w:t xml:space="preserve"> על ידי </w:t>
      </w:r>
      <w:r w:rsidRPr="0004711E">
        <w:rPr>
          <w:rFonts w:cs="David" w:hint="cs"/>
          <w:sz w:val="28"/>
          <w:szCs w:val="28"/>
          <w:rtl/>
        </w:rPr>
        <w:t xml:space="preserve">סגן נשיא העצרת, מהמדינות צילון (סרי לנקה של היום), סומליה ויוגוסלביה. באותה עת, אף אחת מהמדינות </w:t>
      </w:r>
      <w:r w:rsidR="000F4C20">
        <w:rPr>
          <w:rFonts w:cs="David" w:hint="cs"/>
          <w:sz w:val="28"/>
          <w:szCs w:val="28"/>
          <w:rtl/>
        </w:rPr>
        <w:t>הללו</w:t>
      </w:r>
      <w:r w:rsidR="000F4C20" w:rsidRPr="0004711E">
        <w:rPr>
          <w:rFonts w:cs="David" w:hint="cs"/>
          <w:sz w:val="28"/>
          <w:szCs w:val="28"/>
          <w:rtl/>
        </w:rPr>
        <w:t xml:space="preserve"> </w:t>
      </w:r>
      <w:r w:rsidRPr="0004711E">
        <w:rPr>
          <w:rFonts w:cs="David" w:hint="cs"/>
          <w:sz w:val="28"/>
          <w:szCs w:val="28"/>
          <w:rtl/>
        </w:rPr>
        <w:t>לא קיימה יחסים דיפלומטיים עם ישראל. מדינת ישראל אף ציינה כי מדינות אלה הן בעלות אוריינטציה פרו-ערבית ואנטי-ישראלית, ושסומליה אפילו הכריזה שהיא נמצאת במצב מלחמה עם ישראל</w:t>
      </w:r>
      <w:r w:rsidRPr="0004711E">
        <w:rPr>
          <w:rStyle w:val="a7"/>
          <w:rFonts w:cs="David"/>
          <w:sz w:val="28"/>
          <w:szCs w:val="28"/>
          <w:rtl/>
        </w:rPr>
        <w:footnoteReference w:id="202"/>
      </w:r>
      <w:r w:rsidRPr="0004711E">
        <w:rPr>
          <w:rFonts w:cs="David" w:hint="cs"/>
          <w:sz w:val="28"/>
          <w:szCs w:val="28"/>
          <w:rtl/>
        </w:rPr>
        <w:t>.</w:t>
      </w:r>
    </w:p>
    <w:p w:rsidR="0054304F" w:rsidRPr="0004711E" w:rsidRDefault="0054304F" w:rsidP="008B316C">
      <w:pPr>
        <w:spacing w:after="0" w:line="360" w:lineRule="auto"/>
        <w:jc w:val="both"/>
        <w:rPr>
          <w:rFonts w:cs="David"/>
          <w:sz w:val="28"/>
          <w:szCs w:val="28"/>
          <w:rtl/>
        </w:rPr>
      </w:pPr>
    </w:p>
    <w:p w:rsidR="00224FED" w:rsidRPr="0004711E" w:rsidRDefault="00224FED" w:rsidP="008B316C">
      <w:pPr>
        <w:spacing w:after="0" w:line="360" w:lineRule="auto"/>
        <w:jc w:val="both"/>
        <w:rPr>
          <w:rFonts w:cs="David"/>
          <w:sz w:val="28"/>
          <w:szCs w:val="28"/>
          <w:rtl/>
        </w:rPr>
      </w:pPr>
      <w:r w:rsidRPr="0004711E">
        <w:rPr>
          <w:rFonts w:cs="David" w:hint="cs"/>
          <w:b/>
          <w:bCs/>
          <w:sz w:val="28"/>
          <w:szCs w:val="28"/>
          <w:rtl/>
        </w:rPr>
        <w:t>ועדת הנציבות מ-1969</w:t>
      </w:r>
      <w:r w:rsidRPr="0004711E">
        <w:rPr>
          <w:rFonts w:cs="David" w:hint="cs"/>
          <w:sz w:val="28"/>
          <w:szCs w:val="28"/>
          <w:rtl/>
        </w:rPr>
        <w:t xml:space="preserve"> כללה שישה חברים, מרביתם מקבוצת המדינות הלא מזדהות, שגילתה גישה פרו-ערבית ברורה</w:t>
      </w:r>
      <w:r w:rsidRPr="0004711E">
        <w:rPr>
          <w:rStyle w:val="a7"/>
          <w:rFonts w:cs="David"/>
          <w:sz w:val="28"/>
          <w:szCs w:val="28"/>
          <w:rtl/>
        </w:rPr>
        <w:footnoteReference w:id="203"/>
      </w:r>
      <w:r w:rsidRPr="0004711E">
        <w:rPr>
          <w:rFonts w:cs="David" w:hint="cs"/>
          <w:sz w:val="28"/>
          <w:szCs w:val="28"/>
          <w:rtl/>
        </w:rPr>
        <w:t>.</w:t>
      </w:r>
    </w:p>
    <w:p w:rsidR="0054304F" w:rsidRDefault="0054304F" w:rsidP="008B316C">
      <w:pPr>
        <w:spacing w:after="0" w:line="360" w:lineRule="auto"/>
        <w:jc w:val="both"/>
        <w:rPr>
          <w:rFonts w:cs="David"/>
          <w:sz w:val="28"/>
          <w:szCs w:val="28"/>
          <w:rtl/>
        </w:rPr>
      </w:pPr>
    </w:p>
    <w:p w:rsidR="004462BB" w:rsidRDefault="004462BB" w:rsidP="000F4C20">
      <w:pPr>
        <w:spacing w:after="0" w:line="360" w:lineRule="auto"/>
        <w:jc w:val="both"/>
        <w:rPr>
          <w:rFonts w:cs="David"/>
          <w:sz w:val="28"/>
          <w:szCs w:val="28"/>
          <w:rtl/>
        </w:rPr>
      </w:pPr>
      <w:r>
        <w:rPr>
          <w:rFonts w:cs="David" w:hint="cs"/>
          <w:sz w:val="28"/>
          <w:szCs w:val="28"/>
          <w:rtl/>
        </w:rPr>
        <w:t>מרי רובינסון</w:t>
      </w:r>
      <w:r>
        <w:rPr>
          <w:rFonts w:cs="David" w:hint="cs"/>
          <w:b/>
          <w:bCs/>
          <w:sz w:val="28"/>
          <w:szCs w:val="28"/>
          <w:rtl/>
        </w:rPr>
        <w:t xml:space="preserve">, </w:t>
      </w:r>
      <w:r w:rsidRPr="004462BB">
        <w:rPr>
          <w:rFonts w:cs="David" w:hint="cs"/>
          <w:sz w:val="28"/>
          <w:szCs w:val="28"/>
          <w:rtl/>
        </w:rPr>
        <w:t>שעמדה בראש</w:t>
      </w:r>
      <w:r>
        <w:rPr>
          <w:rFonts w:cs="David" w:hint="cs"/>
          <w:b/>
          <w:bCs/>
          <w:sz w:val="28"/>
          <w:szCs w:val="28"/>
          <w:rtl/>
        </w:rPr>
        <w:t xml:space="preserve"> </w:t>
      </w:r>
      <w:r w:rsidRPr="004462BB">
        <w:rPr>
          <w:rFonts w:cs="David" w:hint="cs"/>
          <w:b/>
          <w:bCs/>
          <w:sz w:val="28"/>
          <w:szCs w:val="28"/>
          <w:rtl/>
        </w:rPr>
        <w:t>משלחת נציבת זכויות האדם</w:t>
      </w:r>
      <w:r>
        <w:rPr>
          <w:rFonts w:cs="David" w:hint="cs"/>
          <w:sz w:val="28"/>
          <w:szCs w:val="28"/>
          <w:rtl/>
        </w:rPr>
        <w:t xml:space="preserve"> זכתה גם כן לביקורת על יחסה הבלתי מאוזן לרעת ישראל בסכסוך הפלסטיני-ישראלי</w:t>
      </w:r>
      <w:r>
        <w:rPr>
          <w:rStyle w:val="a7"/>
          <w:rFonts w:cs="David"/>
          <w:sz w:val="28"/>
          <w:szCs w:val="28"/>
          <w:rtl/>
        </w:rPr>
        <w:footnoteReference w:id="204"/>
      </w:r>
      <w:r>
        <w:rPr>
          <w:rFonts w:cs="David" w:hint="cs"/>
          <w:sz w:val="28"/>
          <w:szCs w:val="28"/>
          <w:rtl/>
        </w:rPr>
        <w:t xml:space="preserve">. אומנם, מרבית </w:t>
      </w:r>
      <w:r>
        <w:rPr>
          <w:rFonts w:cs="David" w:hint="cs"/>
          <w:sz w:val="28"/>
          <w:szCs w:val="28"/>
          <w:rtl/>
        </w:rPr>
        <w:lastRenderedPageBreak/>
        <w:t>הביקורת מתייחסת</w:t>
      </w:r>
      <w:r w:rsidR="00A04751">
        <w:rPr>
          <w:rFonts w:cs="David" w:hint="cs"/>
          <w:sz w:val="28"/>
          <w:szCs w:val="28"/>
          <w:rtl/>
        </w:rPr>
        <w:t xml:space="preserve"> לדברים שקרו לאחר שעמדה בראשות המשלחת האמורה, אולם יש בדברים אלה כדי ללמד על יחסה הבסיסי המוטה כלפי ישראל, שיש להניח שה</w:t>
      </w:r>
      <w:r w:rsidR="000F4C20">
        <w:rPr>
          <w:rFonts w:cs="David" w:hint="cs"/>
          <w:sz w:val="28"/>
          <w:szCs w:val="28"/>
          <w:rtl/>
        </w:rPr>
        <w:t>ת</w:t>
      </w:r>
      <w:r w:rsidR="00A04751">
        <w:rPr>
          <w:rFonts w:cs="David" w:hint="cs"/>
          <w:sz w:val="28"/>
          <w:szCs w:val="28"/>
          <w:rtl/>
        </w:rPr>
        <w:t>קיים גם בעת שעמדה בראשות המשלחת.</w:t>
      </w:r>
    </w:p>
    <w:p w:rsidR="004462BB" w:rsidRPr="0004711E" w:rsidRDefault="004462BB" w:rsidP="008B316C">
      <w:pPr>
        <w:spacing w:after="0" w:line="360" w:lineRule="auto"/>
        <w:jc w:val="both"/>
        <w:rPr>
          <w:rFonts w:cs="David"/>
          <w:sz w:val="28"/>
          <w:szCs w:val="28"/>
          <w:rtl/>
        </w:rPr>
      </w:pPr>
    </w:p>
    <w:p w:rsidR="005935C5" w:rsidRPr="0004711E" w:rsidRDefault="005935C5" w:rsidP="008B316C">
      <w:pPr>
        <w:spacing w:after="0" w:line="360" w:lineRule="auto"/>
        <w:jc w:val="both"/>
        <w:rPr>
          <w:rFonts w:cs="David"/>
          <w:sz w:val="28"/>
          <w:szCs w:val="28"/>
          <w:rtl/>
        </w:rPr>
      </w:pPr>
      <w:r w:rsidRPr="0004711E">
        <w:rPr>
          <w:rFonts w:cs="David" w:hint="cs"/>
          <w:sz w:val="28"/>
          <w:szCs w:val="28"/>
          <w:rtl/>
        </w:rPr>
        <w:t xml:space="preserve">דזמונד טוטו, שעמד בראש </w:t>
      </w:r>
      <w:r w:rsidRPr="0004711E">
        <w:rPr>
          <w:rFonts w:cs="David" w:hint="cs"/>
          <w:b/>
          <w:bCs/>
          <w:sz w:val="28"/>
          <w:szCs w:val="28"/>
          <w:rtl/>
        </w:rPr>
        <w:t>ועדת בית חנון</w:t>
      </w:r>
      <w:r w:rsidRPr="0004711E">
        <w:rPr>
          <w:rFonts w:cs="David" w:hint="cs"/>
          <w:sz w:val="28"/>
          <w:szCs w:val="28"/>
          <w:rtl/>
        </w:rPr>
        <w:t>, היה ידוע במשך שנים ביחסו הביקורתי לישראל. כך, במהלך ביקור ב"יד ושם" בשנת 1989 הוא קרא לישראלים להתפלל עבור הנאצים ולסלוח להם, ועורר סערה גדולה</w:t>
      </w:r>
      <w:r w:rsidRPr="0004711E">
        <w:rPr>
          <w:rStyle w:val="a7"/>
          <w:rFonts w:cs="David"/>
          <w:sz w:val="28"/>
          <w:szCs w:val="28"/>
          <w:rtl/>
        </w:rPr>
        <w:footnoteReference w:id="205"/>
      </w:r>
      <w:r w:rsidRPr="0004711E">
        <w:rPr>
          <w:rFonts w:cs="David" w:hint="cs"/>
          <w:sz w:val="28"/>
          <w:szCs w:val="28"/>
          <w:rtl/>
        </w:rPr>
        <w:t>. כמו כן, הוא השווה את שלטון ישראל על הפלסטינים למשטר האפרטהייד בדרום אפריקה</w:t>
      </w:r>
      <w:r w:rsidRPr="0004711E">
        <w:rPr>
          <w:rStyle w:val="a7"/>
          <w:rFonts w:cs="David"/>
          <w:sz w:val="28"/>
          <w:szCs w:val="28"/>
          <w:rtl/>
        </w:rPr>
        <w:footnoteReference w:id="206"/>
      </w:r>
      <w:r w:rsidR="004D34A3" w:rsidRPr="0004711E">
        <w:rPr>
          <w:rFonts w:cs="David" w:hint="cs"/>
          <w:sz w:val="28"/>
          <w:szCs w:val="28"/>
          <w:rtl/>
        </w:rPr>
        <w:t xml:space="preserve"> וציין כי יש קווים מקבילים בין הציונות לגזענות</w:t>
      </w:r>
      <w:r w:rsidR="004D34A3" w:rsidRPr="0004711E">
        <w:rPr>
          <w:rStyle w:val="a7"/>
          <w:rFonts w:cs="David"/>
          <w:sz w:val="28"/>
          <w:szCs w:val="28"/>
          <w:rtl/>
        </w:rPr>
        <w:footnoteReference w:id="207"/>
      </w:r>
      <w:r w:rsidRPr="0004711E">
        <w:rPr>
          <w:rFonts w:cs="David" w:hint="cs"/>
          <w:sz w:val="28"/>
          <w:szCs w:val="28"/>
          <w:rtl/>
        </w:rPr>
        <w:t xml:space="preserve">. </w:t>
      </w:r>
      <w:r w:rsidR="004D34A3" w:rsidRPr="0004711E">
        <w:rPr>
          <w:rFonts w:cs="David" w:hint="cs"/>
          <w:sz w:val="28"/>
          <w:szCs w:val="28"/>
          <w:rtl/>
        </w:rPr>
        <w:t>טוטו גם היה בין ראשוני הקוראים להטלת חרם כלכלי על ישראל.</w:t>
      </w:r>
    </w:p>
    <w:p w:rsidR="005935C5" w:rsidRPr="0004711E" w:rsidRDefault="005935C5" w:rsidP="008B316C">
      <w:pPr>
        <w:spacing w:after="0" w:line="360" w:lineRule="auto"/>
        <w:jc w:val="both"/>
        <w:rPr>
          <w:rFonts w:cs="David"/>
          <w:sz w:val="28"/>
          <w:szCs w:val="28"/>
          <w:rtl/>
        </w:rPr>
      </w:pPr>
    </w:p>
    <w:p w:rsidR="002D24BB" w:rsidRPr="00812992" w:rsidRDefault="006C7F5D" w:rsidP="0081566C">
      <w:pPr>
        <w:pStyle w:val="NormalWeb"/>
        <w:shd w:val="clear" w:color="auto" w:fill="FFFFFF"/>
        <w:bidi/>
        <w:spacing w:before="0" w:beforeAutospacing="0" w:after="0" w:afterAutospacing="0" w:line="360" w:lineRule="auto"/>
        <w:jc w:val="both"/>
        <w:textAlignment w:val="baseline"/>
        <w:rPr>
          <w:rFonts w:asciiTheme="minorHAnsi" w:eastAsiaTheme="minorHAnsi" w:hAnsiTheme="minorHAnsi" w:cs="David"/>
          <w:sz w:val="28"/>
          <w:szCs w:val="28"/>
          <w:rtl/>
        </w:rPr>
      </w:pPr>
      <w:r w:rsidRPr="006C7F5D">
        <w:rPr>
          <w:rFonts w:cs="David" w:hint="cs"/>
          <w:sz w:val="28"/>
          <w:szCs w:val="28"/>
          <w:rtl/>
        </w:rPr>
        <w:t>אחת</w:t>
      </w:r>
      <w:r w:rsidR="002E61B8">
        <w:rPr>
          <w:rFonts w:cs="David"/>
          <w:b/>
          <w:bCs/>
          <w:sz w:val="28"/>
          <w:szCs w:val="28"/>
          <w:rtl/>
        </w:rPr>
        <w:t xml:space="preserve"> </w:t>
      </w:r>
      <w:r w:rsidR="002E61B8">
        <w:rPr>
          <w:rFonts w:cs="David" w:hint="eastAsia"/>
          <w:b/>
          <w:bCs/>
          <w:sz w:val="28"/>
          <w:szCs w:val="28"/>
          <w:rtl/>
        </w:rPr>
        <w:t>מחברות</w:t>
      </w:r>
      <w:r w:rsidR="002E61B8">
        <w:rPr>
          <w:rFonts w:cs="David"/>
          <w:b/>
          <w:bCs/>
          <w:sz w:val="28"/>
          <w:szCs w:val="28"/>
          <w:rtl/>
        </w:rPr>
        <w:t xml:space="preserve"> </w:t>
      </w:r>
      <w:r w:rsidR="002E61B8">
        <w:rPr>
          <w:rFonts w:cs="David" w:hint="eastAsia"/>
          <w:b/>
          <w:bCs/>
          <w:sz w:val="28"/>
          <w:szCs w:val="28"/>
          <w:rtl/>
        </w:rPr>
        <w:t>ועדת</w:t>
      </w:r>
      <w:r w:rsidR="002E61B8">
        <w:rPr>
          <w:rFonts w:cs="David"/>
          <w:b/>
          <w:bCs/>
          <w:sz w:val="28"/>
          <w:szCs w:val="28"/>
          <w:rtl/>
        </w:rPr>
        <w:t xml:space="preserve"> </w:t>
      </w:r>
      <w:r w:rsidR="002E61B8">
        <w:rPr>
          <w:rFonts w:cs="David" w:hint="eastAsia"/>
          <w:b/>
          <w:bCs/>
          <w:sz w:val="28"/>
          <w:szCs w:val="28"/>
          <w:rtl/>
        </w:rPr>
        <w:t>גולדסטון</w:t>
      </w:r>
      <w:r w:rsidR="002E61B8">
        <w:rPr>
          <w:rFonts w:cs="David"/>
          <w:b/>
          <w:bCs/>
          <w:sz w:val="28"/>
          <w:szCs w:val="28"/>
          <w:rtl/>
        </w:rPr>
        <w:t xml:space="preserve">, </w:t>
      </w:r>
      <w:r w:rsidR="002E61B8">
        <w:rPr>
          <w:rFonts w:cs="David" w:hint="eastAsia"/>
          <w:b/>
          <w:bCs/>
          <w:sz w:val="28"/>
          <w:szCs w:val="28"/>
          <w:rtl/>
        </w:rPr>
        <w:t>פרופסור</w:t>
      </w:r>
      <w:r w:rsidR="002E61B8">
        <w:rPr>
          <w:rFonts w:cs="David"/>
          <w:b/>
          <w:bCs/>
          <w:sz w:val="28"/>
          <w:szCs w:val="28"/>
          <w:rtl/>
        </w:rPr>
        <w:t xml:space="preserve"> </w:t>
      </w:r>
      <w:r w:rsidR="002E61B8">
        <w:rPr>
          <w:rFonts w:cs="David" w:hint="eastAsia"/>
          <w:b/>
          <w:bCs/>
          <w:sz w:val="28"/>
          <w:szCs w:val="28"/>
          <w:rtl/>
        </w:rPr>
        <w:t>כריסטין</w:t>
      </w:r>
      <w:r w:rsidR="002E61B8">
        <w:rPr>
          <w:rFonts w:cs="David"/>
          <w:b/>
          <w:bCs/>
          <w:sz w:val="28"/>
          <w:szCs w:val="28"/>
          <w:rtl/>
        </w:rPr>
        <w:t xml:space="preserve"> </w:t>
      </w:r>
      <w:r w:rsidR="002E61B8">
        <w:rPr>
          <w:rFonts w:cs="David" w:hint="eastAsia"/>
          <w:b/>
          <w:bCs/>
          <w:sz w:val="28"/>
          <w:szCs w:val="28"/>
          <w:rtl/>
        </w:rPr>
        <w:t>צ</w:t>
      </w:r>
      <w:r w:rsidR="002E61B8">
        <w:rPr>
          <w:rFonts w:cs="David"/>
          <w:b/>
          <w:bCs/>
          <w:sz w:val="28"/>
          <w:szCs w:val="28"/>
          <w:rtl/>
        </w:rPr>
        <w:t>'</w:t>
      </w:r>
      <w:r w:rsidR="002E61B8">
        <w:rPr>
          <w:rFonts w:cs="David" w:hint="eastAsia"/>
          <w:b/>
          <w:bCs/>
          <w:sz w:val="28"/>
          <w:szCs w:val="28"/>
          <w:rtl/>
        </w:rPr>
        <w:t>ינקין</w:t>
      </w:r>
      <w:r w:rsidR="002E61B8">
        <w:rPr>
          <w:rFonts w:cs="David"/>
          <w:b/>
          <w:bCs/>
          <w:sz w:val="28"/>
          <w:szCs w:val="28"/>
          <w:rtl/>
        </w:rPr>
        <w:t xml:space="preserve"> (</w:t>
      </w:r>
      <w:r w:rsidR="002E61B8">
        <w:rPr>
          <w:rFonts w:cs="David" w:hint="eastAsia"/>
          <w:b/>
          <w:bCs/>
          <w:sz w:val="28"/>
          <w:szCs w:val="28"/>
          <w:rtl/>
        </w:rPr>
        <w:t>שהייתה</w:t>
      </w:r>
      <w:r w:rsidR="002E61B8">
        <w:rPr>
          <w:rFonts w:cs="David"/>
          <w:b/>
          <w:bCs/>
          <w:sz w:val="28"/>
          <w:szCs w:val="28"/>
          <w:rtl/>
        </w:rPr>
        <w:t xml:space="preserve"> </w:t>
      </w:r>
      <w:r w:rsidR="002E61B8">
        <w:rPr>
          <w:rFonts w:cs="David" w:hint="eastAsia"/>
          <w:b/>
          <w:bCs/>
          <w:sz w:val="28"/>
          <w:szCs w:val="28"/>
          <w:rtl/>
        </w:rPr>
        <w:t>חברה</w:t>
      </w:r>
      <w:r w:rsidR="002E61B8">
        <w:rPr>
          <w:rFonts w:cs="David"/>
          <w:b/>
          <w:bCs/>
          <w:sz w:val="28"/>
          <w:szCs w:val="28"/>
          <w:rtl/>
        </w:rPr>
        <w:t xml:space="preserve"> </w:t>
      </w:r>
      <w:r w:rsidR="002E61B8">
        <w:rPr>
          <w:rFonts w:cs="David" w:hint="eastAsia"/>
          <w:b/>
          <w:bCs/>
          <w:sz w:val="28"/>
          <w:szCs w:val="28"/>
          <w:rtl/>
        </w:rPr>
        <w:t>גם</w:t>
      </w:r>
      <w:r w:rsidR="002E61B8">
        <w:rPr>
          <w:rFonts w:cs="David"/>
          <w:b/>
          <w:bCs/>
          <w:sz w:val="28"/>
          <w:szCs w:val="28"/>
          <w:rtl/>
        </w:rPr>
        <w:t xml:space="preserve"> </w:t>
      </w:r>
      <w:r w:rsidR="002E61B8">
        <w:rPr>
          <w:rFonts w:cs="David" w:hint="eastAsia"/>
          <w:b/>
          <w:bCs/>
          <w:sz w:val="28"/>
          <w:szCs w:val="28"/>
          <w:rtl/>
        </w:rPr>
        <w:t>בוועדת</w:t>
      </w:r>
      <w:r w:rsidR="002E61B8">
        <w:rPr>
          <w:rFonts w:cs="David"/>
          <w:b/>
          <w:bCs/>
          <w:sz w:val="28"/>
          <w:szCs w:val="28"/>
          <w:rtl/>
        </w:rPr>
        <w:t xml:space="preserve"> </w:t>
      </w:r>
      <w:r w:rsidR="002E61B8">
        <w:rPr>
          <w:rFonts w:cs="David" w:hint="eastAsia"/>
          <w:b/>
          <w:bCs/>
          <w:sz w:val="28"/>
          <w:szCs w:val="28"/>
          <w:rtl/>
        </w:rPr>
        <w:t>בית</w:t>
      </w:r>
      <w:r w:rsidR="002E61B8">
        <w:rPr>
          <w:rFonts w:cs="David"/>
          <w:b/>
          <w:bCs/>
          <w:sz w:val="28"/>
          <w:szCs w:val="28"/>
          <w:rtl/>
        </w:rPr>
        <w:t xml:space="preserve"> </w:t>
      </w:r>
      <w:r w:rsidR="002E61B8">
        <w:rPr>
          <w:rFonts w:cs="David" w:hint="eastAsia"/>
          <w:b/>
          <w:bCs/>
          <w:sz w:val="28"/>
          <w:szCs w:val="28"/>
          <w:rtl/>
        </w:rPr>
        <w:t>חנון</w:t>
      </w:r>
      <w:r w:rsidR="002E61B8">
        <w:rPr>
          <w:rFonts w:cs="David"/>
          <w:b/>
          <w:bCs/>
          <w:sz w:val="28"/>
          <w:szCs w:val="28"/>
          <w:rtl/>
        </w:rPr>
        <w:t xml:space="preserve">), </w:t>
      </w:r>
      <w:r w:rsidR="002E61B8">
        <w:rPr>
          <w:rFonts w:cs="David" w:hint="eastAsia"/>
          <w:b/>
          <w:bCs/>
          <w:sz w:val="28"/>
          <w:szCs w:val="28"/>
          <w:rtl/>
        </w:rPr>
        <w:t>חתמה</w:t>
      </w:r>
      <w:r w:rsidR="002E61B8">
        <w:rPr>
          <w:rFonts w:cs="David"/>
          <w:b/>
          <w:bCs/>
          <w:sz w:val="28"/>
          <w:szCs w:val="28"/>
          <w:rtl/>
        </w:rPr>
        <w:t xml:space="preserve"> </w:t>
      </w:r>
      <w:r w:rsidR="002E61B8">
        <w:rPr>
          <w:rFonts w:cs="David" w:hint="eastAsia"/>
          <w:b/>
          <w:bCs/>
          <w:sz w:val="28"/>
          <w:szCs w:val="28"/>
          <w:rtl/>
        </w:rPr>
        <w:t>ביום</w:t>
      </w:r>
      <w:r w:rsidR="002E61B8">
        <w:rPr>
          <w:rFonts w:cs="David"/>
          <w:b/>
          <w:bCs/>
          <w:sz w:val="28"/>
          <w:szCs w:val="28"/>
          <w:rtl/>
        </w:rPr>
        <w:t xml:space="preserve"> 11.01.09, </w:t>
      </w:r>
      <w:r w:rsidR="002E61B8">
        <w:rPr>
          <w:rFonts w:cs="David" w:hint="eastAsia"/>
          <w:b/>
          <w:bCs/>
          <w:sz w:val="28"/>
          <w:szCs w:val="28"/>
          <w:rtl/>
        </w:rPr>
        <w:t>בעיצומו</w:t>
      </w:r>
      <w:r w:rsidR="002E61B8">
        <w:rPr>
          <w:rFonts w:cs="David"/>
          <w:b/>
          <w:bCs/>
          <w:sz w:val="28"/>
          <w:szCs w:val="28"/>
          <w:rtl/>
        </w:rPr>
        <w:t xml:space="preserve"> </w:t>
      </w:r>
      <w:r w:rsidR="002E61B8">
        <w:rPr>
          <w:rFonts w:cs="David" w:hint="eastAsia"/>
          <w:b/>
          <w:bCs/>
          <w:sz w:val="28"/>
          <w:szCs w:val="28"/>
          <w:rtl/>
        </w:rPr>
        <w:t>של</w:t>
      </w:r>
      <w:r w:rsidR="002E61B8">
        <w:rPr>
          <w:rFonts w:cs="David"/>
          <w:b/>
          <w:bCs/>
          <w:sz w:val="28"/>
          <w:szCs w:val="28"/>
          <w:rtl/>
        </w:rPr>
        <w:t xml:space="preserve"> </w:t>
      </w:r>
      <w:r w:rsidR="002E61B8">
        <w:rPr>
          <w:rFonts w:cs="David" w:hint="eastAsia"/>
          <w:b/>
          <w:bCs/>
          <w:sz w:val="28"/>
          <w:szCs w:val="28"/>
          <w:rtl/>
        </w:rPr>
        <w:t>מבצע</w:t>
      </w:r>
      <w:r w:rsidR="002E61B8">
        <w:rPr>
          <w:rFonts w:cs="David"/>
          <w:b/>
          <w:bCs/>
          <w:sz w:val="28"/>
          <w:szCs w:val="28"/>
          <w:rtl/>
        </w:rPr>
        <w:t xml:space="preserve"> "</w:t>
      </w:r>
      <w:r w:rsidR="002E61B8">
        <w:rPr>
          <w:rFonts w:cs="David" w:hint="eastAsia"/>
          <w:b/>
          <w:bCs/>
          <w:sz w:val="28"/>
          <w:szCs w:val="28"/>
          <w:rtl/>
        </w:rPr>
        <w:t>עופרת</w:t>
      </w:r>
      <w:r w:rsidR="002E61B8">
        <w:rPr>
          <w:rFonts w:cs="David"/>
          <w:b/>
          <w:bCs/>
          <w:sz w:val="28"/>
          <w:szCs w:val="28"/>
          <w:rtl/>
        </w:rPr>
        <w:t xml:space="preserve"> </w:t>
      </w:r>
      <w:r w:rsidR="002E61B8">
        <w:rPr>
          <w:rFonts w:cs="David" w:hint="eastAsia"/>
          <w:b/>
          <w:bCs/>
          <w:sz w:val="28"/>
          <w:szCs w:val="28"/>
          <w:rtl/>
        </w:rPr>
        <w:t>יצוקה</w:t>
      </w:r>
      <w:r w:rsidR="002E61B8">
        <w:rPr>
          <w:rFonts w:cs="David"/>
          <w:b/>
          <w:bCs/>
          <w:sz w:val="28"/>
          <w:szCs w:val="28"/>
          <w:rtl/>
        </w:rPr>
        <w:t xml:space="preserve">", </w:t>
      </w:r>
      <w:r w:rsidR="002E61B8">
        <w:rPr>
          <w:rFonts w:cs="David" w:hint="eastAsia"/>
          <w:b/>
          <w:bCs/>
          <w:sz w:val="28"/>
          <w:szCs w:val="28"/>
          <w:rtl/>
        </w:rPr>
        <w:t>אותו</w:t>
      </w:r>
      <w:r w:rsidR="002E61B8">
        <w:rPr>
          <w:rFonts w:cs="David"/>
          <w:b/>
          <w:bCs/>
          <w:sz w:val="28"/>
          <w:szCs w:val="28"/>
          <w:rtl/>
        </w:rPr>
        <w:t xml:space="preserve"> </w:t>
      </w:r>
      <w:r w:rsidR="002E61B8">
        <w:rPr>
          <w:rFonts w:cs="David" w:hint="eastAsia"/>
          <w:b/>
          <w:bCs/>
          <w:sz w:val="28"/>
          <w:szCs w:val="28"/>
          <w:rtl/>
        </w:rPr>
        <w:t>המבצע</w:t>
      </w:r>
      <w:r w:rsidR="002E61B8">
        <w:rPr>
          <w:rFonts w:cs="David"/>
          <w:b/>
          <w:bCs/>
          <w:sz w:val="28"/>
          <w:szCs w:val="28"/>
          <w:rtl/>
        </w:rPr>
        <w:t xml:space="preserve"> </w:t>
      </w:r>
      <w:r w:rsidR="002E61B8">
        <w:rPr>
          <w:rFonts w:cs="David" w:hint="eastAsia"/>
          <w:b/>
          <w:bCs/>
          <w:sz w:val="28"/>
          <w:szCs w:val="28"/>
          <w:rtl/>
        </w:rPr>
        <w:t>שמונתה</w:t>
      </w:r>
      <w:r w:rsidR="002E61B8">
        <w:rPr>
          <w:rFonts w:cs="David"/>
          <w:b/>
          <w:bCs/>
          <w:sz w:val="28"/>
          <w:szCs w:val="28"/>
          <w:rtl/>
        </w:rPr>
        <w:t xml:space="preserve"> </w:t>
      </w:r>
      <w:r w:rsidR="002E61B8">
        <w:rPr>
          <w:rFonts w:cs="David" w:hint="eastAsia"/>
          <w:b/>
          <w:bCs/>
          <w:sz w:val="28"/>
          <w:szCs w:val="28"/>
          <w:rtl/>
        </w:rPr>
        <w:t>הוועדה</w:t>
      </w:r>
      <w:r w:rsidR="002E61B8">
        <w:rPr>
          <w:rFonts w:cs="David"/>
          <w:b/>
          <w:bCs/>
          <w:sz w:val="28"/>
          <w:szCs w:val="28"/>
          <w:rtl/>
        </w:rPr>
        <w:t xml:space="preserve"> </w:t>
      </w:r>
      <w:r w:rsidR="002E61B8">
        <w:rPr>
          <w:rFonts w:cs="David" w:hint="eastAsia"/>
          <w:b/>
          <w:bCs/>
          <w:sz w:val="28"/>
          <w:szCs w:val="28"/>
          <w:rtl/>
        </w:rPr>
        <w:t>לבדוק</w:t>
      </w:r>
      <w:r w:rsidR="002E61B8">
        <w:rPr>
          <w:rFonts w:cs="David"/>
          <w:b/>
          <w:bCs/>
          <w:sz w:val="28"/>
          <w:szCs w:val="28"/>
          <w:rtl/>
        </w:rPr>
        <w:t xml:space="preserve">, </w:t>
      </w:r>
      <w:r w:rsidR="002E61B8">
        <w:rPr>
          <w:rFonts w:cs="David" w:hint="eastAsia"/>
          <w:b/>
          <w:bCs/>
          <w:sz w:val="28"/>
          <w:szCs w:val="28"/>
          <w:rtl/>
        </w:rPr>
        <w:t>על</w:t>
      </w:r>
      <w:r w:rsidR="002E61B8">
        <w:rPr>
          <w:rFonts w:cs="David"/>
          <w:b/>
          <w:bCs/>
          <w:sz w:val="28"/>
          <w:szCs w:val="28"/>
          <w:rtl/>
        </w:rPr>
        <w:t xml:space="preserve"> </w:t>
      </w:r>
      <w:r w:rsidR="002E61B8">
        <w:rPr>
          <w:rFonts w:cs="David" w:hint="eastAsia"/>
          <w:b/>
          <w:bCs/>
          <w:sz w:val="28"/>
          <w:szCs w:val="28"/>
          <w:rtl/>
        </w:rPr>
        <w:t>גילוי</w:t>
      </w:r>
      <w:r w:rsidR="002E61B8">
        <w:rPr>
          <w:rFonts w:cs="David"/>
          <w:b/>
          <w:bCs/>
          <w:sz w:val="28"/>
          <w:szCs w:val="28"/>
          <w:rtl/>
        </w:rPr>
        <w:t xml:space="preserve"> </w:t>
      </w:r>
      <w:r w:rsidR="002E61B8">
        <w:rPr>
          <w:rFonts w:cs="David" w:hint="eastAsia"/>
          <w:b/>
          <w:bCs/>
          <w:sz w:val="28"/>
          <w:szCs w:val="28"/>
          <w:rtl/>
        </w:rPr>
        <w:t>דעת</w:t>
      </w:r>
      <w:r w:rsidR="002E61B8">
        <w:rPr>
          <w:rFonts w:cs="David"/>
          <w:b/>
          <w:bCs/>
          <w:sz w:val="28"/>
          <w:szCs w:val="28"/>
          <w:rtl/>
        </w:rPr>
        <w:t xml:space="preserve"> </w:t>
      </w:r>
      <w:r w:rsidR="002E61B8">
        <w:rPr>
          <w:rFonts w:cs="David" w:hint="eastAsia"/>
          <w:b/>
          <w:bCs/>
          <w:sz w:val="28"/>
          <w:szCs w:val="28"/>
          <w:rtl/>
        </w:rPr>
        <w:t>בעיתון</w:t>
      </w:r>
      <w:r w:rsidR="002E61B8">
        <w:rPr>
          <w:rFonts w:cs="David"/>
          <w:b/>
          <w:bCs/>
          <w:sz w:val="28"/>
          <w:szCs w:val="28"/>
          <w:rtl/>
        </w:rPr>
        <w:t xml:space="preserve"> </w:t>
      </w:r>
      <w:r w:rsidR="002E61B8">
        <w:rPr>
          <w:rFonts w:cs="David" w:hint="eastAsia"/>
          <w:b/>
          <w:bCs/>
          <w:sz w:val="28"/>
          <w:szCs w:val="28"/>
          <w:rtl/>
        </w:rPr>
        <w:t>סאנדיי</w:t>
      </w:r>
      <w:r w:rsidR="002E61B8">
        <w:rPr>
          <w:rFonts w:cs="David"/>
          <w:b/>
          <w:bCs/>
          <w:sz w:val="28"/>
          <w:szCs w:val="28"/>
          <w:rtl/>
        </w:rPr>
        <w:t xml:space="preserve"> </w:t>
      </w:r>
      <w:r w:rsidR="002E61B8">
        <w:rPr>
          <w:rFonts w:cs="David" w:hint="eastAsia"/>
          <w:b/>
          <w:bCs/>
          <w:sz w:val="28"/>
          <w:szCs w:val="28"/>
          <w:rtl/>
        </w:rPr>
        <w:t>טיימס</w:t>
      </w:r>
      <w:r w:rsidR="002E61B8">
        <w:rPr>
          <w:rStyle w:val="a7"/>
          <w:rFonts w:cs="David"/>
          <w:b/>
          <w:bCs/>
          <w:sz w:val="28"/>
          <w:szCs w:val="28"/>
          <w:rtl/>
        </w:rPr>
        <w:footnoteReference w:id="208"/>
      </w:r>
      <w:r w:rsidR="00D44503" w:rsidRPr="00D44503">
        <w:rPr>
          <w:rFonts w:cs="David"/>
          <w:sz w:val="28"/>
          <w:szCs w:val="28"/>
          <w:rtl/>
        </w:rPr>
        <w:t xml:space="preserve">. </w:t>
      </w:r>
      <w:r w:rsidR="00D44503" w:rsidRPr="00D44503">
        <w:rPr>
          <w:rFonts w:cs="David" w:hint="eastAsia"/>
          <w:sz w:val="28"/>
          <w:szCs w:val="28"/>
          <w:rtl/>
        </w:rPr>
        <w:t>בגילוי</w:t>
      </w:r>
      <w:r w:rsidR="00D44503" w:rsidRPr="00D44503">
        <w:rPr>
          <w:rFonts w:cs="David"/>
          <w:sz w:val="28"/>
          <w:szCs w:val="28"/>
          <w:rtl/>
        </w:rPr>
        <w:t xml:space="preserve"> </w:t>
      </w:r>
      <w:r w:rsidR="00D44503" w:rsidRPr="00D44503">
        <w:rPr>
          <w:rFonts w:cs="David" w:hint="eastAsia"/>
          <w:sz w:val="28"/>
          <w:szCs w:val="28"/>
          <w:rtl/>
        </w:rPr>
        <w:t>הדעת</w:t>
      </w:r>
      <w:r w:rsidR="00D44503" w:rsidRPr="00D44503">
        <w:rPr>
          <w:rFonts w:cs="David"/>
          <w:sz w:val="28"/>
          <w:szCs w:val="28"/>
          <w:rtl/>
        </w:rPr>
        <w:t xml:space="preserve">, </w:t>
      </w:r>
      <w:r w:rsidR="00D44503" w:rsidRPr="00D44503">
        <w:rPr>
          <w:rFonts w:cs="David" w:hint="eastAsia"/>
          <w:sz w:val="28"/>
          <w:szCs w:val="28"/>
          <w:rtl/>
        </w:rPr>
        <w:t>שכותרתו</w:t>
      </w:r>
      <w:r w:rsidR="00D44503" w:rsidRPr="00D44503">
        <w:rPr>
          <w:rFonts w:cs="David"/>
          <w:sz w:val="28"/>
          <w:szCs w:val="28"/>
          <w:rtl/>
        </w:rPr>
        <w:t xml:space="preserve"> "</w:t>
      </w:r>
      <w:r w:rsidR="00D44503" w:rsidRPr="00D44503">
        <w:rPr>
          <w:rFonts w:cs="David"/>
          <w:sz w:val="28"/>
          <w:szCs w:val="28"/>
        </w:rPr>
        <w:t>Israel’s bombardment of Gaza is not self-defence – it’s a war crime</w:t>
      </w:r>
      <w:r w:rsidR="00D44503" w:rsidRPr="00D44503">
        <w:rPr>
          <w:rFonts w:cs="David"/>
          <w:sz w:val="28"/>
          <w:szCs w:val="28"/>
          <w:rtl/>
        </w:rPr>
        <w:t xml:space="preserve">", </w:t>
      </w:r>
      <w:r w:rsidR="00D44503" w:rsidRPr="00D44503">
        <w:rPr>
          <w:rFonts w:cs="David" w:hint="eastAsia"/>
          <w:sz w:val="28"/>
          <w:szCs w:val="28"/>
          <w:rtl/>
        </w:rPr>
        <w:t>נמתחה</w:t>
      </w:r>
      <w:r w:rsidR="00D44503" w:rsidRPr="00D44503">
        <w:rPr>
          <w:rFonts w:cs="David"/>
          <w:sz w:val="28"/>
          <w:szCs w:val="28"/>
          <w:rtl/>
        </w:rPr>
        <w:t xml:space="preserve"> </w:t>
      </w:r>
      <w:r w:rsidR="00D44503" w:rsidRPr="00D44503">
        <w:rPr>
          <w:rFonts w:cs="David" w:hint="eastAsia"/>
          <w:sz w:val="28"/>
          <w:szCs w:val="28"/>
          <w:rtl/>
        </w:rPr>
        <w:t>ביקורת</w:t>
      </w:r>
      <w:r w:rsidR="00D44503" w:rsidRPr="00D44503">
        <w:rPr>
          <w:rFonts w:cs="David"/>
          <w:sz w:val="28"/>
          <w:szCs w:val="28"/>
          <w:rtl/>
        </w:rPr>
        <w:t xml:space="preserve"> </w:t>
      </w:r>
      <w:r w:rsidR="00D44503" w:rsidRPr="00D44503">
        <w:rPr>
          <w:rFonts w:cs="David" w:hint="eastAsia"/>
          <w:sz w:val="28"/>
          <w:szCs w:val="28"/>
          <w:rtl/>
        </w:rPr>
        <w:t>קשה</w:t>
      </w:r>
      <w:r w:rsidR="00D44503" w:rsidRPr="00D44503">
        <w:rPr>
          <w:rFonts w:cs="David"/>
          <w:sz w:val="28"/>
          <w:szCs w:val="28"/>
          <w:rtl/>
        </w:rPr>
        <w:t xml:space="preserve"> </w:t>
      </w:r>
      <w:r w:rsidR="00D44503" w:rsidRPr="00D44503">
        <w:rPr>
          <w:rFonts w:cs="David" w:hint="eastAsia"/>
          <w:sz w:val="28"/>
          <w:szCs w:val="28"/>
          <w:rtl/>
        </w:rPr>
        <w:t>על</w:t>
      </w:r>
      <w:r w:rsidR="00D44503" w:rsidRPr="00D44503">
        <w:rPr>
          <w:rFonts w:cs="David"/>
          <w:sz w:val="28"/>
          <w:szCs w:val="28"/>
          <w:rtl/>
        </w:rPr>
        <w:t xml:space="preserve"> </w:t>
      </w:r>
      <w:r w:rsidR="00D44503" w:rsidRPr="00D44503">
        <w:rPr>
          <w:rFonts w:cs="David" w:hint="eastAsia"/>
          <w:sz w:val="28"/>
          <w:szCs w:val="28"/>
          <w:rtl/>
        </w:rPr>
        <w:t>פעילות</w:t>
      </w:r>
      <w:r w:rsidR="00D44503" w:rsidRPr="00D44503">
        <w:rPr>
          <w:rFonts w:cs="David"/>
          <w:sz w:val="28"/>
          <w:szCs w:val="28"/>
          <w:rtl/>
        </w:rPr>
        <w:t xml:space="preserve"> </w:t>
      </w:r>
      <w:r w:rsidR="00D44503" w:rsidRPr="00D44503">
        <w:rPr>
          <w:rFonts w:cs="David" w:hint="eastAsia"/>
          <w:sz w:val="28"/>
          <w:szCs w:val="28"/>
          <w:rtl/>
        </w:rPr>
        <w:t>ישראל</w:t>
      </w:r>
      <w:r w:rsidR="00D44503" w:rsidRPr="00D44503">
        <w:rPr>
          <w:rFonts w:cs="David"/>
          <w:sz w:val="28"/>
          <w:szCs w:val="28"/>
          <w:rtl/>
        </w:rPr>
        <w:t xml:space="preserve"> </w:t>
      </w:r>
      <w:r w:rsidR="00D44503" w:rsidRPr="00D44503">
        <w:rPr>
          <w:rFonts w:cs="David" w:hint="eastAsia"/>
          <w:sz w:val="28"/>
          <w:szCs w:val="28"/>
          <w:rtl/>
        </w:rPr>
        <w:t>במבצע</w:t>
      </w:r>
      <w:r w:rsidR="00D44503" w:rsidRPr="00D44503">
        <w:rPr>
          <w:rFonts w:cs="David"/>
          <w:sz w:val="28"/>
          <w:szCs w:val="28"/>
          <w:rtl/>
        </w:rPr>
        <w:t xml:space="preserve"> "</w:t>
      </w:r>
      <w:r w:rsidR="00D44503" w:rsidRPr="00D44503">
        <w:rPr>
          <w:rFonts w:cs="David" w:hint="eastAsia"/>
          <w:sz w:val="28"/>
          <w:szCs w:val="28"/>
          <w:rtl/>
        </w:rPr>
        <w:t>עופרת</w:t>
      </w:r>
      <w:r w:rsidR="00D44503" w:rsidRPr="00D44503">
        <w:rPr>
          <w:rFonts w:cs="David"/>
          <w:sz w:val="28"/>
          <w:szCs w:val="28"/>
          <w:rtl/>
        </w:rPr>
        <w:t xml:space="preserve"> </w:t>
      </w:r>
      <w:r w:rsidR="00D44503" w:rsidRPr="00D44503">
        <w:rPr>
          <w:rFonts w:cs="David" w:hint="eastAsia"/>
          <w:sz w:val="28"/>
          <w:szCs w:val="28"/>
          <w:rtl/>
        </w:rPr>
        <w:t>יצוקה</w:t>
      </w:r>
      <w:r w:rsidR="00D44503" w:rsidRPr="00D44503">
        <w:rPr>
          <w:rFonts w:cs="David"/>
          <w:sz w:val="28"/>
          <w:szCs w:val="28"/>
          <w:rtl/>
        </w:rPr>
        <w:t xml:space="preserve">" </w:t>
      </w:r>
      <w:r w:rsidR="00D44503" w:rsidRPr="00D44503">
        <w:rPr>
          <w:rFonts w:cs="David" w:hint="eastAsia"/>
          <w:sz w:val="28"/>
          <w:szCs w:val="28"/>
          <w:rtl/>
        </w:rPr>
        <w:t>ובשנים</w:t>
      </w:r>
      <w:r w:rsidR="00D44503" w:rsidRPr="00D44503">
        <w:rPr>
          <w:rFonts w:cs="David"/>
          <w:sz w:val="28"/>
          <w:szCs w:val="28"/>
          <w:rtl/>
        </w:rPr>
        <w:t xml:space="preserve"> </w:t>
      </w:r>
      <w:r w:rsidR="00D44503" w:rsidRPr="00D44503">
        <w:rPr>
          <w:rFonts w:cs="David" w:hint="eastAsia"/>
          <w:sz w:val="28"/>
          <w:szCs w:val="28"/>
          <w:rtl/>
        </w:rPr>
        <w:t>שקדמו</w:t>
      </w:r>
      <w:r w:rsidR="00D44503" w:rsidRPr="00D44503">
        <w:rPr>
          <w:rFonts w:cs="David"/>
          <w:sz w:val="28"/>
          <w:szCs w:val="28"/>
          <w:rtl/>
        </w:rPr>
        <w:t xml:space="preserve"> </w:t>
      </w:r>
      <w:r w:rsidR="00D44503" w:rsidRPr="00D44503">
        <w:rPr>
          <w:rFonts w:cs="David" w:hint="eastAsia"/>
          <w:sz w:val="28"/>
          <w:szCs w:val="28"/>
          <w:rtl/>
        </w:rPr>
        <w:t>לו</w:t>
      </w:r>
      <w:r w:rsidR="00D44503" w:rsidRPr="00D44503">
        <w:rPr>
          <w:rFonts w:cs="David"/>
          <w:sz w:val="28"/>
          <w:szCs w:val="28"/>
          <w:rtl/>
        </w:rPr>
        <w:t xml:space="preserve">, </w:t>
      </w:r>
      <w:r w:rsidR="00D44503" w:rsidRPr="00D44503">
        <w:rPr>
          <w:rFonts w:cs="David" w:hint="eastAsia"/>
          <w:sz w:val="28"/>
          <w:szCs w:val="28"/>
          <w:rtl/>
        </w:rPr>
        <w:t>ונקבעו</w:t>
      </w:r>
      <w:r w:rsidR="00D44503" w:rsidRPr="00D44503">
        <w:rPr>
          <w:rFonts w:cs="David"/>
          <w:sz w:val="28"/>
          <w:szCs w:val="28"/>
          <w:rtl/>
        </w:rPr>
        <w:t xml:space="preserve"> </w:t>
      </w:r>
      <w:r w:rsidR="00D44503" w:rsidRPr="00D44503">
        <w:rPr>
          <w:rFonts w:cs="David" w:hint="eastAsia"/>
          <w:sz w:val="28"/>
          <w:szCs w:val="28"/>
          <w:rtl/>
        </w:rPr>
        <w:t>קביעות</w:t>
      </w:r>
      <w:r w:rsidR="00D44503" w:rsidRPr="00D44503">
        <w:rPr>
          <w:rFonts w:cs="David"/>
          <w:sz w:val="28"/>
          <w:szCs w:val="28"/>
          <w:rtl/>
        </w:rPr>
        <w:t xml:space="preserve"> </w:t>
      </w:r>
      <w:r w:rsidR="00D44503" w:rsidRPr="00D44503">
        <w:rPr>
          <w:rFonts w:cs="David" w:hint="eastAsia"/>
          <w:sz w:val="28"/>
          <w:szCs w:val="28"/>
          <w:rtl/>
        </w:rPr>
        <w:t>משפטיות</w:t>
      </w:r>
      <w:r w:rsidR="00D44503" w:rsidRPr="00D44503">
        <w:rPr>
          <w:rFonts w:cs="David"/>
          <w:sz w:val="28"/>
          <w:szCs w:val="28"/>
          <w:rtl/>
        </w:rPr>
        <w:t xml:space="preserve"> </w:t>
      </w:r>
      <w:r w:rsidR="00D44503" w:rsidRPr="00D44503">
        <w:rPr>
          <w:rFonts w:cs="David" w:hint="eastAsia"/>
          <w:sz w:val="28"/>
          <w:szCs w:val="28"/>
          <w:rtl/>
        </w:rPr>
        <w:t>נחרצות</w:t>
      </w:r>
      <w:r w:rsidR="00D44503" w:rsidRPr="00D44503">
        <w:rPr>
          <w:rFonts w:cs="David"/>
          <w:sz w:val="28"/>
          <w:szCs w:val="28"/>
          <w:rtl/>
        </w:rPr>
        <w:t xml:space="preserve"> </w:t>
      </w:r>
      <w:r w:rsidR="00D44503" w:rsidRPr="00D44503">
        <w:rPr>
          <w:rFonts w:cs="David" w:hint="eastAsia"/>
          <w:sz w:val="28"/>
          <w:szCs w:val="28"/>
          <w:rtl/>
        </w:rPr>
        <w:t>באשר</w:t>
      </w:r>
      <w:r w:rsidR="00D44503" w:rsidRPr="00D44503">
        <w:rPr>
          <w:rFonts w:cs="David"/>
          <w:sz w:val="28"/>
          <w:szCs w:val="28"/>
          <w:rtl/>
        </w:rPr>
        <w:t xml:space="preserve"> </w:t>
      </w:r>
      <w:r w:rsidR="00D44503" w:rsidRPr="00D44503">
        <w:rPr>
          <w:rFonts w:cs="David" w:hint="eastAsia"/>
          <w:sz w:val="28"/>
          <w:szCs w:val="28"/>
          <w:rtl/>
        </w:rPr>
        <w:t>לחוקיות</w:t>
      </w:r>
      <w:r w:rsidR="00D44503" w:rsidRPr="00D44503">
        <w:rPr>
          <w:rFonts w:cs="David"/>
          <w:sz w:val="28"/>
          <w:szCs w:val="28"/>
          <w:rtl/>
        </w:rPr>
        <w:t xml:space="preserve"> </w:t>
      </w:r>
      <w:r w:rsidR="00D44503" w:rsidRPr="00D44503">
        <w:rPr>
          <w:rFonts w:cs="David" w:hint="eastAsia"/>
          <w:sz w:val="28"/>
          <w:szCs w:val="28"/>
          <w:rtl/>
        </w:rPr>
        <w:t>פעולותיה</w:t>
      </w:r>
      <w:r w:rsidR="00D44503" w:rsidRPr="00D44503">
        <w:rPr>
          <w:rFonts w:cs="David"/>
          <w:sz w:val="28"/>
          <w:szCs w:val="28"/>
          <w:rtl/>
        </w:rPr>
        <w:t xml:space="preserve"> </w:t>
      </w:r>
      <w:r w:rsidR="00D44503" w:rsidRPr="00D44503">
        <w:rPr>
          <w:rFonts w:cs="David" w:hint="eastAsia"/>
          <w:sz w:val="28"/>
          <w:szCs w:val="28"/>
          <w:rtl/>
        </w:rPr>
        <w:t>של</w:t>
      </w:r>
      <w:r w:rsidR="00D44503" w:rsidRPr="00D44503">
        <w:rPr>
          <w:rFonts w:cs="David"/>
          <w:sz w:val="28"/>
          <w:szCs w:val="28"/>
          <w:rtl/>
        </w:rPr>
        <w:t xml:space="preserve"> </w:t>
      </w:r>
      <w:r w:rsidR="00D44503" w:rsidRPr="00D44503">
        <w:rPr>
          <w:rFonts w:cs="David" w:hint="eastAsia"/>
          <w:sz w:val="28"/>
          <w:szCs w:val="28"/>
          <w:rtl/>
        </w:rPr>
        <w:t>ישראל</w:t>
      </w:r>
      <w:r w:rsidR="00D44503" w:rsidRPr="00D44503">
        <w:rPr>
          <w:rFonts w:cs="David"/>
          <w:sz w:val="28"/>
          <w:szCs w:val="28"/>
          <w:rtl/>
        </w:rPr>
        <w:t xml:space="preserve"> </w:t>
      </w:r>
      <w:r w:rsidR="00D44503" w:rsidRPr="00D44503">
        <w:rPr>
          <w:rFonts w:cs="David" w:hint="eastAsia"/>
          <w:sz w:val="28"/>
          <w:szCs w:val="28"/>
          <w:rtl/>
        </w:rPr>
        <w:t>במבצע</w:t>
      </w:r>
      <w:r w:rsidR="00D44503" w:rsidRPr="00D44503">
        <w:rPr>
          <w:rFonts w:cs="David"/>
          <w:sz w:val="28"/>
          <w:szCs w:val="28"/>
          <w:rtl/>
        </w:rPr>
        <w:t xml:space="preserve"> </w:t>
      </w:r>
      <w:r w:rsidR="00D44503" w:rsidRPr="00D44503">
        <w:rPr>
          <w:rFonts w:cs="David" w:hint="eastAsia"/>
          <w:sz w:val="28"/>
          <w:szCs w:val="28"/>
          <w:rtl/>
        </w:rPr>
        <w:t>ולמעמדה</w:t>
      </w:r>
      <w:r w:rsidR="00D44503" w:rsidRPr="00D44503">
        <w:rPr>
          <w:rFonts w:cs="David"/>
          <w:sz w:val="28"/>
          <w:szCs w:val="28"/>
          <w:rtl/>
        </w:rPr>
        <w:t xml:space="preserve"> </w:t>
      </w:r>
      <w:r w:rsidR="00D44503" w:rsidRPr="00D44503">
        <w:rPr>
          <w:rFonts w:cs="David" w:hint="eastAsia"/>
          <w:sz w:val="28"/>
          <w:szCs w:val="28"/>
          <w:rtl/>
        </w:rPr>
        <w:t>של</w:t>
      </w:r>
      <w:r w:rsidR="00D44503" w:rsidRPr="00D44503">
        <w:rPr>
          <w:rFonts w:cs="David"/>
          <w:sz w:val="28"/>
          <w:szCs w:val="28"/>
          <w:rtl/>
        </w:rPr>
        <w:t xml:space="preserve"> </w:t>
      </w:r>
      <w:r w:rsidR="00D44503" w:rsidRPr="00D44503">
        <w:rPr>
          <w:rFonts w:cs="David" w:hint="eastAsia"/>
          <w:sz w:val="28"/>
          <w:szCs w:val="28"/>
          <w:rtl/>
        </w:rPr>
        <w:t>רצועת</w:t>
      </w:r>
      <w:r w:rsidR="00D44503" w:rsidRPr="00D44503">
        <w:rPr>
          <w:rFonts w:cs="David"/>
          <w:sz w:val="28"/>
          <w:szCs w:val="28"/>
          <w:rtl/>
        </w:rPr>
        <w:t xml:space="preserve"> </w:t>
      </w:r>
      <w:r w:rsidR="00D44503" w:rsidRPr="00D44503">
        <w:rPr>
          <w:rFonts w:cs="David" w:hint="eastAsia"/>
          <w:sz w:val="28"/>
          <w:szCs w:val="28"/>
          <w:rtl/>
        </w:rPr>
        <w:t>עזה</w:t>
      </w:r>
      <w:r w:rsidR="00D44503" w:rsidRPr="00D44503">
        <w:rPr>
          <w:rFonts w:cs="David"/>
          <w:sz w:val="28"/>
          <w:szCs w:val="28"/>
          <w:rtl/>
        </w:rPr>
        <w:t xml:space="preserve"> </w:t>
      </w:r>
      <w:r w:rsidR="00D44503" w:rsidRPr="00D44503">
        <w:rPr>
          <w:rFonts w:cs="David" w:hint="eastAsia"/>
          <w:sz w:val="28"/>
          <w:szCs w:val="28"/>
          <w:rtl/>
        </w:rPr>
        <w:t>כשטח</w:t>
      </w:r>
      <w:r w:rsidR="00D44503" w:rsidRPr="00D44503">
        <w:rPr>
          <w:rFonts w:cs="David"/>
          <w:sz w:val="28"/>
          <w:szCs w:val="28"/>
          <w:rtl/>
        </w:rPr>
        <w:t xml:space="preserve"> </w:t>
      </w:r>
      <w:r w:rsidR="00D44503" w:rsidRPr="00D44503">
        <w:rPr>
          <w:rFonts w:cs="David" w:hint="eastAsia"/>
          <w:sz w:val="28"/>
          <w:szCs w:val="28"/>
          <w:rtl/>
        </w:rPr>
        <w:t>כבוש</w:t>
      </w:r>
      <w:r w:rsidRPr="006C7F5D">
        <w:rPr>
          <w:rStyle w:val="a7"/>
          <w:rFonts w:cs="David"/>
          <w:sz w:val="28"/>
          <w:szCs w:val="28"/>
          <w:rtl/>
        </w:rPr>
        <w:footnoteReference w:id="209"/>
      </w:r>
      <w:r w:rsidR="00D44503" w:rsidRPr="00D44503">
        <w:rPr>
          <w:rFonts w:cs="David"/>
          <w:sz w:val="28"/>
          <w:szCs w:val="28"/>
          <w:rtl/>
        </w:rPr>
        <w:t xml:space="preserve">. </w:t>
      </w:r>
      <w:r w:rsidR="002D24BB" w:rsidRPr="00812992">
        <w:rPr>
          <w:rFonts w:asciiTheme="minorHAnsi" w:eastAsiaTheme="minorHAnsi" w:hAnsiTheme="minorHAnsi" w:cs="David" w:hint="cs"/>
          <w:sz w:val="28"/>
          <w:szCs w:val="28"/>
          <w:rtl/>
        </w:rPr>
        <w:t>קריאות להתפטרותה של פרופסור צ'ינקין מהוועדה</w:t>
      </w:r>
      <w:r w:rsidR="002D24BB" w:rsidRPr="00812992">
        <w:rPr>
          <w:rStyle w:val="a7"/>
          <w:rFonts w:asciiTheme="minorHAnsi" w:eastAsiaTheme="minorHAnsi" w:hAnsiTheme="minorHAnsi" w:cs="David"/>
          <w:sz w:val="28"/>
          <w:szCs w:val="28"/>
          <w:rtl/>
        </w:rPr>
        <w:footnoteReference w:id="210"/>
      </w:r>
      <w:r w:rsidR="003B4801" w:rsidRPr="00812992">
        <w:rPr>
          <w:rFonts w:asciiTheme="minorHAnsi" w:eastAsiaTheme="minorHAnsi" w:hAnsiTheme="minorHAnsi" w:cs="David" w:hint="cs"/>
          <w:sz w:val="28"/>
          <w:szCs w:val="28"/>
          <w:rtl/>
        </w:rPr>
        <w:t>,</w:t>
      </w:r>
      <w:r w:rsidR="002D24BB" w:rsidRPr="00812992">
        <w:rPr>
          <w:rFonts w:asciiTheme="minorHAnsi" w:eastAsiaTheme="minorHAnsi" w:hAnsiTheme="minorHAnsi" w:cs="David" w:hint="cs"/>
          <w:sz w:val="28"/>
          <w:szCs w:val="28"/>
          <w:rtl/>
        </w:rPr>
        <w:t xml:space="preserve"> בעקבות חתימתה על גילוי הדעת האמור</w:t>
      </w:r>
      <w:r w:rsidR="003B4801" w:rsidRPr="00812992">
        <w:rPr>
          <w:rFonts w:asciiTheme="minorHAnsi" w:eastAsiaTheme="minorHAnsi" w:hAnsiTheme="minorHAnsi" w:cs="David" w:hint="cs"/>
          <w:sz w:val="28"/>
          <w:szCs w:val="28"/>
          <w:rtl/>
        </w:rPr>
        <w:t>,</w:t>
      </w:r>
      <w:r w:rsidR="002D24BB" w:rsidRPr="00812992">
        <w:rPr>
          <w:rFonts w:asciiTheme="minorHAnsi" w:eastAsiaTheme="minorHAnsi" w:hAnsiTheme="minorHAnsi" w:cs="David" w:hint="cs"/>
          <w:sz w:val="28"/>
          <w:szCs w:val="28"/>
          <w:rtl/>
        </w:rPr>
        <w:t xml:space="preserve"> </w:t>
      </w:r>
      <w:r w:rsidR="0081566C" w:rsidRPr="00812992">
        <w:rPr>
          <w:rFonts w:asciiTheme="minorHAnsi" w:eastAsiaTheme="minorHAnsi" w:hAnsiTheme="minorHAnsi" w:cs="David" w:hint="cs"/>
          <w:sz w:val="28"/>
          <w:szCs w:val="28"/>
          <w:rtl/>
        </w:rPr>
        <w:t>לא נענו</w:t>
      </w:r>
      <w:r w:rsidR="002D24BB" w:rsidRPr="00812992">
        <w:rPr>
          <w:rFonts w:asciiTheme="minorHAnsi" w:eastAsiaTheme="minorHAnsi" w:hAnsiTheme="minorHAnsi" w:cs="David" w:hint="cs"/>
          <w:sz w:val="28"/>
          <w:szCs w:val="28"/>
          <w:rtl/>
        </w:rPr>
        <w:t>.</w:t>
      </w:r>
    </w:p>
    <w:p w:rsidR="002D24BB" w:rsidRPr="0004711E" w:rsidRDefault="002D24BB" w:rsidP="008B316C">
      <w:pPr>
        <w:pStyle w:val="1"/>
        <w:shd w:val="clear" w:color="auto" w:fill="FFFFFF"/>
        <w:bidi/>
        <w:spacing w:before="0" w:beforeAutospacing="0" w:after="0" w:afterAutospacing="0" w:line="360" w:lineRule="auto"/>
        <w:jc w:val="both"/>
        <w:textAlignment w:val="baseline"/>
        <w:rPr>
          <w:rFonts w:asciiTheme="minorHAnsi" w:eastAsiaTheme="minorHAnsi" w:hAnsiTheme="minorHAnsi" w:cs="David"/>
          <w:b w:val="0"/>
          <w:bCs w:val="0"/>
          <w:kern w:val="0"/>
          <w:sz w:val="28"/>
          <w:szCs w:val="28"/>
        </w:rPr>
      </w:pPr>
    </w:p>
    <w:p w:rsidR="008D1F8B" w:rsidRPr="0004711E" w:rsidRDefault="00A04F69" w:rsidP="003B4801">
      <w:pPr>
        <w:spacing w:after="0" w:line="360" w:lineRule="auto"/>
        <w:jc w:val="both"/>
        <w:rPr>
          <w:rFonts w:cs="David"/>
          <w:sz w:val="28"/>
          <w:szCs w:val="28"/>
          <w:rtl/>
        </w:rPr>
      </w:pPr>
      <w:r w:rsidRPr="0004711E">
        <w:rPr>
          <w:rFonts w:cs="David" w:hint="cs"/>
          <w:sz w:val="28"/>
          <w:szCs w:val="28"/>
          <w:rtl/>
        </w:rPr>
        <w:t xml:space="preserve">חבר נוסף בוועדת גולדסטון, קצין הצבא האירי לשעבר, קולונל דזמונד טרוורס, לא התבטא </w:t>
      </w:r>
      <w:r w:rsidR="003B4801" w:rsidRPr="0004711E">
        <w:rPr>
          <w:rFonts w:cs="David" w:hint="cs"/>
          <w:sz w:val="28"/>
          <w:szCs w:val="28"/>
          <w:rtl/>
        </w:rPr>
        <w:t xml:space="preserve">אומנם </w:t>
      </w:r>
      <w:r w:rsidRPr="0004711E">
        <w:rPr>
          <w:rFonts w:cs="David" w:hint="cs"/>
          <w:sz w:val="28"/>
          <w:szCs w:val="28"/>
          <w:rtl/>
        </w:rPr>
        <w:t xml:space="preserve">באופן </w:t>
      </w:r>
      <w:r w:rsidR="00BE5BBB" w:rsidRPr="0004711E">
        <w:rPr>
          <w:rFonts w:cs="David" w:hint="cs"/>
          <w:sz w:val="28"/>
          <w:szCs w:val="28"/>
          <w:rtl/>
        </w:rPr>
        <w:t xml:space="preserve">שמעיד על הטיה כנגד ישראל </w:t>
      </w:r>
      <w:r w:rsidR="00BE5BBB" w:rsidRPr="008310CC">
        <w:rPr>
          <w:rFonts w:cs="David" w:hint="cs"/>
          <w:b/>
          <w:bCs/>
          <w:sz w:val="28"/>
          <w:szCs w:val="28"/>
          <w:rtl/>
        </w:rPr>
        <w:t>לפני</w:t>
      </w:r>
      <w:r w:rsidR="00BE5BBB" w:rsidRPr="0004711E">
        <w:rPr>
          <w:rFonts w:cs="David" w:hint="cs"/>
          <w:sz w:val="28"/>
          <w:szCs w:val="28"/>
          <w:rtl/>
        </w:rPr>
        <w:t xml:space="preserve"> חברותו בוועדה, אולם דברים שאמר </w:t>
      </w:r>
      <w:r w:rsidR="00BE5BBB" w:rsidRPr="008310CC">
        <w:rPr>
          <w:rFonts w:cs="David" w:hint="cs"/>
          <w:b/>
          <w:bCs/>
          <w:sz w:val="28"/>
          <w:szCs w:val="28"/>
          <w:rtl/>
        </w:rPr>
        <w:t>לאחר</w:t>
      </w:r>
      <w:r w:rsidR="00BE5BBB" w:rsidRPr="0004711E">
        <w:rPr>
          <w:rFonts w:cs="David" w:hint="cs"/>
          <w:sz w:val="28"/>
          <w:szCs w:val="28"/>
          <w:rtl/>
        </w:rPr>
        <w:t xml:space="preserve"> פרסום דוח הוועדה מעלים את החשש כי למעשה היה מוטה כנגד ישראל עוד בזמן עבודת הוועדה. כך, </w:t>
      </w:r>
      <w:r w:rsidR="008D1F8B" w:rsidRPr="0004711E">
        <w:rPr>
          <w:rFonts w:cs="David" w:hint="cs"/>
          <w:sz w:val="28"/>
          <w:szCs w:val="28"/>
          <w:rtl/>
        </w:rPr>
        <w:t>במאמר שפורסם</w:t>
      </w:r>
      <w:r w:rsidR="00692192">
        <w:rPr>
          <w:rFonts w:cs="David" w:hint="cs"/>
          <w:sz w:val="28"/>
          <w:szCs w:val="28"/>
          <w:rtl/>
        </w:rPr>
        <w:t xml:space="preserve"> על ידי </w:t>
      </w:r>
      <w:r w:rsidR="008D1F8B" w:rsidRPr="0004711E">
        <w:rPr>
          <w:rFonts w:cs="David" w:hint="cs"/>
          <w:sz w:val="28"/>
          <w:szCs w:val="28"/>
          <w:rtl/>
        </w:rPr>
        <w:t>ד"ר דורי גולד</w:t>
      </w:r>
      <w:r w:rsidR="008D1F8B" w:rsidRPr="0004711E">
        <w:rPr>
          <w:rStyle w:val="a7"/>
          <w:rFonts w:cs="David"/>
          <w:sz w:val="28"/>
          <w:szCs w:val="28"/>
          <w:rtl/>
        </w:rPr>
        <w:footnoteReference w:id="211"/>
      </w:r>
      <w:r w:rsidR="008D1F8B" w:rsidRPr="0004711E">
        <w:rPr>
          <w:rFonts w:cs="David" w:hint="cs"/>
          <w:sz w:val="28"/>
          <w:szCs w:val="28"/>
          <w:rtl/>
        </w:rPr>
        <w:t>, נסקרו אמירות של טרוורס ממספר ראיונות שנתן לאחר פרסום הדוח</w:t>
      </w:r>
      <w:r w:rsidR="0081566C">
        <w:rPr>
          <w:rStyle w:val="a7"/>
          <w:rFonts w:cs="David"/>
          <w:sz w:val="28"/>
          <w:szCs w:val="28"/>
          <w:rtl/>
        </w:rPr>
        <w:footnoteReference w:id="212"/>
      </w:r>
      <w:r w:rsidR="008D1F8B" w:rsidRPr="0004711E">
        <w:rPr>
          <w:rFonts w:cs="David" w:hint="cs"/>
          <w:sz w:val="28"/>
          <w:szCs w:val="28"/>
          <w:rtl/>
        </w:rPr>
        <w:t xml:space="preserve">. </w:t>
      </w:r>
      <w:r w:rsidR="00C34443" w:rsidRPr="0004711E">
        <w:rPr>
          <w:rFonts w:cs="David" w:hint="cs"/>
          <w:sz w:val="28"/>
          <w:szCs w:val="28"/>
          <w:rtl/>
        </w:rPr>
        <w:t>הצבר כל האמירות הללו</w:t>
      </w:r>
      <w:r w:rsidR="003B4801">
        <w:rPr>
          <w:rFonts w:cs="David" w:hint="cs"/>
          <w:sz w:val="28"/>
          <w:szCs w:val="28"/>
          <w:rtl/>
        </w:rPr>
        <w:t xml:space="preserve"> של </w:t>
      </w:r>
      <w:r w:rsidR="00C34443" w:rsidRPr="0004711E">
        <w:rPr>
          <w:rFonts w:cs="David" w:hint="cs"/>
          <w:sz w:val="28"/>
          <w:szCs w:val="28"/>
          <w:rtl/>
        </w:rPr>
        <w:t>טרוורס</w:t>
      </w:r>
      <w:r w:rsidR="003B4801">
        <w:rPr>
          <w:rFonts w:cs="David" w:hint="cs"/>
          <w:sz w:val="28"/>
          <w:szCs w:val="28"/>
          <w:rtl/>
        </w:rPr>
        <w:t>, שנאמרו</w:t>
      </w:r>
      <w:r w:rsidR="00C34443" w:rsidRPr="0004711E">
        <w:rPr>
          <w:rFonts w:cs="David" w:hint="cs"/>
          <w:sz w:val="28"/>
          <w:szCs w:val="28"/>
          <w:rtl/>
        </w:rPr>
        <w:t xml:space="preserve"> לאחר פרסום הדוח</w:t>
      </w:r>
      <w:r w:rsidR="003B4801">
        <w:rPr>
          <w:rFonts w:cs="David" w:hint="cs"/>
          <w:sz w:val="28"/>
          <w:szCs w:val="28"/>
          <w:rtl/>
        </w:rPr>
        <w:t xml:space="preserve"> - </w:t>
      </w:r>
      <w:r w:rsidR="00C34443" w:rsidRPr="0004711E">
        <w:rPr>
          <w:rFonts w:cs="David" w:hint="cs"/>
          <w:sz w:val="28"/>
          <w:szCs w:val="28"/>
          <w:rtl/>
        </w:rPr>
        <w:t>אך מתייחסות גם לדרך בה פעל בעת היותו חבר בוועדה</w:t>
      </w:r>
      <w:r w:rsidR="003B4801">
        <w:rPr>
          <w:rFonts w:cs="David" w:hint="cs"/>
          <w:sz w:val="28"/>
          <w:szCs w:val="28"/>
          <w:rtl/>
        </w:rPr>
        <w:t xml:space="preserve"> - </w:t>
      </w:r>
      <w:r w:rsidR="00C34443" w:rsidRPr="0004711E">
        <w:rPr>
          <w:rFonts w:cs="David" w:hint="cs"/>
          <w:sz w:val="28"/>
          <w:szCs w:val="28"/>
          <w:rtl/>
        </w:rPr>
        <w:t xml:space="preserve">מעלה את החשש לכך שגם בזמן עבודת הוועדה הוא גילה הטיה כנגד ישראל ולא ביצע </w:t>
      </w:r>
      <w:r w:rsidR="003B4801">
        <w:rPr>
          <w:rFonts w:cs="David" w:hint="cs"/>
          <w:sz w:val="28"/>
          <w:szCs w:val="28"/>
          <w:rtl/>
        </w:rPr>
        <w:t xml:space="preserve">את </w:t>
      </w:r>
      <w:r w:rsidR="00C34443" w:rsidRPr="0004711E">
        <w:rPr>
          <w:rFonts w:cs="David" w:hint="cs"/>
          <w:sz w:val="28"/>
          <w:szCs w:val="28"/>
          <w:rtl/>
        </w:rPr>
        <w:t>מלאכתו ללא משוא פנים, כנדרש.</w:t>
      </w:r>
    </w:p>
    <w:p w:rsidR="00BF3277" w:rsidRPr="0004711E" w:rsidRDefault="00BF3277" w:rsidP="008B316C">
      <w:pPr>
        <w:spacing w:after="0" w:line="360" w:lineRule="auto"/>
        <w:jc w:val="both"/>
        <w:rPr>
          <w:rFonts w:cs="David"/>
          <w:sz w:val="28"/>
          <w:szCs w:val="28"/>
          <w:rtl/>
        </w:rPr>
      </w:pPr>
    </w:p>
    <w:p w:rsidR="00870210" w:rsidRPr="0004711E" w:rsidRDefault="00870210" w:rsidP="007D7DF0">
      <w:pPr>
        <w:spacing w:after="0" w:line="360" w:lineRule="auto"/>
        <w:jc w:val="both"/>
        <w:rPr>
          <w:rFonts w:cs="David"/>
          <w:sz w:val="28"/>
          <w:szCs w:val="28"/>
          <w:rtl/>
        </w:rPr>
      </w:pPr>
      <w:r w:rsidRPr="0004711E">
        <w:rPr>
          <w:rFonts w:cs="David" w:hint="cs"/>
          <w:sz w:val="28"/>
          <w:szCs w:val="28"/>
          <w:rtl/>
        </w:rPr>
        <w:t>גם כנגד פרופ</w:t>
      </w:r>
      <w:r w:rsidR="007D7DF0">
        <w:rPr>
          <w:rFonts w:cs="David" w:hint="cs"/>
          <w:sz w:val="28"/>
          <w:szCs w:val="28"/>
          <w:rtl/>
        </w:rPr>
        <w:t>סור</w:t>
      </w:r>
      <w:r w:rsidRPr="0004711E">
        <w:rPr>
          <w:rFonts w:cs="David" w:hint="cs"/>
          <w:sz w:val="28"/>
          <w:szCs w:val="28"/>
          <w:rtl/>
        </w:rPr>
        <w:t xml:space="preserve"> כריסטיאן טומושאט</w:t>
      </w:r>
      <w:r w:rsidR="003B4801">
        <w:rPr>
          <w:rFonts w:cs="David" w:hint="cs"/>
          <w:sz w:val="28"/>
          <w:szCs w:val="28"/>
          <w:rtl/>
        </w:rPr>
        <w:t>,</w:t>
      </w:r>
      <w:r w:rsidRPr="0004711E">
        <w:rPr>
          <w:rFonts w:cs="David" w:hint="cs"/>
          <w:sz w:val="28"/>
          <w:szCs w:val="28"/>
          <w:rtl/>
        </w:rPr>
        <w:t xml:space="preserve"> שעמד בראש </w:t>
      </w:r>
      <w:r w:rsidRPr="0004711E">
        <w:rPr>
          <w:rFonts w:cs="David" w:hint="cs"/>
          <w:b/>
          <w:bCs/>
          <w:sz w:val="28"/>
          <w:szCs w:val="28"/>
          <w:rtl/>
        </w:rPr>
        <w:t>ועדת טומושאט</w:t>
      </w:r>
      <w:r w:rsidR="003B4801">
        <w:rPr>
          <w:rFonts w:cs="David" w:hint="cs"/>
          <w:sz w:val="28"/>
          <w:szCs w:val="28"/>
          <w:rtl/>
        </w:rPr>
        <w:t>,</w:t>
      </w:r>
      <w:r w:rsidRPr="0004711E">
        <w:rPr>
          <w:rFonts w:cs="David" w:hint="cs"/>
          <w:sz w:val="28"/>
          <w:szCs w:val="28"/>
          <w:rtl/>
        </w:rPr>
        <w:t xml:space="preserve"> הועלו טענות להטיה כנגד ישראל</w:t>
      </w:r>
      <w:r w:rsidR="000F5CF3" w:rsidRPr="0004711E">
        <w:rPr>
          <w:rStyle w:val="a7"/>
          <w:rFonts w:cs="David"/>
          <w:sz w:val="28"/>
          <w:szCs w:val="28"/>
          <w:rtl/>
        </w:rPr>
        <w:footnoteReference w:id="213"/>
      </w:r>
      <w:r w:rsidRPr="0004711E">
        <w:rPr>
          <w:rFonts w:cs="David" w:hint="cs"/>
          <w:sz w:val="28"/>
          <w:szCs w:val="28"/>
          <w:rtl/>
        </w:rPr>
        <w:t xml:space="preserve">. כך, בשנת 2007 השווה טומושאט במאמר שפרסם את </w:t>
      </w:r>
      <w:r w:rsidRPr="0004711E">
        <w:rPr>
          <w:rFonts w:cs="David" w:hint="cs"/>
          <w:sz w:val="28"/>
          <w:szCs w:val="28"/>
          <w:rtl/>
        </w:rPr>
        <w:lastRenderedPageBreak/>
        <w:t xml:space="preserve">מעשיה של ישראל במלחמת לבנון השנייה לברבריות שאפיינה את מלחמת העולם השנייה. </w:t>
      </w:r>
      <w:r w:rsidR="000F5CF3" w:rsidRPr="0004711E">
        <w:rPr>
          <w:rFonts w:cs="David" w:hint="cs"/>
          <w:sz w:val="28"/>
          <w:szCs w:val="28"/>
          <w:rtl/>
        </w:rPr>
        <w:t xml:space="preserve">כן אמר שישראל נקטה מלחמה טוטאלית (מושג שלקוח מתפיסת המלחמה הנאצית של גבלס), שלא לקחה בחשבון הגנה על צרכים אזרחיים כלל. </w:t>
      </w:r>
      <w:r w:rsidRPr="0004711E">
        <w:rPr>
          <w:rFonts w:cs="David" w:hint="cs"/>
          <w:sz w:val="28"/>
          <w:szCs w:val="28"/>
          <w:rtl/>
        </w:rPr>
        <w:t xml:space="preserve">כמו כן, ארגון </w:t>
      </w:r>
      <w:r w:rsidRPr="0004711E">
        <w:rPr>
          <w:rFonts w:cs="David"/>
          <w:sz w:val="28"/>
          <w:szCs w:val="28"/>
        </w:rPr>
        <w:t>UN Watch</w:t>
      </w:r>
      <w:r w:rsidRPr="0004711E">
        <w:rPr>
          <w:rFonts w:cs="David" w:hint="cs"/>
          <w:sz w:val="28"/>
          <w:szCs w:val="28"/>
          <w:rtl/>
        </w:rPr>
        <w:t xml:space="preserve"> ציטט שורת אמירות של טומושאט, </w:t>
      </w:r>
      <w:r w:rsidR="000F5CF3" w:rsidRPr="0004711E">
        <w:rPr>
          <w:rFonts w:cs="David" w:hint="cs"/>
          <w:sz w:val="28"/>
          <w:szCs w:val="28"/>
          <w:rtl/>
        </w:rPr>
        <w:t xml:space="preserve">הנוגעות לנושא אותו מונה לחקור ממש, </w:t>
      </w:r>
      <w:r w:rsidRPr="0004711E">
        <w:rPr>
          <w:rFonts w:cs="David" w:hint="cs"/>
          <w:sz w:val="28"/>
          <w:szCs w:val="28"/>
          <w:rtl/>
        </w:rPr>
        <w:t xml:space="preserve">בהן הטיל ספק </w:t>
      </w:r>
      <w:r w:rsidR="008310CC">
        <w:rPr>
          <w:rFonts w:cs="David" w:hint="cs"/>
          <w:sz w:val="28"/>
          <w:szCs w:val="28"/>
          <w:rtl/>
        </w:rPr>
        <w:t xml:space="preserve">בכך </w:t>
      </w:r>
      <w:r w:rsidRPr="0004711E">
        <w:rPr>
          <w:rFonts w:cs="David" w:hint="cs"/>
          <w:sz w:val="28"/>
          <w:szCs w:val="28"/>
          <w:rtl/>
        </w:rPr>
        <w:t>שמערכת המשפט הישראלית תנהל חקירות יעילות ותעניש את האשמים. פרופסור אלן דרשוביץ</w:t>
      </w:r>
      <w:r w:rsidR="000F5CF3" w:rsidRPr="0004711E">
        <w:rPr>
          <w:rFonts w:cs="David" w:hint="cs"/>
          <w:sz w:val="28"/>
          <w:szCs w:val="28"/>
          <w:rtl/>
        </w:rPr>
        <w:t>' מאוניברסיטת הרווארד טען כי לטומושאט יש היסטוריה ארוכה של הטיה וסטנדרט כפול כנגד ישראל</w:t>
      </w:r>
      <w:r w:rsidR="00F95BBD">
        <w:rPr>
          <w:rStyle w:val="a7"/>
          <w:rFonts w:cs="David"/>
          <w:sz w:val="28"/>
          <w:szCs w:val="28"/>
          <w:rtl/>
        </w:rPr>
        <w:footnoteReference w:id="214"/>
      </w:r>
      <w:r w:rsidR="000F5CF3" w:rsidRPr="0004711E">
        <w:rPr>
          <w:rFonts w:cs="David" w:hint="cs"/>
          <w:sz w:val="28"/>
          <w:szCs w:val="28"/>
          <w:rtl/>
        </w:rPr>
        <w:t>.</w:t>
      </w:r>
    </w:p>
    <w:p w:rsidR="00870210" w:rsidRPr="0004711E" w:rsidRDefault="00870210" w:rsidP="008B316C">
      <w:pPr>
        <w:spacing w:after="0" w:line="360" w:lineRule="auto"/>
        <w:jc w:val="both"/>
        <w:rPr>
          <w:rFonts w:cs="David"/>
          <w:sz w:val="28"/>
          <w:szCs w:val="28"/>
          <w:rtl/>
        </w:rPr>
      </w:pPr>
    </w:p>
    <w:p w:rsidR="00513DBA" w:rsidRDefault="00361439">
      <w:pPr>
        <w:spacing w:after="0" w:line="360" w:lineRule="auto"/>
        <w:jc w:val="both"/>
        <w:rPr>
          <w:rFonts w:cs="David"/>
          <w:sz w:val="28"/>
          <w:szCs w:val="28"/>
        </w:rPr>
      </w:pPr>
      <w:r w:rsidRPr="0004711E">
        <w:rPr>
          <w:rFonts w:cs="David" w:hint="cs"/>
          <w:sz w:val="28"/>
          <w:szCs w:val="28"/>
          <w:rtl/>
        </w:rPr>
        <w:t xml:space="preserve">בראש </w:t>
      </w:r>
      <w:r w:rsidRPr="0004711E">
        <w:rPr>
          <w:rFonts w:cs="David" w:hint="cs"/>
          <w:b/>
          <w:bCs/>
          <w:sz w:val="28"/>
          <w:szCs w:val="28"/>
          <w:rtl/>
        </w:rPr>
        <w:t>ועדת צוק איתן</w:t>
      </w:r>
      <w:r w:rsidRPr="0004711E">
        <w:rPr>
          <w:rFonts w:cs="David" w:hint="cs"/>
          <w:sz w:val="28"/>
          <w:szCs w:val="28"/>
          <w:rtl/>
        </w:rPr>
        <w:t xml:space="preserve"> מונה פרופסור ויליאם </w:t>
      </w:r>
      <w:r w:rsidR="00224FED" w:rsidRPr="0004711E">
        <w:rPr>
          <w:rFonts w:cs="David" w:hint="cs"/>
          <w:sz w:val="28"/>
          <w:szCs w:val="28"/>
          <w:rtl/>
        </w:rPr>
        <w:t xml:space="preserve">שאבאס </w:t>
      </w:r>
      <w:r w:rsidRPr="0004711E">
        <w:rPr>
          <w:rFonts w:cs="David" w:hint="cs"/>
          <w:sz w:val="28"/>
          <w:szCs w:val="28"/>
          <w:rtl/>
        </w:rPr>
        <w:t xml:space="preserve">מקנדה, אשר </w:t>
      </w:r>
      <w:r w:rsidR="00F95BBD">
        <w:rPr>
          <w:rFonts w:cs="David" w:hint="cs"/>
          <w:sz w:val="28"/>
          <w:szCs w:val="28"/>
          <w:rtl/>
        </w:rPr>
        <w:t xml:space="preserve">ארגון </w:t>
      </w:r>
      <w:r w:rsidR="00F95BBD">
        <w:rPr>
          <w:rFonts w:cs="David"/>
          <w:sz w:val="28"/>
          <w:szCs w:val="28"/>
        </w:rPr>
        <w:t>UN Watch</w:t>
      </w:r>
      <w:r w:rsidR="00F95BBD">
        <w:rPr>
          <w:rFonts w:cs="David" w:hint="cs"/>
          <w:sz w:val="28"/>
          <w:szCs w:val="28"/>
          <w:rtl/>
        </w:rPr>
        <w:t xml:space="preserve"> פרסם מסמך</w:t>
      </w:r>
      <w:r w:rsidR="00F95BBD" w:rsidRPr="0004711E">
        <w:rPr>
          <w:rStyle w:val="a7"/>
          <w:rFonts w:cs="David"/>
          <w:sz w:val="28"/>
          <w:szCs w:val="28"/>
          <w:rtl/>
        </w:rPr>
        <w:footnoteReference w:id="215"/>
      </w:r>
      <w:r w:rsidR="00F95BBD">
        <w:rPr>
          <w:rFonts w:cs="David" w:hint="cs"/>
          <w:sz w:val="28"/>
          <w:szCs w:val="28"/>
          <w:rtl/>
        </w:rPr>
        <w:t xml:space="preserve"> ובו מספר </w:t>
      </w:r>
      <w:r w:rsidRPr="0004711E">
        <w:rPr>
          <w:rFonts w:cs="David" w:hint="cs"/>
          <w:sz w:val="28"/>
          <w:szCs w:val="28"/>
          <w:rtl/>
        </w:rPr>
        <w:t>הצהרות פומביות שלו מהעבר</w:t>
      </w:r>
      <w:r w:rsidR="00F95BBD">
        <w:rPr>
          <w:rFonts w:cs="David" w:hint="cs"/>
          <w:sz w:val="28"/>
          <w:szCs w:val="28"/>
          <w:rtl/>
        </w:rPr>
        <w:t>, המטילות חשש של ממש בהטייתו כנגד ישראל</w:t>
      </w:r>
      <w:r w:rsidR="00F95BBD">
        <w:rPr>
          <w:rStyle w:val="a7"/>
          <w:rFonts w:cs="David"/>
          <w:sz w:val="28"/>
          <w:szCs w:val="28"/>
          <w:rtl/>
        </w:rPr>
        <w:footnoteReference w:id="216"/>
      </w:r>
      <w:r w:rsidR="00F95BBD">
        <w:rPr>
          <w:rFonts w:cs="David" w:hint="cs"/>
          <w:sz w:val="28"/>
          <w:szCs w:val="28"/>
          <w:rtl/>
        </w:rPr>
        <w:t>.</w:t>
      </w:r>
      <w:r w:rsidRPr="0004711E">
        <w:rPr>
          <w:rFonts w:cs="David" w:hint="cs"/>
          <w:sz w:val="28"/>
          <w:szCs w:val="28"/>
          <w:rtl/>
        </w:rPr>
        <w:t xml:space="preserve"> </w:t>
      </w:r>
    </w:p>
    <w:p w:rsidR="0004056A" w:rsidRPr="0004711E" w:rsidRDefault="0004056A" w:rsidP="008B316C">
      <w:pPr>
        <w:pStyle w:val="a9"/>
        <w:spacing w:after="0" w:line="360" w:lineRule="auto"/>
        <w:jc w:val="both"/>
        <w:rPr>
          <w:rFonts w:cs="David"/>
          <w:sz w:val="28"/>
          <w:szCs w:val="28"/>
          <w:rtl/>
        </w:rPr>
      </w:pPr>
    </w:p>
    <w:p w:rsidR="00224FED" w:rsidRPr="0004711E" w:rsidRDefault="00224FED" w:rsidP="00A00FD1">
      <w:pPr>
        <w:spacing w:after="0" w:line="360" w:lineRule="auto"/>
        <w:jc w:val="both"/>
        <w:rPr>
          <w:rFonts w:cs="David"/>
          <w:sz w:val="28"/>
          <w:szCs w:val="28"/>
          <w:rtl/>
        </w:rPr>
      </w:pPr>
      <w:r w:rsidRPr="0004711E">
        <w:rPr>
          <w:rFonts w:cs="David" w:hint="cs"/>
          <w:sz w:val="28"/>
          <w:szCs w:val="28"/>
          <w:rtl/>
        </w:rPr>
        <w:t xml:space="preserve">לאחר שהוכח כי </w:t>
      </w:r>
      <w:r w:rsidR="007663DA" w:rsidRPr="0004711E">
        <w:rPr>
          <w:rFonts w:cs="David" w:hint="cs"/>
          <w:sz w:val="28"/>
          <w:szCs w:val="28"/>
          <w:rtl/>
        </w:rPr>
        <w:t xml:space="preserve">שאבאס </w:t>
      </w:r>
      <w:r w:rsidRPr="0004711E">
        <w:rPr>
          <w:rFonts w:cs="David" w:hint="cs"/>
          <w:sz w:val="28"/>
          <w:szCs w:val="28"/>
          <w:rtl/>
        </w:rPr>
        <w:t xml:space="preserve">סיפק </w:t>
      </w:r>
      <w:r w:rsidR="007663DA" w:rsidRPr="0004711E">
        <w:rPr>
          <w:rFonts w:cs="David" w:hint="cs"/>
          <w:sz w:val="28"/>
          <w:szCs w:val="28"/>
          <w:rtl/>
        </w:rPr>
        <w:t xml:space="preserve">בשנת 2012 </w:t>
      </w:r>
      <w:r w:rsidRPr="0004711E">
        <w:rPr>
          <w:rFonts w:cs="David" w:hint="cs"/>
          <w:sz w:val="28"/>
          <w:szCs w:val="28"/>
          <w:rtl/>
        </w:rPr>
        <w:t xml:space="preserve">חוות דעת משפטית בתשלום לפלסטינים, </w:t>
      </w:r>
      <w:r w:rsidR="007663DA" w:rsidRPr="0004711E">
        <w:rPr>
          <w:rFonts w:cs="David" w:hint="cs"/>
          <w:sz w:val="28"/>
          <w:szCs w:val="28"/>
          <w:rtl/>
        </w:rPr>
        <w:t xml:space="preserve">וכי מועצת זכויות האדם פנתה </w:t>
      </w:r>
      <w:r w:rsidR="00A00FD1" w:rsidRPr="0004711E">
        <w:rPr>
          <w:rFonts w:cs="David" w:hint="cs"/>
          <w:sz w:val="28"/>
          <w:szCs w:val="28"/>
          <w:rtl/>
        </w:rPr>
        <w:t>למ</w:t>
      </w:r>
      <w:r w:rsidR="00A00FD1">
        <w:rPr>
          <w:rFonts w:cs="David" w:hint="cs"/>
          <w:sz w:val="28"/>
          <w:szCs w:val="28"/>
          <w:rtl/>
        </w:rPr>
        <w:t xml:space="preserve">טה </w:t>
      </w:r>
      <w:r w:rsidR="007663DA" w:rsidRPr="0004711E">
        <w:rPr>
          <w:rFonts w:cs="David" w:hint="cs"/>
          <w:sz w:val="28"/>
          <w:szCs w:val="28"/>
          <w:rtl/>
        </w:rPr>
        <w:t>האו"ם בבקשה לקבל חוות דעת משפטית בעניין, הוא נאלץ ל</w:t>
      </w:r>
      <w:r w:rsidRPr="0004711E">
        <w:rPr>
          <w:rFonts w:cs="David" w:hint="cs"/>
          <w:sz w:val="28"/>
          <w:szCs w:val="28"/>
          <w:rtl/>
        </w:rPr>
        <w:t>התפטר מראשות הוועדה</w:t>
      </w:r>
      <w:r w:rsidR="007663DA" w:rsidRPr="0004711E">
        <w:rPr>
          <w:rFonts w:cs="David" w:hint="cs"/>
          <w:sz w:val="28"/>
          <w:szCs w:val="28"/>
          <w:rtl/>
        </w:rPr>
        <w:t>, תוך שציין כי הוועדה כמעט סיימה את איסוף הראיות והחלה כבר בכתיבת הדוח</w:t>
      </w:r>
      <w:r w:rsidR="005935C5" w:rsidRPr="0004711E">
        <w:rPr>
          <w:rStyle w:val="a7"/>
          <w:rFonts w:cs="David"/>
          <w:sz w:val="28"/>
          <w:szCs w:val="28"/>
          <w:rtl/>
        </w:rPr>
        <w:footnoteReference w:id="217"/>
      </w:r>
      <w:r w:rsidR="007663DA" w:rsidRPr="0004711E">
        <w:rPr>
          <w:rFonts w:cs="David" w:hint="cs"/>
          <w:sz w:val="28"/>
          <w:szCs w:val="28"/>
          <w:rtl/>
        </w:rPr>
        <w:t>.</w:t>
      </w:r>
    </w:p>
    <w:p w:rsidR="005935C5" w:rsidRDefault="005935C5" w:rsidP="008B316C">
      <w:pPr>
        <w:spacing w:after="0" w:line="360" w:lineRule="auto"/>
        <w:jc w:val="both"/>
        <w:rPr>
          <w:rFonts w:cs="David"/>
          <w:sz w:val="28"/>
          <w:szCs w:val="28"/>
          <w:rtl/>
        </w:rPr>
      </w:pPr>
    </w:p>
    <w:p w:rsidR="00812992" w:rsidRPr="00C22118" w:rsidRDefault="00812992" w:rsidP="00C22118">
      <w:pPr>
        <w:pStyle w:val="a9"/>
        <w:numPr>
          <w:ilvl w:val="0"/>
          <w:numId w:val="25"/>
        </w:numPr>
        <w:spacing w:after="0" w:line="360" w:lineRule="auto"/>
        <w:jc w:val="both"/>
        <w:outlineLvl w:val="2"/>
        <w:rPr>
          <w:rFonts w:cs="David"/>
          <w:sz w:val="28"/>
          <w:szCs w:val="28"/>
          <w:rtl/>
        </w:rPr>
      </w:pPr>
      <w:bookmarkStart w:id="55" w:name="_Toc456027327"/>
      <w:r w:rsidRPr="00C22118">
        <w:rPr>
          <w:rFonts w:cs="David" w:hint="cs"/>
          <w:sz w:val="28"/>
          <w:szCs w:val="28"/>
          <w:rtl/>
        </w:rPr>
        <w:lastRenderedPageBreak/>
        <w:t xml:space="preserve">סיכום </w:t>
      </w:r>
      <w:r w:rsidRPr="00C22118">
        <w:rPr>
          <w:rFonts w:cs="David"/>
          <w:sz w:val="28"/>
          <w:szCs w:val="28"/>
          <w:rtl/>
        </w:rPr>
        <w:t>–</w:t>
      </w:r>
      <w:r w:rsidRPr="00C22118">
        <w:rPr>
          <w:rFonts w:cs="David" w:hint="cs"/>
          <w:sz w:val="28"/>
          <w:szCs w:val="28"/>
          <w:rtl/>
        </w:rPr>
        <w:t xml:space="preserve"> שיקול ההטיה האישית של חבר </w:t>
      </w:r>
      <w:r w:rsidR="0074404A" w:rsidRPr="00C22118">
        <w:rPr>
          <w:rFonts w:cs="David" w:hint="cs"/>
          <w:sz w:val="28"/>
          <w:szCs w:val="28"/>
          <w:rtl/>
        </w:rPr>
        <w:t>ועדה</w:t>
      </w:r>
      <w:r w:rsidRPr="00C22118">
        <w:rPr>
          <w:rFonts w:cs="David" w:hint="cs"/>
          <w:sz w:val="28"/>
          <w:szCs w:val="28"/>
          <w:rtl/>
        </w:rPr>
        <w:t xml:space="preserve"> כנגד ישראל</w:t>
      </w:r>
      <w:bookmarkEnd w:id="55"/>
    </w:p>
    <w:p w:rsidR="00812992" w:rsidRDefault="00812992" w:rsidP="008B316C">
      <w:pPr>
        <w:spacing w:after="0" w:line="360" w:lineRule="auto"/>
        <w:jc w:val="both"/>
        <w:rPr>
          <w:rFonts w:cs="David"/>
          <w:sz w:val="28"/>
          <w:szCs w:val="28"/>
          <w:rtl/>
        </w:rPr>
      </w:pPr>
    </w:p>
    <w:p w:rsidR="008310CC" w:rsidRDefault="005C3F50" w:rsidP="003B4801">
      <w:pPr>
        <w:spacing w:after="0" w:line="360" w:lineRule="auto"/>
        <w:jc w:val="both"/>
        <w:rPr>
          <w:rFonts w:cs="David"/>
          <w:sz w:val="28"/>
          <w:szCs w:val="28"/>
          <w:rtl/>
        </w:rPr>
      </w:pPr>
      <w:r>
        <w:rPr>
          <w:rFonts w:cs="David" w:hint="cs"/>
          <w:sz w:val="28"/>
          <w:szCs w:val="28"/>
          <w:rtl/>
        </w:rPr>
        <w:t xml:space="preserve">מרבית המרואיינים לעבודה זו הסכימו, שחברותו של אדם שמוטה באופן ברור כנגד ישראל היא שיקול מכריע שלא לשתף פעולה עם הוועדה שבה הוא חבר. מיעוט המרואיינים סברו ששיתוף פעולה תמיד עדיף על אי שיתוף פעולה, ושגם הטיה ברורה אינה צריכה למנוע את שיתוף הפעולה, בליווי כל הפעולות הנדרשות כדי להוכיח ולתת פרסום להטיה זו, על מנת לוודא כי היא לא תיעלם מעיני כל, לרבות החבר המוטה עצמו. </w:t>
      </w:r>
    </w:p>
    <w:p w:rsidR="008310CC" w:rsidRDefault="008310CC" w:rsidP="008B316C">
      <w:pPr>
        <w:spacing w:after="0" w:line="360" w:lineRule="auto"/>
        <w:jc w:val="both"/>
        <w:rPr>
          <w:rFonts w:cs="David"/>
          <w:sz w:val="28"/>
          <w:szCs w:val="28"/>
          <w:rtl/>
        </w:rPr>
      </w:pPr>
    </w:p>
    <w:p w:rsidR="0053660A" w:rsidRDefault="005C3F50" w:rsidP="008B316C">
      <w:pPr>
        <w:spacing w:after="0" w:line="360" w:lineRule="auto"/>
        <w:jc w:val="both"/>
        <w:rPr>
          <w:rFonts w:cs="David"/>
          <w:sz w:val="28"/>
          <w:szCs w:val="28"/>
          <w:rtl/>
        </w:rPr>
      </w:pPr>
      <w:r>
        <w:rPr>
          <w:rFonts w:cs="David" w:hint="cs"/>
          <w:sz w:val="28"/>
          <w:szCs w:val="28"/>
          <w:rtl/>
        </w:rPr>
        <w:t>על פניו, נראה כי מינוי</w:t>
      </w:r>
      <w:r w:rsidR="003B4801">
        <w:rPr>
          <w:rFonts w:cs="David" w:hint="cs"/>
          <w:sz w:val="28"/>
          <w:szCs w:val="28"/>
          <w:rtl/>
        </w:rPr>
        <w:t>ו</w:t>
      </w:r>
      <w:r>
        <w:rPr>
          <w:rFonts w:cs="David" w:hint="cs"/>
          <w:sz w:val="28"/>
          <w:szCs w:val="28"/>
          <w:rtl/>
        </w:rPr>
        <w:t xml:space="preserve"> של אדם </w:t>
      </w:r>
      <w:r w:rsidRPr="005C3F50">
        <w:rPr>
          <w:rFonts w:cs="David" w:hint="cs"/>
          <w:b/>
          <w:bCs/>
          <w:sz w:val="28"/>
          <w:szCs w:val="28"/>
          <w:rtl/>
        </w:rPr>
        <w:t>שבאופן אישי</w:t>
      </w:r>
      <w:r>
        <w:rPr>
          <w:rFonts w:cs="David" w:hint="cs"/>
          <w:sz w:val="28"/>
          <w:szCs w:val="28"/>
          <w:rtl/>
        </w:rPr>
        <w:t xml:space="preserve"> מבטא הטיה נגד ישראל צריך להיענות בסירוב ישראלי לעבוד עמו ובדרישה להחליפו במועמד הוגן. הטיה אישית שונה מהטיה מוסדית או הטיה שנובעת מהמנדט. הטיה מוסדית ניתנת לתיקון באמצעות מנדט וחברי ועדה מאוזנים. הטיה שנובעת מהמנדט ניתנת לתיקון באמצעות הגוף שממנה את הוועדה או באמצעות </w:t>
      </w:r>
      <w:r w:rsidR="00EA1EA7">
        <w:rPr>
          <w:rFonts w:cs="David" w:hint="cs"/>
          <w:sz w:val="28"/>
          <w:szCs w:val="28"/>
          <w:rtl/>
        </w:rPr>
        <w:t>פירוש הוגן שתיתן</w:t>
      </w:r>
      <w:r>
        <w:rPr>
          <w:rFonts w:cs="David" w:hint="cs"/>
          <w:sz w:val="28"/>
          <w:szCs w:val="28"/>
          <w:rtl/>
        </w:rPr>
        <w:t xml:space="preserve"> הוועדה עצמה</w:t>
      </w:r>
      <w:r w:rsidR="00EA1EA7">
        <w:rPr>
          <w:rFonts w:cs="David" w:hint="cs"/>
          <w:sz w:val="28"/>
          <w:szCs w:val="28"/>
          <w:rtl/>
        </w:rPr>
        <w:t xml:space="preserve"> למנדט</w:t>
      </w:r>
      <w:r>
        <w:rPr>
          <w:rFonts w:cs="David" w:hint="cs"/>
          <w:sz w:val="28"/>
          <w:szCs w:val="28"/>
          <w:rtl/>
        </w:rPr>
        <w:t>. הטיה אישית אינה ניתנת לתיקון בדרך כלל, וחוסר ההגינות הנובע ממנה זועק הרבה יותר מזה הנובע משתי ההטיות האחרות.</w:t>
      </w:r>
    </w:p>
    <w:p w:rsidR="005C3F50" w:rsidRDefault="005C3F50" w:rsidP="008B316C">
      <w:pPr>
        <w:spacing w:after="0" w:line="360" w:lineRule="auto"/>
        <w:jc w:val="both"/>
        <w:rPr>
          <w:rFonts w:cs="David"/>
          <w:sz w:val="28"/>
          <w:szCs w:val="28"/>
          <w:rtl/>
        </w:rPr>
      </w:pPr>
    </w:p>
    <w:p w:rsidR="002A694A" w:rsidRDefault="005C3F50" w:rsidP="00067E95">
      <w:pPr>
        <w:spacing w:after="0" w:line="360" w:lineRule="auto"/>
        <w:jc w:val="both"/>
        <w:rPr>
          <w:rFonts w:cs="David"/>
          <w:sz w:val="28"/>
          <w:szCs w:val="28"/>
          <w:rtl/>
        </w:rPr>
      </w:pPr>
      <w:r>
        <w:rPr>
          <w:rFonts w:cs="David" w:hint="cs"/>
          <w:sz w:val="28"/>
          <w:szCs w:val="28"/>
          <w:rtl/>
        </w:rPr>
        <w:t xml:space="preserve">הצד השני של המטבע הוא, שמינויו של אדם ראוי והגון כחבר בוועדה ובעיקר </w:t>
      </w:r>
      <w:r w:rsidR="0056283F">
        <w:rPr>
          <w:rFonts w:cs="David" w:hint="cs"/>
          <w:sz w:val="28"/>
          <w:szCs w:val="28"/>
          <w:rtl/>
        </w:rPr>
        <w:t>כיו"ר הוועדה צריך בדרך כלל להיענות בהסכמה ישראלית לשיתוף פעולה עמו. אמירה זו נכונה גם כאשר אותו אדם מתמנה</w:t>
      </w:r>
      <w:r w:rsidR="00692192">
        <w:rPr>
          <w:rFonts w:cs="David" w:hint="cs"/>
          <w:sz w:val="28"/>
          <w:szCs w:val="28"/>
          <w:rtl/>
        </w:rPr>
        <w:t xml:space="preserve"> על ידי </w:t>
      </w:r>
      <w:r w:rsidR="0056283F">
        <w:rPr>
          <w:rFonts w:cs="David" w:hint="cs"/>
          <w:sz w:val="28"/>
          <w:szCs w:val="28"/>
          <w:rtl/>
        </w:rPr>
        <w:t>גוף מוטה כנגד ישראל, כדוגמת מועצת זכויות האדם, וגם כאשר הוא מצויד במנדט מוטה. כמובן שאין זו אמירה מוחלטת, והיא תמיד תיבחן ביחס לכל השיקולים הרחבים והפרטניים הנוגעים לעניין</w:t>
      </w:r>
      <w:r w:rsidR="00067E95">
        <w:rPr>
          <w:rFonts w:cs="David" w:hint="cs"/>
          <w:sz w:val="28"/>
          <w:szCs w:val="28"/>
          <w:rtl/>
        </w:rPr>
        <w:t xml:space="preserve">, לרבות האפשרות להשפיע על כך שיו"ר הוועדה יפרש את המנדט שיקבל באופן </w:t>
      </w:r>
      <w:r w:rsidR="00692E16">
        <w:rPr>
          <w:rFonts w:cs="David" w:hint="cs"/>
          <w:sz w:val="28"/>
          <w:szCs w:val="28"/>
          <w:rtl/>
        </w:rPr>
        <w:t>הוגן ומאוזן</w:t>
      </w:r>
      <w:r w:rsidR="0056283F">
        <w:rPr>
          <w:rFonts w:cs="David" w:hint="cs"/>
          <w:sz w:val="28"/>
          <w:szCs w:val="28"/>
          <w:rtl/>
        </w:rPr>
        <w:t>. אך זה</w:t>
      </w:r>
      <w:r w:rsidR="003B4801">
        <w:rPr>
          <w:rFonts w:cs="David" w:hint="cs"/>
          <w:sz w:val="28"/>
          <w:szCs w:val="28"/>
          <w:rtl/>
        </w:rPr>
        <w:t>ו</w:t>
      </w:r>
      <w:r w:rsidR="0056283F">
        <w:rPr>
          <w:rFonts w:cs="David" w:hint="cs"/>
          <w:sz w:val="28"/>
          <w:szCs w:val="28"/>
          <w:rtl/>
        </w:rPr>
        <w:t xml:space="preserve"> בהחלט כלל אצבע שניתן להפעיל והוא גם מוסכם </w:t>
      </w:r>
      <w:r w:rsidR="0022607E">
        <w:rPr>
          <w:rFonts w:cs="David" w:hint="cs"/>
          <w:sz w:val="28"/>
          <w:szCs w:val="28"/>
          <w:rtl/>
        </w:rPr>
        <w:t xml:space="preserve">על </w:t>
      </w:r>
      <w:r w:rsidR="0056283F">
        <w:rPr>
          <w:rFonts w:cs="David" w:hint="cs"/>
          <w:sz w:val="28"/>
          <w:szCs w:val="28"/>
          <w:rtl/>
        </w:rPr>
        <w:t xml:space="preserve">רבים </w:t>
      </w:r>
      <w:r w:rsidR="003B4801">
        <w:rPr>
          <w:rFonts w:cs="David" w:hint="cs"/>
          <w:sz w:val="28"/>
          <w:szCs w:val="28"/>
          <w:rtl/>
        </w:rPr>
        <w:t xml:space="preserve">מאלה שהתראיינו </w:t>
      </w:r>
      <w:r w:rsidR="0056283F">
        <w:rPr>
          <w:rFonts w:cs="David" w:hint="cs"/>
          <w:sz w:val="28"/>
          <w:szCs w:val="28"/>
          <w:rtl/>
        </w:rPr>
        <w:t>ל</w:t>
      </w:r>
      <w:r w:rsidR="003B4801">
        <w:rPr>
          <w:rFonts w:cs="David" w:hint="cs"/>
          <w:sz w:val="28"/>
          <w:szCs w:val="28"/>
          <w:rtl/>
        </w:rPr>
        <w:t xml:space="preserve">צורך </w:t>
      </w:r>
      <w:r w:rsidR="0056283F">
        <w:rPr>
          <w:rFonts w:cs="David" w:hint="cs"/>
          <w:sz w:val="28"/>
          <w:szCs w:val="28"/>
          <w:rtl/>
        </w:rPr>
        <w:t>עבודה</w:t>
      </w:r>
      <w:r w:rsidR="003B4801">
        <w:rPr>
          <w:rFonts w:cs="David" w:hint="cs"/>
          <w:sz w:val="28"/>
          <w:szCs w:val="28"/>
          <w:rtl/>
        </w:rPr>
        <w:t xml:space="preserve"> זו</w:t>
      </w:r>
      <w:r w:rsidR="0056283F">
        <w:rPr>
          <w:rFonts w:cs="David" w:hint="cs"/>
          <w:sz w:val="28"/>
          <w:szCs w:val="28"/>
          <w:rtl/>
        </w:rPr>
        <w:t xml:space="preserve">. </w:t>
      </w:r>
      <w:r w:rsidR="0056283F" w:rsidRPr="0004711E">
        <w:rPr>
          <w:rFonts w:cs="David" w:hint="cs"/>
          <w:sz w:val="28"/>
          <w:szCs w:val="28"/>
          <w:rtl/>
        </w:rPr>
        <w:t xml:space="preserve">אם מתמנה לוועדה אדם שנהנה מאמינות בינלאומית, </w:t>
      </w:r>
      <w:r w:rsidR="0056283F">
        <w:rPr>
          <w:rFonts w:cs="David" w:hint="cs"/>
          <w:sz w:val="28"/>
          <w:szCs w:val="28"/>
          <w:rtl/>
        </w:rPr>
        <w:t>יש להניח ש</w:t>
      </w:r>
      <w:r w:rsidR="0056283F" w:rsidRPr="0004711E">
        <w:rPr>
          <w:rFonts w:cs="David" w:hint="cs"/>
          <w:sz w:val="28"/>
          <w:szCs w:val="28"/>
          <w:rtl/>
        </w:rPr>
        <w:t>ביקורת ישראלית כנגדו וכנגד הוועדה שבראשה הוא עומד</w:t>
      </w:r>
      <w:r w:rsidR="0056283F">
        <w:rPr>
          <w:rFonts w:cs="David" w:hint="cs"/>
          <w:sz w:val="28"/>
          <w:szCs w:val="28"/>
          <w:rtl/>
        </w:rPr>
        <w:t xml:space="preserve"> תידחה</w:t>
      </w:r>
      <w:r w:rsidR="0056283F" w:rsidRPr="0004711E">
        <w:rPr>
          <w:rFonts w:cs="David" w:hint="cs"/>
          <w:sz w:val="28"/>
          <w:szCs w:val="28"/>
          <w:rtl/>
        </w:rPr>
        <w:t>, גם אם המנדט של הוועדה שלו מוטה. בגלל האמינות ש</w:t>
      </w:r>
      <w:r w:rsidR="0056283F">
        <w:rPr>
          <w:rFonts w:cs="David" w:hint="cs"/>
          <w:sz w:val="28"/>
          <w:szCs w:val="28"/>
          <w:rtl/>
        </w:rPr>
        <w:t>ממנה נהנה אדם כזה</w:t>
      </w:r>
      <w:r w:rsidR="0056283F" w:rsidRPr="0004711E">
        <w:rPr>
          <w:rFonts w:cs="David" w:hint="cs"/>
          <w:sz w:val="28"/>
          <w:szCs w:val="28"/>
          <w:rtl/>
        </w:rPr>
        <w:t xml:space="preserve">, יש להניח שלדוח שלו גם יהיו משמעויות רחבות יותר, </w:t>
      </w:r>
      <w:r w:rsidR="0056283F">
        <w:rPr>
          <w:rFonts w:cs="David" w:hint="cs"/>
          <w:sz w:val="28"/>
          <w:szCs w:val="28"/>
          <w:rtl/>
        </w:rPr>
        <w:t>לרבות התייחסות רצינית ומתן משקל משמעותי לקביעותיו בבית הדין הפלילי הבינלאומי ובפורומים אחרים</w:t>
      </w:r>
      <w:r w:rsidR="0056283F" w:rsidRPr="0004711E">
        <w:rPr>
          <w:rFonts w:cs="David" w:hint="cs"/>
          <w:sz w:val="28"/>
          <w:szCs w:val="28"/>
          <w:rtl/>
        </w:rPr>
        <w:t>.</w:t>
      </w:r>
      <w:r w:rsidR="0056283F">
        <w:rPr>
          <w:rFonts w:cs="David" w:hint="cs"/>
          <w:sz w:val="28"/>
          <w:szCs w:val="28"/>
          <w:rtl/>
        </w:rPr>
        <w:t xml:space="preserve"> </w:t>
      </w:r>
      <w:r w:rsidR="0022607E">
        <w:rPr>
          <w:rFonts w:cs="David" w:hint="cs"/>
          <w:sz w:val="28"/>
          <w:szCs w:val="28"/>
          <w:rtl/>
        </w:rPr>
        <w:t xml:space="preserve">אמנם, </w:t>
      </w:r>
      <w:r w:rsidR="0056283F">
        <w:rPr>
          <w:rFonts w:cs="David" w:hint="cs"/>
          <w:sz w:val="28"/>
          <w:szCs w:val="28"/>
          <w:rtl/>
        </w:rPr>
        <w:t xml:space="preserve">שיתוף פעולה ישראלי עם אדם כזה אף יגביר את תוקף אמירותיו. זה אולי ה"עוקץ" בכלל האצבע שנקבע לגבי שיתוף פעולה כאמור, אך הוא </w:t>
      </w:r>
      <w:r w:rsidR="00EA1EA7">
        <w:rPr>
          <w:rFonts w:cs="David" w:hint="cs"/>
          <w:sz w:val="28"/>
          <w:szCs w:val="28"/>
          <w:rtl/>
        </w:rPr>
        <w:t xml:space="preserve">מהווה </w:t>
      </w:r>
      <w:r w:rsidR="0056283F">
        <w:rPr>
          <w:rFonts w:cs="David" w:hint="cs"/>
          <w:sz w:val="28"/>
          <w:szCs w:val="28"/>
          <w:rtl/>
        </w:rPr>
        <w:t xml:space="preserve">חלק מהמשחק </w:t>
      </w:r>
      <w:r w:rsidR="00EA1EA7">
        <w:rPr>
          <w:rFonts w:cs="David" w:hint="cs"/>
          <w:sz w:val="28"/>
          <w:szCs w:val="28"/>
          <w:rtl/>
        </w:rPr>
        <w:t xml:space="preserve">הבינלאומי </w:t>
      </w:r>
      <w:r w:rsidR="0056283F">
        <w:rPr>
          <w:rFonts w:cs="David" w:hint="cs"/>
          <w:sz w:val="28"/>
          <w:szCs w:val="28"/>
          <w:rtl/>
        </w:rPr>
        <w:t>ו</w:t>
      </w:r>
      <w:r w:rsidR="00EA1EA7">
        <w:rPr>
          <w:rFonts w:cs="David" w:hint="cs"/>
          <w:sz w:val="28"/>
          <w:szCs w:val="28"/>
          <w:rtl/>
        </w:rPr>
        <w:t>בוודאי ש</w:t>
      </w:r>
      <w:r w:rsidR="003B4801">
        <w:rPr>
          <w:rFonts w:cs="David" w:hint="cs"/>
          <w:sz w:val="28"/>
          <w:szCs w:val="28"/>
          <w:rtl/>
        </w:rPr>
        <w:t>אינו</w:t>
      </w:r>
      <w:r w:rsidR="0056283F">
        <w:rPr>
          <w:rFonts w:cs="David" w:hint="cs"/>
          <w:sz w:val="28"/>
          <w:szCs w:val="28"/>
          <w:rtl/>
        </w:rPr>
        <w:t xml:space="preserve"> צריך לשמש שיקול יחידי שימנע את שיתוף הפעולה במקרה זה.</w:t>
      </w:r>
      <w:r w:rsidR="002A694A">
        <w:rPr>
          <w:rFonts w:cs="David" w:hint="cs"/>
          <w:sz w:val="28"/>
          <w:szCs w:val="28"/>
          <w:rtl/>
        </w:rPr>
        <w:t xml:space="preserve"> </w:t>
      </w:r>
    </w:p>
    <w:p w:rsidR="002A694A" w:rsidRDefault="002A694A" w:rsidP="008B316C">
      <w:pPr>
        <w:spacing w:after="0" w:line="360" w:lineRule="auto"/>
        <w:jc w:val="both"/>
        <w:rPr>
          <w:rFonts w:cs="David"/>
          <w:sz w:val="28"/>
          <w:szCs w:val="28"/>
          <w:rtl/>
        </w:rPr>
      </w:pPr>
    </w:p>
    <w:p w:rsidR="005C3F50" w:rsidRDefault="002A694A" w:rsidP="00FC0D4A">
      <w:pPr>
        <w:spacing w:after="0" w:line="360" w:lineRule="auto"/>
        <w:jc w:val="both"/>
        <w:rPr>
          <w:rFonts w:cs="David"/>
          <w:sz w:val="28"/>
          <w:szCs w:val="28"/>
          <w:rtl/>
        </w:rPr>
      </w:pPr>
      <w:r>
        <w:rPr>
          <w:rFonts w:cs="David" w:hint="cs"/>
          <w:sz w:val="28"/>
          <w:szCs w:val="28"/>
          <w:rtl/>
        </w:rPr>
        <w:t xml:space="preserve">מכל מקום, </w:t>
      </w:r>
      <w:r w:rsidR="003B4801">
        <w:rPr>
          <w:rFonts w:cs="David" w:hint="cs"/>
          <w:sz w:val="28"/>
          <w:szCs w:val="28"/>
          <w:rtl/>
        </w:rPr>
        <w:t xml:space="preserve">על </w:t>
      </w:r>
      <w:r>
        <w:rPr>
          <w:rFonts w:cs="David" w:hint="cs"/>
          <w:sz w:val="28"/>
          <w:szCs w:val="28"/>
          <w:rtl/>
        </w:rPr>
        <w:t xml:space="preserve">ישראל להפגין יוזמה </w:t>
      </w:r>
      <w:r w:rsidR="00EA1EA7">
        <w:rPr>
          <w:rFonts w:cs="David" w:hint="cs"/>
          <w:sz w:val="28"/>
          <w:szCs w:val="28"/>
          <w:rtl/>
        </w:rPr>
        <w:t>ו</w:t>
      </w:r>
      <w:r>
        <w:rPr>
          <w:rFonts w:cs="David" w:hint="cs"/>
          <w:sz w:val="28"/>
          <w:szCs w:val="28"/>
          <w:rtl/>
        </w:rPr>
        <w:t xml:space="preserve">לפעול בערוצים המתאימים </w:t>
      </w:r>
      <w:r w:rsidR="003B4801">
        <w:rPr>
          <w:rFonts w:cs="David" w:hint="cs"/>
          <w:sz w:val="28"/>
          <w:szCs w:val="28"/>
          <w:rtl/>
        </w:rPr>
        <w:t xml:space="preserve">כדי </w:t>
      </w:r>
      <w:r>
        <w:rPr>
          <w:rFonts w:cs="David" w:hint="cs"/>
          <w:sz w:val="28"/>
          <w:szCs w:val="28"/>
          <w:rtl/>
        </w:rPr>
        <w:t xml:space="preserve">לנסות ולהשפיע בבחירת מועמד הוגן. בעניין זה היא גם יכולה להיעזר בידידותיה המערביות, שכן בדרך כלל לא יסכימו מועמדים רציניים להתמנות לוועדות שאינן זוכות לתמיכה של מדינות אלה, וזה יכול להיות מנוף לחץ חשוב שיביא למינוי חברי ועדה ראויים. דרישת </w:t>
      </w:r>
      <w:r w:rsidRPr="0004711E">
        <w:rPr>
          <w:rFonts w:cs="David" w:hint="cs"/>
          <w:sz w:val="28"/>
          <w:szCs w:val="28"/>
          <w:rtl/>
        </w:rPr>
        <w:t xml:space="preserve">המינימום </w:t>
      </w:r>
      <w:r>
        <w:rPr>
          <w:rFonts w:cs="David" w:hint="cs"/>
          <w:sz w:val="28"/>
          <w:szCs w:val="28"/>
          <w:rtl/>
        </w:rPr>
        <w:t xml:space="preserve">היא </w:t>
      </w:r>
      <w:r w:rsidR="00EA1EA7">
        <w:rPr>
          <w:rFonts w:cs="David" w:hint="cs"/>
          <w:sz w:val="28"/>
          <w:szCs w:val="28"/>
          <w:rtl/>
        </w:rPr>
        <w:t xml:space="preserve">שיתמנה </w:t>
      </w:r>
      <w:r w:rsidRPr="0004711E">
        <w:rPr>
          <w:rFonts w:cs="David" w:hint="cs"/>
          <w:sz w:val="28"/>
          <w:szCs w:val="28"/>
          <w:rtl/>
        </w:rPr>
        <w:t xml:space="preserve">אדם שלא </w:t>
      </w:r>
      <w:r>
        <w:rPr>
          <w:rFonts w:cs="David" w:hint="cs"/>
          <w:sz w:val="28"/>
          <w:szCs w:val="28"/>
          <w:rtl/>
        </w:rPr>
        <w:t xml:space="preserve">הביע </w:t>
      </w:r>
      <w:r w:rsidRPr="0004711E">
        <w:rPr>
          <w:rFonts w:cs="David" w:hint="cs"/>
          <w:sz w:val="28"/>
          <w:szCs w:val="28"/>
          <w:rtl/>
        </w:rPr>
        <w:t>דעה</w:t>
      </w:r>
      <w:r>
        <w:rPr>
          <w:rFonts w:cs="David" w:hint="cs"/>
          <w:sz w:val="28"/>
          <w:szCs w:val="28"/>
          <w:rtl/>
        </w:rPr>
        <w:t xml:space="preserve"> שלילית כנגד ישראל</w:t>
      </w:r>
      <w:r w:rsidR="00FC0D4A">
        <w:rPr>
          <w:rFonts w:cs="David" w:hint="cs"/>
          <w:sz w:val="28"/>
          <w:szCs w:val="28"/>
          <w:rtl/>
        </w:rPr>
        <w:t xml:space="preserve"> </w:t>
      </w:r>
      <w:r w:rsidR="00FC0D4A" w:rsidRPr="0004711E">
        <w:rPr>
          <w:rFonts w:cs="David" w:hint="cs"/>
          <w:sz w:val="28"/>
          <w:szCs w:val="28"/>
          <w:rtl/>
        </w:rPr>
        <w:t>בעבר</w:t>
      </w:r>
      <w:r w:rsidRPr="0004711E">
        <w:rPr>
          <w:rFonts w:cs="David" w:hint="cs"/>
          <w:sz w:val="28"/>
          <w:szCs w:val="28"/>
          <w:rtl/>
        </w:rPr>
        <w:t xml:space="preserve">. </w:t>
      </w:r>
    </w:p>
    <w:p w:rsidR="0056283F" w:rsidRDefault="0056283F" w:rsidP="008B316C">
      <w:pPr>
        <w:spacing w:after="0" w:line="360" w:lineRule="auto"/>
        <w:jc w:val="both"/>
        <w:rPr>
          <w:rFonts w:cs="David"/>
          <w:sz w:val="28"/>
          <w:szCs w:val="28"/>
          <w:rtl/>
        </w:rPr>
      </w:pPr>
    </w:p>
    <w:p w:rsidR="0056283F" w:rsidRDefault="0056283F" w:rsidP="003B4801">
      <w:pPr>
        <w:spacing w:after="0" w:line="360" w:lineRule="auto"/>
        <w:jc w:val="both"/>
        <w:rPr>
          <w:rFonts w:cs="David"/>
          <w:sz w:val="28"/>
          <w:szCs w:val="28"/>
          <w:rtl/>
        </w:rPr>
      </w:pPr>
      <w:r>
        <w:rPr>
          <w:rFonts w:cs="David" w:hint="cs"/>
          <w:sz w:val="28"/>
          <w:szCs w:val="28"/>
          <w:rtl/>
        </w:rPr>
        <w:t>חשוב גם להדגיש, שעצם העובדה שחבר ועדה הוא אדם הוגן או אפילו אוהד את מדינת ישראל בוודאי אינה מבטיחה שהדוח שיפיק יהיה גם כן חיובי מבחינתה של ישראל.</w:t>
      </w:r>
      <w:r w:rsidR="00357C7F">
        <w:rPr>
          <w:rFonts w:cs="David" w:hint="cs"/>
          <w:sz w:val="28"/>
          <w:szCs w:val="28"/>
          <w:rtl/>
        </w:rPr>
        <w:t xml:space="preserve"> גם אדם הוגן יכול כמובן לבקר את מדינת ישראל, אם באופן מוצדק ואם באופן שמדינת ישראל תסבור שאינו מוצדק. אפילו ידידים של מדינת ישראל ביקרו אותה בעבר, בדוחות שכתבו ובדרכים אחרות. השופט גולדסטון הוא דוגמה בולטת לאדם שבעברו בוודאי לא נמצאו עניינים שיכלו להעיד על ביקורת או </w:t>
      </w:r>
      <w:r w:rsidR="003B4801">
        <w:rPr>
          <w:rFonts w:cs="David" w:hint="cs"/>
          <w:sz w:val="28"/>
          <w:szCs w:val="28"/>
          <w:rtl/>
        </w:rPr>
        <w:t xml:space="preserve">על </w:t>
      </w:r>
      <w:r w:rsidR="00357C7F">
        <w:rPr>
          <w:rFonts w:cs="David" w:hint="cs"/>
          <w:sz w:val="28"/>
          <w:szCs w:val="28"/>
          <w:rtl/>
        </w:rPr>
        <w:t xml:space="preserve">חוסר אהדה כלפי ישראל. נהפוך הוא, הוא היה יהודי בעל יחס חם ואוהד כלפי מדינת ישראל, </w:t>
      </w:r>
      <w:r w:rsidR="00EA1EA7">
        <w:rPr>
          <w:rFonts w:cs="David" w:hint="cs"/>
          <w:sz w:val="28"/>
          <w:szCs w:val="28"/>
          <w:rtl/>
        </w:rPr>
        <w:t>וייתכן בהחלט שזו מלכתחילה הייתה הסיבה למינויו</w:t>
      </w:r>
      <w:r w:rsidR="00692192">
        <w:rPr>
          <w:rFonts w:cs="David" w:hint="cs"/>
          <w:sz w:val="28"/>
          <w:szCs w:val="28"/>
          <w:rtl/>
        </w:rPr>
        <w:t xml:space="preserve"> על ידי </w:t>
      </w:r>
      <w:r w:rsidR="00EA1EA7">
        <w:rPr>
          <w:rFonts w:cs="David" w:hint="cs"/>
          <w:sz w:val="28"/>
          <w:szCs w:val="28"/>
          <w:rtl/>
        </w:rPr>
        <w:t xml:space="preserve">מועצת זכויות האדם, כדי להקנות תוקף רב יותר לעבודת הוועדה שבראשה הוא עמד. </w:t>
      </w:r>
      <w:r w:rsidR="00357C7F">
        <w:rPr>
          <w:rFonts w:cs="David" w:hint="cs"/>
          <w:sz w:val="28"/>
          <w:szCs w:val="28"/>
          <w:rtl/>
        </w:rPr>
        <w:t xml:space="preserve">ובכל זאת הוציא </w:t>
      </w:r>
      <w:r w:rsidR="00EA1EA7">
        <w:rPr>
          <w:rFonts w:cs="David" w:hint="cs"/>
          <w:sz w:val="28"/>
          <w:szCs w:val="28"/>
          <w:rtl/>
        </w:rPr>
        <w:t xml:space="preserve">גולדסטון </w:t>
      </w:r>
      <w:r w:rsidR="00357C7F">
        <w:rPr>
          <w:rFonts w:cs="David" w:hint="cs"/>
          <w:sz w:val="28"/>
          <w:szCs w:val="28"/>
          <w:rtl/>
        </w:rPr>
        <w:t xml:space="preserve">תחת ידיו את הדוח הביקורתי ביותר שנכתב כנגד ישראל עד כה. כאן המקום לציין, שבהתאם לרציונאל המצוין לעיל באשר לשיתוף פעולה עם אדם </w:t>
      </w:r>
      <w:r w:rsidR="00EA1EA7">
        <w:rPr>
          <w:rFonts w:cs="David" w:hint="cs"/>
          <w:sz w:val="28"/>
          <w:szCs w:val="28"/>
          <w:rtl/>
        </w:rPr>
        <w:t>ראוי ו</w:t>
      </w:r>
      <w:r w:rsidR="00357C7F">
        <w:rPr>
          <w:rFonts w:cs="David" w:hint="cs"/>
          <w:sz w:val="28"/>
          <w:szCs w:val="28"/>
          <w:rtl/>
        </w:rPr>
        <w:t>הוגן, גם סברו רבים מהמרואיינים שנכון היה לשתף פעולה עם גולדסטון ולא להחרים את הוועדה שבראשה עמד. חלק</w:t>
      </w:r>
      <w:r w:rsidR="003B4801">
        <w:rPr>
          <w:rFonts w:cs="David" w:hint="cs"/>
          <w:sz w:val="28"/>
          <w:szCs w:val="28"/>
          <w:rtl/>
        </w:rPr>
        <w:t>ם</w:t>
      </w:r>
      <w:r w:rsidR="00357C7F">
        <w:rPr>
          <w:rFonts w:cs="David" w:hint="cs"/>
          <w:sz w:val="28"/>
          <w:szCs w:val="28"/>
          <w:rtl/>
        </w:rPr>
        <w:t xml:space="preserve"> גם סברו שנכון היה לשתף פעולה עם ועדת צוק איתן לאחר התפטרותו של יו"ר הוועדה, ויליאם שאבאס.</w:t>
      </w:r>
      <w:r w:rsidR="007D7DF0">
        <w:rPr>
          <w:rFonts w:cs="David" w:hint="cs"/>
          <w:sz w:val="28"/>
          <w:szCs w:val="28"/>
          <w:rtl/>
        </w:rPr>
        <w:t xml:space="preserve"> עם זאת, היו גם לא מעט מרואיינים שסברו שהטייתן של הוועדות האלה היא מוסדית ושלא ניתן היה לשנות באופן משמעותי את הדוחות שהן פרסמו.</w:t>
      </w:r>
    </w:p>
    <w:p w:rsidR="0053660A" w:rsidRDefault="0053660A" w:rsidP="008B316C">
      <w:pPr>
        <w:spacing w:after="0" w:line="360" w:lineRule="auto"/>
        <w:jc w:val="both"/>
        <w:rPr>
          <w:rFonts w:cs="David"/>
          <w:sz w:val="28"/>
          <w:szCs w:val="28"/>
          <w:rtl/>
        </w:rPr>
      </w:pPr>
    </w:p>
    <w:p w:rsidR="00812992" w:rsidRPr="00C22118" w:rsidRDefault="00812992" w:rsidP="00C22118">
      <w:pPr>
        <w:pStyle w:val="a9"/>
        <w:numPr>
          <w:ilvl w:val="0"/>
          <w:numId w:val="25"/>
        </w:numPr>
        <w:spacing w:after="0" w:line="360" w:lineRule="auto"/>
        <w:jc w:val="both"/>
        <w:outlineLvl w:val="2"/>
        <w:rPr>
          <w:rFonts w:cs="David"/>
          <w:sz w:val="28"/>
          <w:szCs w:val="28"/>
          <w:rtl/>
        </w:rPr>
      </w:pPr>
      <w:bookmarkStart w:id="56" w:name="_Toc456027328"/>
      <w:r w:rsidRPr="00C22118">
        <w:rPr>
          <w:rFonts w:cs="David" w:hint="cs"/>
          <w:sz w:val="28"/>
          <w:szCs w:val="28"/>
          <w:rtl/>
        </w:rPr>
        <w:t xml:space="preserve">ייצוג המדינה </w:t>
      </w:r>
      <w:r w:rsidR="00014821" w:rsidRPr="00C22118">
        <w:rPr>
          <w:rFonts w:cs="David" w:hint="cs"/>
          <w:sz w:val="28"/>
          <w:szCs w:val="28"/>
          <w:rtl/>
        </w:rPr>
        <w:t>בוועדה</w:t>
      </w:r>
      <w:r w:rsidRPr="00C22118">
        <w:rPr>
          <w:rFonts w:cs="David" w:hint="cs"/>
          <w:sz w:val="28"/>
          <w:szCs w:val="28"/>
          <w:rtl/>
        </w:rPr>
        <w:t xml:space="preserve"> על ידי נציג מטעמה או נציג המקובל עליה</w:t>
      </w:r>
      <w:bookmarkEnd w:id="56"/>
    </w:p>
    <w:p w:rsidR="00812992" w:rsidRPr="0004711E" w:rsidRDefault="00812992" w:rsidP="008B316C">
      <w:pPr>
        <w:spacing w:after="0" w:line="360" w:lineRule="auto"/>
        <w:jc w:val="both"/>
        <w:rPr>
          <w:rFonts w:cs="David"/>
          <w:sz w:val="28"/>
          <w:szCs w:val="28"/>
          <w:rtl/>
        </w:rPr>
      </w:pPr>
    </w:p>
    <w:p w:rsidR="00224FED" w:rsidRDefault="00770878" w:rsidP="003B4801">
      <w:pPr>
        <w:spacing w:after="0" w:line="360" w:lineRule="auto"/>
        <w:jc w:val="both"/>
        <w:rPr>
          <w:rFonts w:cs="David"/>
          <w:sz w:val="28"/>
          <w:szCs w:val="28"/>
          <w:rtl/>
        </w:rPr>
      </w:pPr>
      <w:r>
        <w:rPr>
          <w:rFonts w:cs="David" w:hint="cs"/>
          <w:sz w:val="28"/>
          <w:szCs w:val="28"/>
          <w:rtl/>
        </w:rPr>
        <w:t xml:space="preserve">דוגמה ייחודית </w:t>
      </w:r>
      <w:r w:rsidR="00420084">
        <w:rPr>
          <w:rFonts w:cs="David" w:hint="cs"/>
          <w:sz w:val="28"/>
          <w:szCs w:val="28"/>
          <w:rtl/>
        </w:rPr>
        <w:t xml:space="preserve">וחיובית </w:t>
      </w:r>
      <w:r>
        <w:rPr>
          <w:rFonts w:cs="David" w:hint="cs"/>
          <w:sz w:val="28"/>
          <w:szCs w:val="28"/>
          <w:rtl/>
        </w:rPr>
        <w:t>לבניית הרכב חברים</w:t>
      </w:r>
      <w:r w:rsidR="003B4801">
        <w:rPr>
          <w:rFonts w:cs="David" w:hint="cs"/>
          <w:sz w:val="28"/>
          <w:szCs w:val="28"/>
          <w:rtl/>
        </w:rPr>
        <w:t>,</w:t>
      </w:r>
      <w:r>
        <w:rPr>
          <w:rFonts w:cs="David" w:hint="cs"/>
          <w:sz w:val="28"/>
          <w:szCs w:val="28"/>
          <w:rtl/>
        </w:rPr>
        <w:t xml:space="preserve"> שיהיה מוסכם על שני הצדדים לבדיקה נמצאה בוועדת פאלמר. הוועדה הייתה מורכבת מארבעה חברים: ג'פרי פאלמר, שכיהן כראש ממשלת ניו זילנד בעברו; אלווארו אוריבה, שכיהן כנשיא קולומביה בעברו; </w:t>
      </w:r>
      <w:r w:rsidRPr="0004711E">
        <w:rPr>
          <w:rFonts w:cs="David" w:hint="cs"/>
          <w:sz w:val="28"/>
          <w:szCs w:val="28"/>
          <w:rtl/>
        </w:rPr>
        <w:t>נציג ישראלי</w:t>
      </w:r>
      <w:r>
        <w:rPr>
          <w:rFonts w:cs="David" w:hint="cs"/>
          <w:sz w:val="28"/>
          <w:szCs w:val="28"/>
          <w:rtl/>
        </w:rPr>
        <w:t xml:space="preserve">, </w:t>
      </w:r>
      <w:r w:rsidRPr="0004711E">
        <w:rPr>
          <w:rFonts w:cs="David" w:hint="cs"/>
          <w:sz w:val="28"/>
          <w:szCs w:val="28"/>
          <w:rtl/>
        </w:rPr>
        <w:t>ד"ר יוסף צ'חנובר</w:t>
      </w:r>
      <w:r>
        <w:rPr>
          <w:rFonts w:cs="David" w:hint="cs"/>
          <w:sz w:val="28"/>
          <w:szCs w:val="28"/>
          <w:rtl/>
        </w:rPr>
        <w:t xml:space="preserve">; ונציג תורכי, סולימאן אוזדם סאנברק. הרכב זה יצר מצב שבו שני הצדדים יכלו להביא לוועדה באופן ישיר את נקודת המבט הייחודית של המדינה שהם ייצגו ולייצר קשר ישיר בינם </w:t>
      </w:r>
      <w:r w:rsidR="00EA1EA7">
        <w:rPr>
          <w:rFonts w:cs="David" w:hint="cs"/>
          <w:sz w:val="28"/>
          <w:szCs w:val="28"/>
          <w:rtl/>
        </w:rPr>
        <w:t xml:space="preserve">לבין עצמם </w:t>
      </w:r>
      <w:r w:rsidR="00FE02C0">
        <w:rPr>
          <w:rFonts w:cs="David" w:hint="cs"/>
          <w:sz w:val="28"/>
          <w:szCs w:val="28"/>
          <w:rtl/>
        </w:rPr>
        <w:lastRenderedPageBreak/>
        <w:t>ועם חברי הוועדה</w:t>
      </w:r>
      <w:r w:rsidR="003B4801">
        <w:rPr>
          <w:rFonts w:cs="David" w:hint="cs"/>
          <w:sz w:val="28"/>
          <w:szCs w:val="28"/>
          <w:rtl/>
        </w:rPr>
        <w:t xml:space="preserve"> האחרים</w:t>
      </w:r>
      <w:r w:rsidR="00FE02C0">
        <w:rPr>
          <w:rFonts w:cs="David" w:hint="cs"/>
          <w:sz w:val="28"/>
          <w:szCs w:val="28"/>
          <w:rtl/>
        </w:rPr>
        <w:t xml:space="preserve">. הקשר הזה גם יצר לאחר מכן </w:t>
      </w:r>
      <w:r w:rsidR="00224FED" w:rsidRPr="0004711E">
        <w:rPr>
          <w:rFonts w:cs="David" w:hint="cs"/>
          <w:sz w:val="28"/>
          <w:szCs w:val="28"/>
          <w:rtl/>
        </w:rPr>
        <w:t xml:space="preserve">פלטפורמה מדינית </w:t>
      </w:r>
      <w:r w:rsidR="00FE02C0">
        <w:rPr>
          <w:rFonts w:cs="David" w:hint="cs"/>
          <w:sz w:val="28"/>
          <w:szCs w:val="28"/>
          <w:rtl/>
        </w:rPr>
        <w:t>בין הנציגים הישראלי והתורכי</w:t>
      </w:r>
      <w:r w:rsidR="003B4801">
        <w:rPr>
          <w:rFonts w:cs="David" w:hint="cs"/>
          <w:sz w:val="28"/>
          <w:szCs w:val="28"/>
          <w:rtl/>
        </w:rPr>
        <w:t>,</w:t>
      </w:r>
      <w:r w:rsidR="00FE02C0">
        <w:rPr>
          <w:rFonts w:cs="David" w:hint="cs"/>
          <w:sz w:val="28"/>
          <w:szCs w:val="28"/>
          <w:rtl/>
        </w:rPr>
        <w:t xml:space="preserve"> </w:t>
      </w:r>
      <w:r w:rsidR="00EA1EA7">
        <w:rPr>
          <w:rFonts w:cs="David" w:hint="cs"/>
          <w:sz w:val="28"/>
          <w:szCs w:val="28"/>
          <w:rtl/>
        </w:rPr>
        <w:t xml:space="preserve">שאפשרה </w:t>
      </w:r>
      <w:r w:rsidR="00224FED" w:rsidRPr="0004711E">
        <w:rPr>
          <w:rFonts w:cs="David" w:hint="cs"/>
          <w:sz w:val="28"/>
          <w:szCs w:val="28"/>
          <w:rtl/>
        </w:rPr>
        <w:t xml:space="preserve">ניסיון </w:t>
      </w:r>
      <w:r w:rsidR="00EA1EA7">
        <w:rPr>
          <w:rFonts w:cs="David" w:hint="cs"/>
          <w:sz w:val="28"/>
          <w:szCs w:val="28"/>
          <w:rtl/>
        </w:rPr>
        <w:t xml:space="preserve">מתמשך </w:t>
      </w:r>
      <w:r w:rsidR="00224FED" w:rsidRPr="0004711E">
        <w:rPr>
          <w:rFonts w:cs="David" w:hint="cs"/>
          <w:sz w:val="28"/>
          <w:szCs w:val="28"/>
          <w:rtl/>
        </w:rPr>
        <w:t xml:space="preserve">לפתור את הסכסוך בין </w:t>
      </w:r>
      <w:r w:rsidR="00FE02C0">
        <w:rPr>
          <w:rFonts w:cs="David" w:hint="cs"/>
          <w:sz w:val="28"/>
          <w:szCs w:val="28"/>
          <w:rtl/>
        </w:rPr>
        <w:t>ישראל לתורכיה ולא רק לדון באירוע הנקודתי</w:t>
      </w:r>
      <w:r w:rsidR="00FE02C0">
        <w:rPr>
          <w:rStyle w:val="a7"/>
          <w:rFonts w:cs="David"/>
          <w:sz w:val="28"/>
          <w:szCs w:val="28"/>
          <w:rtl/>
        </w:rPr>
        <w:footnoteReference w:id="218"/>
      </w:r>
      <w:r w:rsidR="00FE02C0">
        <w:rPr>
          <w:rFonts w:cs="David" w:hint="cs"/>
          <w:sz w:val="28"/>
          <w:szCs w:val="28"/>
          <w:rtl/>
        </w:rPr>
        <w:t>.</w:t>
      </w:r>
    </w:p>
    <w:p w:rsidR="009F1F7B" w:rsidRDefault="009F1F7B" w:rsidP="008B316C">
      <w:pPr>
        <w:spacing w:after="0" w:line="360" w:lineRule="auto"/>
        <w:jc w:val="both"/>
        <w:rPr>
          <w:rFonts w:cs="David"/>
          <w:sz w:val="28"/>
          <w:szCs w:val="28"/>
          <w:rtl/>
        </w:rPr>
      </w:pPr>
    </w:p>
    <w:p w:rsidR="00D1132D" w:rsidRDefault="009F1F7B" w:rsidP="008B316C">
      <w:pPr>
        <w:spacing w:after="0" w:line="360" w:lineRule="auto"/>
        <w:jc w:val="both"/>
        <w:rPr>
          <w:rFonts w:cs="David"/>
          <w:sz w:val="28"/>
          <w:szCs w:val="28"/>
          <w:rtl/>
        </w:rPr>
      </w:pPr>
      <w:r>
        <w:rPr>
          <w:rFonts w:cs="David" w:hint="cs"/>
          <w:sz w:val="28"/>
          <w:szCs w:val="28"/>
          <w:rtl/>
        </w:rPr>
        <w:t xml:space="preserve">נראה, כי החברות בוועדה של חברים משתי המדינות הנוגעות בדבר </w:t>
      </w:r>
      <w:r>
        <w:rPr>
          <w:rFonts w:cs="David"/>
          <w:sz w:val="28"/>
          <w:szCs w:val="28"/>
          <w:rtl/>
        </w:rPr>
        <w:t>–</w:t>
      </w:r>
      <w:r>
        <w:rPr>
          <w:rFonts w:cs="David" w:hint="cs"/>
          <w:sz w:val="28"/>
          <w:szCs w:val="28"/>
          <w:rtl/>
        </w:rPr>
        <w:t xml:space="preserve"> ישראל ותורכיה </w:t>
      </w:r>
      <w:r>
        <w:rPr>
          <w:rFonts w:cs="David"/>
          <w:sz w:val="28"/>
          <w:szCs w:val="28"/>
          <w:rtl/>
        </w:rPr>
        <w:t>–</w:t>
      </w:r>
      <w:r>
        <w:rPr>
          <w:rFonts w:cs="David" w:hint="cs"/>
          <w:sz w:val="28"/>
          <w:szCs w:val="28"/>
          <w:rtl/>
        </w:rPr>
        <w:t xml:space="preserve"> הגדילה את הלגיטימציה של הוועדה </w:t>
      </w:r>
      <w:r w:rsidR="00492C26">
        <w:rPr>
          <w:rFonts w:cs="David" w:hint="cs"/>
          <w:sz w:val="28"/>
          <w:szCs w:val="28"/>
          <w:rtl/>
        </w:rPr>
        <w:t>(כך לפחות היה בישראל</w:t>
      </w:r>
      <w:r w:rsidR="00E40A62">
        <w:rPr>
          <w:rFonts w:cs="David" w:hint="cs"/>
          <w:sz w:val="28"/>
          <w:szCs w:val="28"/>
          <w:rtl/>
        </w:rPr>
        <w:t>, מפני שהתורכים דחו את מסקנות הדוח ונקטו בעקבותיו שורת צעדים נגד ישראל</w:t>
      </w:r>
      <w:r w:rsidR="00E40A62">
        <w:rPr>
          <w:rStyle w:val="a7"/>
          <w:rFonts w:cs="David"/>
          <w:sz w:val="28"/>
          <w:szCs w:val="28"/>
          <w:rtl/>
        </w:rPr>
        <w:footnoteReference w:id="219"/>
      </w:r>
      <w:r w:rsidR="00492C26">
        <w:rPr>
          <w:rFonts w:cs="David" w:hint="cs"/>
          <w:sz w:val="28"/>
          <w:szCs w:val="28"/>
          <w:rtl/>
        </w:rPr>
        <w:t xml:space="preserve">) </w:t>
      </w:r>
      <w:r>
        <w:rPr>
          <w:rFonts w:cs="David" w:hint="cs"/>
          <w:sz w:val="28"/>
          <w:szCs w:val="28"/>
          <w:rtl/>
        </w:rPr>
        <w:t xml:space="preserve">ויצרה את התחושה שלכל אחת מהן יש את היכולת להשפיע על עבודת הוועדה ולקבל ייצוג ראוי בתהליך בירור העובדות וקביעת משקלן. המדינה גם סומכת על נציגה בוועדה </w:t>
      </w:r>
      <w:r w:rsidRPr="0004711E">
        <w:rPr>
          <w:rFonts w:cs="David" w:hint="cs"/>
          <w:sz w:val="28"/>
          <w:szCs w:val="28"/>
          <w:rtl/>
        </w:rPr>
        <w:t>שיוודא ש</w:t>
      </w:r>
      <w:r>
        <w:rPr>
          <w:rFonts w:cs="David" w:hint="cs"/>
          <w:sz w:val="28"/>
          <w:szCs w:val="28"/>
          <w:rtl/>
        </w:rPr>
        <w:t xml:space="preserve">הוועדה מתנהלת </w:t>
      </w:r>
      <w:r w:rsidR="00B31BC3">
        <w:rPr>
          <w:rFonts w:cs="David" w:hint="cs"/>
          <w:sz w:val="28"/>
          <w:szCs w:val="28"/>
          <w:rtl/>
        </w:rPr>
        <w:t>על פי</w:t>
      </w:r>
      <w:r>
        <w:rPr>
          <w:rFonts w:cs="David" w:hint="cs"/>
          <w:sz w:val="28"/>
          <w:szCs w:val="28"/>
          <w:rtl/>
        </w:rPr>
        <w:t xml:space="preserve"> </w:t>
      </w:r>
      <w:r w:rsidRPr="0004711E">
        <w:rPr>
          <w:rFonts w:cs="David" w:hint="cs"/>
          <w:sz w:val="28"/>
          <w:szCs w:val="28"/>
          <w:rtl/>
        </w:rPr>
        <w:t>הליך תקין (</w:t>
      </w:r>
      <w:r w:rsidRPr="0004711E">
        <w:rPr>
          <w:rFonts w:cs="David"/>
          <w:sz w:val="28"/>
          <w:szCs w:val="28"/>
        </w:rPr>
        <w:t>due process</w:t>
      </w:r>
      <w:r w:rsidRPr="0004711E">
        <w:rPr>
          <w:rFonts w:cs="David" w:hint="cs"/>
          <w:sz w:val="28"/>
          <w:szCs w:val="28"/>
          <w:rtl/>
        </w:rPr>
        <w:t>)</w:t>
      </w:r>
      <w:r>
        <w:rPr>
          <w:rFonts w:cs="David" w:hint="cs"/>
          <w:sz w:val="28"/>
          <w:szCs w:val="28"/>
          <w:rtl/>
        </w:rPr>
        <w:t xml:space="preserve"> ושניתן לסמוך</w:t>
      </w:r>
      <w:r w:rsidR="00D1132D">
        <w:rPr>
          <w:rFonts w:cs="David" w:hint="cs"/>
          <w:sz w:val="28"/>
          <w:szCs w:val="28"/>
          <w:rtl/>
        </w:rPr>
        <w:t xml:space="preserve"> על עבודתה</w:t>
      </w:r>
      <w:r>
        <w:rPr>
          <w:rFonts w:cs="David" w:hint="cs"/>
          <w:sz w:val="28"/>
          <w:szCs w:val="28"/>
          <w:rtl/>
        </w:rPr>
        <w:t xml:space="preserve">. </w:t>
      </w:r>
      <w:r w:rsidR="00D1132D">
        <w:rPr>
          <w:rFonts w:cs="David" w:hint="cs"/>
          <w:sz w:val="28"/>
          <w:szCs w:val="28"/>
          <w:rtl/>
        </w:rPr>
        <w:t>הגדלת הלגיטימציה של הוועדה במדינות הנוגעות בדבר באמצעות חברות בוועדה גם מגדילה את הסיכוי לכך שממצאי הוועדה יהיו מקובלים על המדינות ויניעו אותן לפעול על פיהם.</w:t>
      </w:r>
      <w:r w:rsidR="008169D7">
        <w:rPr>
          <w:rFonts w:cs="David" w:hint="cs"/>
          <w:sz w:val="28"/>
          <w:szCs w:val="28"/>
          <w:rtl/>
        </w:rPr>
        <w:t xml:space="preserve"> לעניין זה ניתן להזכיר גם את חברותה של פרופסור רות לפידות בטריבונאל הבוררות בין ישראל למצרים בנוגע לטאבה</w:t>
      </w:r>
      <w:r w:rsidR="008169D7">
        <w:rPr>
          <w:rStyle w:val="a7"/>
          <w:rFonts w:cs="David"/>
          <w:sz w:val="28"/>
          <w:szCs w:val="28"/>
          <w:rtl/>
        </w:rPr>
        <w:footnoteReference w:id="220"/>
      </w:r>
      <w:r w:rsidR="008169D7">
        <w:rPr>
          <w:rFonts w:cs="David" w:hint="cs"/>
          <w:sz w:val="28"/>
          <w:szCs w:val="28"/>
          <w:rtl/>
        </w:rPr>
        <w:t>. פרופסור לפידות אף כתבה חוות דעת מטעמה, שח</w:t>
      </w:r>
      <w:r w:rsidR="007D7DF0">
        <w:rPr>
          <w:rFonts w:cs="David" w:hint="cs"/>
          <w:sz w:val="28"/>
          <w:szCs w:val="28"/>
          <w:rtl/>
        </w:rPr>
        <w:t>ָ</w:t>
      </w:r>
      <w:r w:rsidR="008169D7">
        <w:rPr>
          <w:rFonts w:cs="David" w:hint="cs"/>
          <w:sz w:val="28"/>
          <w:szCs w:val="28"/>
          <w:rtl/>
        </w:rPr>
        <w:t>לקה על חוות דעת הרוב בטריבונאל. אין ספק שחברותה בטריבונאל והעובדה שיכלה ל</w:t>
      </w:r>
      <w:r w:rsidR="007D7DF0">
        <w:rPr>
          <w:rFonts w:cs="David" w:hint="cs"/>
          <w:sz w:val="28"/>
          <w:szCs w:val="28"/>
          <w:rtl/>
        </w:rPr>
        <w:t>ערוב להליך התקין שהתנהל בו סייעו</w:t>
      </w:r>
      <w:r w:rsidR="008169D7">
        <w:rPr>
          <w:rFonts w:cs="David" w:hint="cs"/>
          <w:sz w:val="28"/>
          <w:szCs w:val="28"/>
          <w:rtl/>
        </w:rPr>
        <w:t xml:space="preserve"> למדינת ישראל לקבל את הכרעתו ולראות אותה כלגיטימית.</w:t>
      </w:r>
    </w:p>
    <w:p w:rsidR="00D1132D" w:rsidRDefault="00D1132D" w:rsidP="008B316C">
      <w:pPr>
        <w:spacing w:after="0" w:line="360" w:lineRule="auto"/>
        <w:jc w:val="both"/>
        <w:rPr>
          <w:rFonts w:cs="David"/>
          <w:sz w:val="28"/>
          <w:szCs w:val="28"/>
          <w:rtl/>
        </w:rPr>
      </w:pPr>
    </w:p>
    <w:p w:rsidR="00D1132D" w:rsidRPr="0004711E" w:rsidRDefault="009F1F7B" w:rsidP="001A4BDB">
      <w:pPr>
        <w:spacing w:after="0" w:line="360" w:lineRule="auto"/>
        <w:jc w:val="both"/>
        <w:rPr>
          <w:rFonts w:cs="David"/>
          <w:sz w:val="28"/>
          <w:szCs w:val="28"/>
          <w:rtl/>
        </w:rPr>
      </w:pPr>
      <w:r>
        <w:rPr>
          <w:rFonts w:cs="David" w:hint="cs"/>
          <w:sz w:val="28"/>
          <w:szCs w:val="28"/>
          <w:rtl/>
        </w:rPr>
        <w:t>העיקרון של ייצוג המדינה</w:t>
      </w:r>
      <w:r w:rsidR="00692192">
        <w:rPr>
          <w:rFonts w:cs="David" w:hint="cs"/>
          <w:sz w:val="28"/>
          <w:szCs w:val="28"/>
          <w:rtl/>
        </w:rPr>
        <w:t xml:space="preserve"> על ידי </w:t>
      </w:r>
      <w:r>
        <w:rPr>
          <w:rFonts w:cs="David" w:hint="cs"/>
          <w:sz w:val="28"/>
          <w:szCs w:val="28"/>
          <w:rtl/>
        </w:rPr>
        <w:t xml:space="preserve">נציג המקובל עליה בוועדה הבוחנת את עניינה נקבע גם בסעיף </w:t>
      </w:r>
      <w:r>
        <w:rPr>
          <w:rFonts w:cs="David"/>
          <w:sz w:val="28"/>
          <w:szCs w:val="28"/>
        </w:rPr>
        <w:t>90(3)(a)(ii)</w:t>
      </w:r>
      <w:r>
        <w:rPr>
          <w:rFonts w:cs="David" w:hint="cs"/>
          <w:sz w:val="28"/>
          <w:szCs w:val="28"/>
          <w:rtl/>
        </w:rPr>
        <w:t xml:space="preserve"> לפרוטוקול הנוסף הראשון לאמנת ג'נבה, אשר קובע כי כל צד רשאי למנות בוועדה </w:t>
      </w:r>
      <w:r w:rsidRPr="0004711E">
        <w:rPr>
          <w:rFonts w:cs="David" w:hint="cs"/>
          <w:sz w:val="28"/>
          <w:szCs w:val="28"/>
          <w:rtl/>
        </w:rPr>
        <w:t xml:space="preserve">הבינלאומית לבירור עובדות </w:t>
      </w:r>
      <w:r>
        <w:rPr>
          <w:rFonts w:cs="David" w:hint="cs"/>
          <w:sz w:val="28"/>
          <w:szCs w:val="28"/>
          <w:rtl/>
        </w:rPr>
        <w:t>נציג שאינו אזרח שלו.</w:t>
      </w:r>
      <w:r w:rsidR="00D1132D">
        <w:rPr>
          <w:rFonts w:cs="David" w:hint="cs"/>
          <w:sz w:val="28"/>
          <w:szCs w:val="28"/>
          <w:rtl/>
        </w:rPr>
        <w:t xml:space="preserve"> </w:t>
      </w:r>
      <w:r w:rsidR="001A4BDB">
        <w:rPr>
          <w:rFonts w:cs="David" w:hint="cs"/>
          <w:sz w:val="28"/>
          <w:szCs w:val="28"/>
          <w:rtl/>
        </w:rPr>
        <w:t xml:space="preserve">גם </w:t>
      </w:r>
      <w:r w:rsidR="00D1132D">
        <w:rPr>
          <w:rFonts w:cs="David" w:hint="cs"/>
          <w:sz w:val="28"/>
          <w:szCs w:val="28"/>
          <w:rtl/>
        </w:rPr>
        <w:t>חוקת בית הדין הבינלאומי לצדק מאפשרת לכל צד לדיון להכניס להרכב השופטים שופט אד הוק מטעמו</w:t>
      </w:r>
      <w:r w:rsidR="001A4BDB">
        <w:rPr>
          <w:rStyle w:val="a7"/>
          <w:rFonts w:cs="David"/>
          <w:sz w:val="28"/>
          <w:szCs w:val="28"/>
          <w:rtl/>
        </w:rPr>
        <w:footnoteReference w:id="221"/>
      </w:r>
      <w:r w:rsidR="00D1132D">
        <w:rPr>
          <w:rFonts w:cs="David" w:hint="cs"/>
          <w:sz w:val="28"/>
          <w:szCs w:val="28"/>
          <w:rtl/>
        </w:rPr>
        <w:t xml:space="preserve">. כפי שראינו לעיל, גם מדריך הנציבות ממליץ על </w:t>
      </w:r>
      <w:r w:rsidR="00D1132D" w:rsidRPr="0004711E">
        <w:rPr>
          <w:rFonts w:cs="David" w:hint="cs"/>
          <w:sz w:val="28"/>
          <w:szCs w:val="28"/>
          <w:rtl/>
        </w:rPr>
        <w:t xml:space="preserve">הכללת נציגים מאזור המדינה הנתונה לבדיקה </w:t>
      </w:r>
      <w:r w:rsidR="00D1132D">
        <w:rPr>
          <w:rFonts w:cs="David" w:hint="cs"/>
          <w:sz w:val="28"/>
          <w:szCs w:val="28"/>
          <w:rtl/>
        </w:rPr>
        <w:t xml:space="preserve">מפני שהדבר </w:t>
      </w:r>
      <w:r w:rsidR="00D1132D" w:rsidRPr="0004711E">
        <w:rPr>
          <w:rFonts w:cs="David" w:hint="cs"/>
          <w:sz w:val="28"/>
          <w:szCs w:val="28"/>
          <w:rtl/>
        </w:rPr>
        <w:t xml:space="preserve">יכול לסייע לחברי הוועדה </w:t>
      </w:r>
      <w:r w:rsidR="00D1132D" w:rsidRPr="0004711E">
        <w:rPr>
          <w:rFonts w:cs="David" w:hint="cs"/>
          <w:sz w:val="28"/>
          <w:szCs w:val="28"/>
          <w:rtl/>
        </w:rPr>
        <w:lastRenderedPageBreak/>
        <w:t>להבין את ההקשרים הפוליטי, החוקי, החברתי והתרבותי שבהם יש לקיים את החקירה.</w:t>
      </w:r>
    </w:p>
    <w:p w:rsidR="00FE02C0" w:rsidRDefault="00FE02C0" w:rsidP="008B316C">
      <w:pPr>
        <w:spacing w:after="0" w:line="360" w:lineRule="auto"/>
        <w:jc w:val="both"/>
        <w:rPr>
          <w:rFonts w:cs="David"/>
          <w:sz w:val="28"/>
          <w:szCs w:val="28"/>
          <w:rtl/>
        </w:rPr>
      </w:pPr>
    </w:p>
    <w:p w:rsidR="00D1132D" w:rsidRDefault="00D1132D" w:rsidP="008B316C">
      <w:pPr>
        <w:spacing w:after="0" w:line="360" w:lineRule="auto"/>
        <w:jc w:val="both"/>
        <w:rPr>
          <w:rFonts w:cs="David"/>
          <w:sz w:val="28"/>
          <w:szCs w:val="28"/>
          <w:rtl/>
        </w:rPr>
      </w:pPr>
      <w:r>
        <w:rPr>
          <w:rFonts w:cs="David" w:hint="cs"/>
          <w:sz w:val="28"/>
          <w:szCs w:val="28"/>
          <w:rtl/>
        </w:rPr>
        <w:t>נראה, אם כן, שהמודל המאפשר הכללת נציג ישראלי או נציג שנבחר</w:t>
      </w:r>
      <w:r w:rsidR="00692192">
        <w:rPr>
          <w:rFonts w:cs="David" w:hint="cs"/>
          <w:sz w:val="28"/>
          <w:szCs w:val="28"/>
          <w:rtl/>
        </w:rPr>
        <w:t xml:space="preserve"> על ידי </w:t>
      </w:r>
      <w:r>
        <w:rPr>
          <w:rFonts w:cs="David" w:hint="cs"/>
          <w:sz w:val="28"/>
          <w:szCs w:val="28"/>
          <w:rtl/>
        </w:rPr>
        <w:t xml:space="preserve">ישראל על מנת להביא לידי ביטוי את עמדתה בוועדה, הוא מודל שיכול להועיל ויש לשקול </w:t>
      </w:r>
      <w:r w:rsidR="00EA1EA7">
        <w:rPr>
          <w:rFonts w:cs="David" w:hint="cs"/>
          <w:sz w:val="28"/>
          <w:szCs w:val="28"/>
          <w:rtl/>
        </w:rPr>
        <w:t xml:space="preserve">לנסות </w:t>
      </w:r>
      <w:r>
        <w:rPr>
          <w:rFonts w:cs="David" w:hint="cs"/>
          <w:sz w:val="28"/>
          <w:szCs w:val="28"/>
          <w:rtl/>
        </w:rPr>
        <w:t>לקדמו במצבים המתאימים גם בעתיד.</w:t>
      </w:r>
    </w:p>
    <w:p w:rsidR="00D1132D" w:rsidRDefault="00D1132D" w:rsidP="008B316C">
      <w:pPr>
        <w:spacing w:after="0" w:line="360" w:lineRule="auto"/>
        <w:jc w:val="both"/>
        <w:rPr>
          <w:rFonts w:cs="David"/>
          <w:sz w:val="28"/>
          <w:szCs w:val="28"/>
          <w:rtl/>
        </w:rPr>
      </w:pPr>
    </w:p>
    <w:p w:rsidR="00812992" w:rsidRPr="00C22118" w:rsidRDefault="00812992" w:rsidP="00C22118">
      <w:pPr>
        <w:pStyle w:val="a9"/>
        <w:numPr>
          <w:ilvl w:val="0"/>
          <w:numId w:val="25"/>
        </w:numPr>
        <w:spacing w:after="0" w:line="360" w:lineRule="auto"/>
        <w:jc w:val="both"/>
        <w:outlineLvl w:val="2"/>
        <w:rPr>
          <w:rFonts w:cs="David"/>
          <w:sz w:val="28"/>
          <w:szCs w:val="28"/>
          <w:rtl/>
        </w:rPr>
      </w:pPr>
      <w:bookmarkStart w:id="57" w:name="_Toc456027329"/>
      <w:r w:rsidRPr="00C22118">
        <w:rPr>
          <w:rFonts w:cs="David" w:hint="cs"/>
          <w:sz w:val="28"/>
          <w:szCs w:val="28"/>
          <w:rtl/>
        </w:rPr>
        <w:t xml:space="preserve">המומחיות הנדרשת מחברי </w:t>
      </w:r>
      <w:r w:rsidR="001165FD" w:rsidRPr="00C22118">
        <w:rPr>
          <w:rFonts w:cs="David" w:hint="cs"/>
          <w:sz w:val="28"/>
          <w:szCs w:val="28"/>
          <w:rtl/>
        </w:rPr>
        <w:t>הוועדה</w:t>
      </w:r>
      <w:bookmarkEnd w:id="57"/>
    </w:p>
    <w:p w:rsidR="00812992" w:rsidRPr="0004711E" w:rsidRDefault="00812992" w:rsidP="008B316C">
      <w:pPr>
        <w:spacing w:after="0" w:line="360" w:lineRule="auto"/>
        <w:jc w:val="both"/>
        <w:rPr>
          <w:rFonts w:cs="David"/>
          <w:sz w:val="28"/>
          <w:szCs w:val="28"/>
          <w:rtl/>
        </w:rPr>
      </w:pPr>
    </w:p>
    <w:p w:rsidR="00ED5F9C" w:rsidRDefault="00937F62" w:rsidP="00442D5B">
      <w:pPr>
        <w:spacing w:after="0" w:line="360" w:lineRule="auto"/>
        <w:jc w:val="both"/>
        <w:rPr>
          <w:rFonts w:cs="David"/>
          <w:sz w:val="28"/>
          <w:szCs w:val="28"/>
          <w:rtl/>
        </w:rPr>
      </w:pPr>
      <w:r>
        <w:rPr>
          <w:rFonts w:cs="David" w:hint="cs"/>
          <w:sz w:val="28"/>
          <w:szCs w:val="28"/>
          <w:rtl/>
        </w:rPr>
        <w:t>נושא נוסף</w:t>
      </w:r>
      <w:r w:rsidR="003B4801">
        <w:rPr>
          <w:rFonts w:cs="David" w:hint="cs"/>
          <w:sz w:val="28"/>
          <w:szCs w:val="28"/>
          <w:rtl/>
        </w:rPr>
        <w:t>,</w:t>
      </w:r>
      <w:r>
        <w:rPr>
          <w:rFonts w:cs="David" w:hint="cs"/>
          <w:sz w:val="28"/>
          <w:szCs w:val="28"/>
          <w:rtl/>
        </w:rPr>
        <w:t xml:space="preserve"> שמצריך דיון בהקשר לזהות חברי </w:t>
      </w:r>
      <w:r w:rsidR="001165FD">
        <w:rPr>
          <w:rFonts w:cs="David" w:hint="cs"/>
          <w:sz w:val="28"/>
          <w:szCs w:val="28"/>
          <w:rtl/>
        </w:rPr>
        <w:t>הוועדה</w:t>
      </w:r>
      <w:r>
        <w:rPr>
          <w:rFonts w:cs="David" w:hint="cs"/>
          <w:sz w:val="28"/>
          <w:szCs w:val="28"/>
          <w:rtl/>
        </w:rPr>
        <w:t xml:space="preserve"> נוגע ל</w:t>
      </w:r>
      <w:r w:rsidR="00224FED" w:rsidRPr="0004711E">
        <w:rPr>
          <w:rFonts w:cs="David" w:hint="cs"/>
          <w:b/>
          <w:bCs/>
          <w:sz w:val="28"/>
          <w:szCs w:val="28"/>
          <w:rtl/>
        </w:rPr>
        <w:t xml:space="preserve">מומחיות </w:t>
      </w:r>
      <w:r>
        <w:rPr>
          <w:rFonts w:cs="David" w:hint="cs"/>
          <w:b/>
          <w:bCs/>
          <w:sz w:val="28"/>
          <w:szCs w:val="28"/>
          <w:rtl/>
        </w:rPr>
        <w:t xml:space="preserve">הרלוונטית </w:t>
      </w:r>
      <w:r>
        <w:rPr>
          <w:rFonts w:cs="David" w:hint="cs"/>
          <w:sz w:val="28"/>
          <w:szCs w:val="28"/>
          <w:rtl/>
        </w:rPr>
        <w:t xml:space="preserve">שלהם. </w:t>
      </w:r>
      <w:r w:rsidRPr="00937F62">
        <w:rPr>
          <w:rFonts w:cs="David" w:hint="cs"/>
          <w:sz w:val="28"/>
          <w:szCs w:val="28"/>
          <w:rtl/>
        </w:rPr>
        <w:t xml:space="preserve">ראינו </w:t>
      </w:r>
      <w:r>
        <w:rPr>
          <w:rFonts w:cs="David" w:hint="cs"/>
          <w:sz w:val="28"/>
          <w:szCs w:val="28"/>
          <w:rtl/>
        </w:rPr>
        <w:t xml:space="preserve">שמדריך הנציבות מציין כי </w:t>
      </w:r>
      <w:r w:rsidRPr="00937F62">
        <w:rPr>
          <w:rFonts w:cs="David" w:hint="cs"/>
          <w:sz w:val="28"/>
          <w:szCs w:val="28"/>
          <w:rtl/>
        </w:rPr>
        <w:t>יכולת מוכרת וידע וניסיון משמעותיים מוכחים במשפט זכויות האדם הבינלאומי, המשפט ההומניטארי הבינלאומי והמשפט הפלילי הבינלאומי, בהתאם לעניין</w:t>
      </w:r>
      <w:r>
        <w:rPr>
          <w:rFonts w:cs="David" w:hint="cs"/>
          <w:sz w:val="28"/>
          <w:szCs w:val="28"/>
          <w:rtl/>
        </w:rPr>
        <w:t xml:space="preserve">, הם כישורים נדרשים מחברי </w:t>
      </w:r>
      <w:r w:rsidR="009F6ED1">
        <w:rPr>
          <w:rFonts w:cs="David" w:hint="cs"/>
          <w:sz w:val="28"/>
          <w:szCs w:val="28"/>
          <w:rtl/>
        </w:rPr>
        <w:t xml:space="preserve">ועדות חקירה </w:t>
      </w:r>
      <w:r>
        <w:rPr>
          <w:rFonts w:cs="David" w:hint="cs"/>
          <w:sz w:val="28"/>
          <w:szCs w:val="28"/>
          <w:rtl/>
        </w:rPr>
        <w:t xml:space="preserve">בינלאומיות. </w:t>
      </w:r>
      <w:r w:rsidR="00ED5F9C">
        <w:rPr>
          <w:rFonts w:cs="David" w:hint="cs"/>
          <w:sz w:val="28"/>
          <w:szCs w:val="28"/>
          <w:rtl/>
        </w:rPr>
        <w:t>כידוע</w:t>
      </w:r>
      <w:r w:rsidR="00ED5F9C" w:rsidRPr="0004711E">
        <w:rPr>
          <w:rFonts w:cs="David" w:hint="cs"/>
          <w:sz w:val="28"/>
          <w:szCs w:val="28"/>
          <w:rtl/>
        </w:rPr>
        <w:t xml:space="preserve">, </w:t>
      </w:r>
      <w:r w:rsidR="003B4801">
        <w:rPr>
          <w:rFonts w:cs="David" w:hint="cs"/>
          <w:sz w:val="28"/>
          <w:szCs w:val="28"/>
          <w:rtl/>
        </w:rPr>
        <w:t xml:space="preserve">חלוקה </w:t>
      </w:r>
      <w:r w:rsidR="00ED5F9C" w:rsidRPr="0004711E">
        <w:rPr>
          <w:rFonts w:cs="David" w:hint="cs"/>
          <w:sz w:val="28"/>
          <w:szCs w:val="28"/>
          <w:rtl/>
        </w:rPr>
        <w:t xml:space="preserve">מדינת ישראל </w:t>
      </w:r>
      <w:r w:rsidR="00ED5F9C">
        <w:rPr>
          <w:rFonts w:cs="David" w:hint="cs"/>
          <w:sz w:val="28"/>
          <w:szCs w:val="28"/>
          <w:rtl/>
        </w:rPr>
        <w:t>בעמדתה המשפטית עם גורמים רבים אחרים בקהילה הבינלאומית באשר לתחולתו של משפט זכויות האדם הבינלאומי בהקשר של מבצעיה הצבאיים</w:t>
      </w:r>
      <w:r w:rsidR="00043E6D">
        <w:rPr>
          <w:rStyle w:val="a7"/>
          <w:rFonts w:cs="David"/>
          <w:sz w:val="28"/>
          <w:szCs w:val="28"/>
          <w:rtl/>
        </w:rPr>
        <w:footnoteReference w:id="222"/>
      </w:r>
      <w:r w:rsidR="00ED5F9C">
        <w:rPr>
          <w:rFonts w:cs="David" w:hint="cs"/>
          <w:sz w:val="28"/>
          <w:szCs w:val="28"/>
          <w:rtl/>
        </w:rPr>
        <w:t xml:space="preserve">. בלי קשר למחלוקת זו, ברור שקורפוס הדינים העיקרי </w:t>
      </w:r>
      <w:r w:rsidR="00442D5B">
        <w:rPr>
          <w:rFonts w:cs="David" w:hint="cs"/>
          <w:sz w:val="28"/>
          <w:szCs w:val="28"/>
          <w:rtl/>
        </w:rPr>
        <w:t>ש</w:t>
      </w:r>
      <w:r w:rsidR="00ED5F9C">
        <w:rPr>
          <w:rFonts w:cs="David" w:hint="cs"/>
          <w:sz w:val="28"/>
          <w:szCs w:val="28"/>
          <w:rtl/>
        </w:rPr>
        <w:t xml:space="preserve">יש להשתמש </w:t>
      </w:r>
      <w:r w:rsidR="00442D5B">
        <w:rPr>
          <w:rFonts w:cs="David" w:hint="cs"/>
          <w:sz w:val="28"/>
          <w:szCs w:val="28"/>
          <w:rtl/>
        </w:rPr>
        <w:t xml:space="preserve">בו </w:t>
      </w:r>
      <w:r w:rsidR="00ED5F9C">
        <w:rPr>
          <w:rFonts w:cs="David" w:hint="cs"/>
          <w:sz w:val="28"/>
          <w:szCs w:val="28"/>
          <w:rtl/>
        </w:rPr>
        <w:t>בעת דיון על מבצע צבאי הוא המשפט הבינלאומי ההומניטארי. מכאן ברור הצורך במומחה למשפט הזה בו</w:t>
      </w:r>
      <w:r w:rsidR="009F6ED1">
        <w:rPr>
          <w:rFonts w:cs="David" w:hint="cs"/>
          <w:sz w:val="28"/>
          <w:szCs w:val="28"/>
          <w:rtl/>
        </w:rPr>
        <w:t xml:space="preserve">ועדות חקירה </w:t>
      </w:r>
      <w:r w:rsidR="00ED5F9C">
        <w:rPr>
          <w:rFonts w:cs="David" w:hint="cs"/>
          <w:sz w:val="28"/>
          <w:szCs w:val="28"/>
          <w:rtl/>
        </w:rPr>
        <w:t xml:space="preserve">שבוחנות מבצעים צבאיים. חבר בעל </w:t>
      </w:r>
      <w:r w:rsidR="00ED5F9C" w:rsidRPr="0004711E">
        <w:rPr>
          <w:rFonts w:cs="David" w:hint="cs"/>
          <w:sz w:val="28"/>
          <w:szCs w:val="28"/>
          <w:rtl/>
        </w:rPr>
        <w:t>מומח</w:t>
      </w:r>
      <w:r w:rsidR="00ED5F9C">
        <w:rPr>
          <w:rFonts w:cs="David" w:hint="cs"/>
          <w:sz w:val="28"/>
          <w:szCs w:val="28"/>
          <w:rtl/>
        </w:rPr>
        <w:t>יות כזו</w:t>
      </w:r>
      <w:r w:rsidR="00ED5F9C" w:rsidRPr="0004711E">
        <w:rPr>
          <w:rFonts w:cs="David" w:hint="cs"/>
          <w:sz w:val="28"/>
          <w:szCs w:val="28"/>
          <w:rtl/>
        </w:rPr>
        <w:t xml:space="preserve"> לא היה </w:t>
      </w:r>
      <w:r w:rsidR="00ED5F9C">
        <w:rPr>
          <w:rFonts w:cs="David" w:hint="cs"/>
          <w:sz w:val="28"/>
          <w:szCs w:val="28"/>
          <w:rtl/>
        </w:rPr>
        <w:t>בוועדת צוק איתן</w:t>
      </w:r>
      <w:r w:rsidR="00ED5F9C" w:rsidRPr="0004711E">
        <w:rPr>
          <w:rFonts w:cs="David" w:hint="cs"/>
          <w:sz w:val="28"/>
          <w:szCs w:val="28"/>
          <w:rtl/>
        </w:rPr>
        <w:t xml:space="preserve">, </w:t>
      </w:r>
      <w:r w:rsidR="00ED5F9C">
        <w:rPr>
          <w:rFonts w:cs="David" w:hint="cs"/>
          <w:sz w:val="28"/>
          <w:szCs w:val="28"/>
          <w:rtl/>
        </w:rPr>
        <w:t>לדוגמה</w:t>
      </w:r>
      <w:r w:rsidR="00ED5F9C" w:rsidRPr="0004711E">
        <w:rPr>
          <w:rFonts w:cs="David" w:hint="cs"/>
          <w:sz w:val="28"/>
          <w:szCs w:val="28"/>
          <w:rtl/>
        </w:rPr>
        <w:t>.</w:t>
      </w:r>
      <w:r w:rsidR="00ED5F9C">
        <w:rPr>
          <w:rFonts w:cs="David" w:hint="cs"/>
          <w:sz w:val="28"/>
          <w:szCs w:val="28"/>
          <w:rtl/>
        </w:rPr>
        <w:t xml:space="preserve"> היעדרותם של חברי ועדה בעלי מומחיות בשדה המשפטי הרלוונטי לתחום החקירה של הוועדה גם עלולה להשפיע לרעה על התפתחות המשפט הבינלאומי;</w:t>
      </w:r>
      <w:r w:rsidR="00A22CD5">
        <w:rPr>
          <w:rFonts w:cs="David" w:hint="cs"/>
          <w:sz w:val="28"/>
          <w:szCs w:val="28"/>
          <w:rtl/>
        </w:rPr>
        <w:t xml:space="preserve"> כך, עלול</w:t>
      </w:r>
      <w:r w:rsidR="00EA1EA7">
        <w:rPr>
          <w:rFonts w:cs="David" w:hint="cs"/>
          <w:sz w:val="28"/>
          <w:szCs w:val="28"/>
          <w:rtl/>
        </w:rPr>
        <w:t xml:space="preserve"> דוח</w:t>
      </w:r>
      <w:r w:rsidR="00A22CD5">
        <w:rPr>
          <w:rFonts w:cs="David" w:hint="cs"/>
          <w:sz w:val="28"/>
          <w:szCs w:val="28"/>
          <w:rtl/>
        </w:rPr>
        <w:t xml:space="preserve"> הוועדה</w:t>
      </w:r>
      <w:r w:rsidR="00ED5F9C">
        <w:rPr>
          <w:rFonts w:cs="David" w:hint="cs"/>
          <w:sz w:val="28"/>
          <w:szCs w:val="28"/>
          <w:rtl/>
        </w:rPr>
        <w:t xml:space="preserve"> להתעלם מהיבטים ממישורים משפטיים רלוונטיים לדיון</w:t>
      </w:r>
      <w:r w:rsidR="00A22CD5">
        <w:rPr>
          <w:rFonts w:cs="David" w:hint="cs"/>
          <w:sz w:val="28"/>
          <w:szCs w:val="28"/>
          <w:rtl/>
        </w:rPr>
        <w:t>,</w:t>
      </w:r>
      <w:r w:rsidR="00ED5F9C">
        <w:rPr>
          <w:rFonts w:cs="David" w:hint="cs"/>
          <w:sz w:val="28"/>
          <w:szCs w:val="28"/>
          <w:rtl/>
        </w:rPr>
        <w:t xml:space="preserve"> ו</w:t>
      </w:r>
      <w:r w:rsidR="00A22CD5">
        <w:rPr>
          <w:rFonts w:cs="David" w:hint="cs"/>
          <w:sz w:val="28"/>
          <w:szCs w:val="28"/>
          <w:rtl/>
        </w:rPr>
        <w:t xml:space="preserve">במקביל </w:t>
      </w:r>
      <w:r w:rsidR="00ED5F9C">
        <w:rPr>
          <w:rFonts w:cs="David" w:hint="cs"/>
          <w:sz w:val="28"/>
          <w:szCs w:val="28"/>
          <w:rtl/>
        </w:rPr>
        <w:t xml:space="preserve">להכניס לדיון היבטים ממישורים </w:t>
      </w:r>
      <w:r w:rsidR="00A22CD5">
        <w:rPr>
          <w:rFonts w:cs="David" w:hint="cs"/>
          <w:sz w:val="28"/>
          <w:szCs w:val="28"/>
          <w:rtl/>
        </w:rPr>
        <w:t xml:space="preserve">משפטיים </w:t>
      </w:r>
      <w:r w:rsidR="00ED5F9C">
        <w:rPr>
          <w:rFonts w:cs="David" w:hint="cs"/>
          <w:sz w:val="28"/>
          <w:szCs w:val="28"/>
          <w:rtl/>
        </w:rPr>
        <w:t>לא רלוונטיים.</w:t>
      </w:r>
      <w:r w:rsidR="00606363">
        <w:rPr>
          <w:rFonts w:cs="David" w:hint="cs"/>
          <w:sz w:val="28"/>
          <w:szCs w:val="28"/>
          <w:rtl/>
        </w:rPr>
        <w:t xml:space="preserve"> לא למותר לציין גם את הברור מאליו, והוא שבהימנותו של מומחה לדין הרלוונטי בהרכב הוועדה אין די. אותו מומחה גם חייב לעשות שימוש במומחיותו ולנתח את ממצאי הוועדה על פי הדין הרלוונטי בו הוא מומחה, שאם לא כן, אין כל ערך לחברותו בוועדה.</w:t>
      </w:r>
    </w:p>
    <w:p w:rsidR="00ED5F9C" w:rsidRDefault="00ED5F9C" w:rsidP="008B316C">
      <w:pPr>
        <w:spacing w:after="0" w:line="360" w:lineRule="auto"/>
        <w:jc w:val="both"/>
        <w:rPr>
          <w:rFonts w:cs="David"/>
          <w:sz w:val="28"/>
          <w:szCs w:val="28"/>
          <w:rtl/>
        </w:rPr>
      </w:pPr>
    </w:p>
    <w:p w:rsidR="00A22CD5" w:rsidRDefault="00937F62" w:rsidP="00442D5B">
      <w:pPr>
        <w:spacing w:after="0" w:line="360" w:lineRule="auto"/>
        <w:jc w:val="both"/>
        <w:rPr>
          <w:rFonts w:cs="David"/>
          <w:sz w:val="28"/>
          <w:szCs w:val="28"/>
          <w:rtl/>
        </w:rPr>
      </w:pPr>
      <w:r>
        <w:rPr>
          <w:rFonts w:cs="David" w:hint="cs"/>
          <w:sz w:val="28"/>
          <w:szCs w:val="28"/>
          <w:rtl/>
        </w:rPr>
        <w:t>מה שלא נזכר במדריך הנציבות</w:t>
      </w:r>
      <w:r w:rsidR="00442D5B">
        <w:rPr>
          <w:rFonts w:cs="David" w:hint="cs"/>
          <w:sz w:val="28"/>
          <w:szCs w:val="28"/>
          <w:rtl/>
        </w:rPr>
        <w:t>,</w:t>
      </w:r>
      <w:r>
        <w:rPr>
          <w:rFonts w:cs="David" w:hint="cs"/>
          <w:sz w:val="28"/>
          <w:szCs w:val="28"/>
          <w:rtl/>
        </w:rPr>
        <w:t xml:space="preserve"> אך נראה חשוב לא פחות הוא</w:t>
      </w:r>
      <w:r w:rsidR="00224FED" w:rsidRPr="0004711E">
        <w:rPr>
          <w:rFonts w:cs="David" w:hint="cs"/>
          <w:sz w:val="28"/>
          <w:szCs w:val="28"/>
          <w:rtl/>
        </w:rPr>
        <w:t>, ש</w:t>
      </w:r>
      <w:r>
        <w:rPr>
          <w:rFonts w:cs="David" w:hint="cs"/>
          <w:sz w:val="28"/>
          <w:szCs w:val="28"/>
          <w:rtl/>
        </w:rPr>
        <w:t>ראוי ש</w:t>
      </w:r>
      <w:r w:rsidR="00014821">
        <w:rPr>
          <w:rFonts w:cs="David" w:hint="cs"/>
          <w:sz w:val="28"/>
          <w:szCs w:val="28"/>
          <w:rtl/>
        </w:rPr>
        <w:t>בוועדה</w:t>
      </w:r>
      <w:r w:rsidR="00224FED" w:rsidRPr="0004711E">
        <w:rPr>
          <w:rFonts w:cs="David" w:hint="cs"/>
          <w:sz w:val="28"/>
          <w:szCs w:val="28"/>
          <w:rtl/>
        </w:rPr>
        <w:t xml:space="preserve"> שבודק</w:t>
      </w:r>
      <w:r w:rsidR="001A4BDB">
        <w:rPr>
          <w:rFonts w:cs="David" w:hint="cs"/>
          <w:sz w:val="28"/>
          <w:szCs w:val="28"/>
          <w:rtl/>
        </w:rPr>
        <w:t>ת</w:t>
      </w:r>
      <w:r w:rsidR="00224FED" w:rsidRPr="0004711E">
        <w:rPr>
          <w:rFonts w:cs="David" w:hint="cs"/>
          <w:sz w:val="28"/>
          <w:szCs w:val="28"/>
          <w:rtl/>
        </w:rPr>
        <w:t xml:space="preserve"> פעילות צבאית יהיה גם </w:t>
      </w:r>
      <w:r w:rsidR="00224FED" w:rsidRPr="00ED5F9C">
        <w:rPr>
          <w:rFonts w:cs="David" w:hint="cs"/>
          <w:b/>
          <w:bCs/>
          <w:sz w:val="28"/>
          <w:szCs w:val="28"/>
          <w:rtl/>
        </w:rPr>
        <w:t>מומחה צבאי</w:t>
      </w:r>
      <w:r w:rsidR="00224FED" w:rsidRPr="0004711E">
        <w:rPr>
          <w:rFonts w:cs="David" w:hint="cs"/>
          <w:sz w:val="28"/>
          <w:szCs w:val="28"/>
          <w:rtl/>
        </w:rPr>
        <w:t xml:space="preserve">. </w:t>
      </w:r>
      <w:r w:rsidR="006A1887">
        <w:rPr>
          <w:rFonts w:cs="David" w:hint="cs"/>
          <w:sz w:val="28"/>
          <w:szCs w:val="28"/>
          <w:rtl/>
        </w:rPr>
        <w:t xml:space="preserve">זו הייתה נקודת ביקורת של מדינת ישראל כלפי חלק מהוועדות שבחנו את פעולותיה בעבר. כך, לדוגמה, בוועדת צוק </w:t>
      </w:r>
      <w:r w:rsidR="006A1887">
        <w:rPr>
          <w:rFonts w:cs="David" w:hint="cs"/>
          <w:sz w:val="28"/>
          <w:szCs w:val="28"/>
          <w:rtl/>
        </w:rPr>
        <w:lastRenderedPageBreak/>
        <w:t xml:space="preserve">איתן </w:t>
      </w:r>
      <w:r w:rsidR="00224FED" w:rsidRPr="0004711E">
        <w:rPr>
          <w:rFonts w:cs="David" w:hint="cs"/>
          <w:sz w:val="28"/>
          <w:szCs w:val="28"/>
          <w:rtl/>
        </w:rPr>
        <w:t xml:space="preserve">לא היה </w:t>
      </w:r>
      <w:r w:rsidR="00396025">
        <w:rPr>
          <w:rFonts w:cs="David" w:hint="cs"/>
          <w:sz w:val="28"/>
          <w:szCs w:val="28"/>
          <w:rtl/>
        </w:rPr>
        <w:t>חבר בעל</w:t>
      </w:r>
      <w:r w:rsidR="006A1887">
        <w:rPr>
          <w:rFonts w:cs="David" w:hint="cs"/>
          <w:sz w:val="28"/>
          <w:szCs w:val="28"/>
          <w:rtl/>
        </w:rPr>
        <w:t xml:space="preserve"> מומחיות כזו</w:t>
      </w:r>
      <w:r w:rsidR="00ED5F9C">
        <w:rPr>
          <w:rStyle w:val="a7"/>
          <w:rFonts w:cs="David"/>
          <w:sz w:val="28"/>
          <w:szCs w:val="28"/>
          <w:rtl/>
        </w:rPr>
        <w:footnoteReference w:id="223"/>
      </w:r>
      <w:r w:rsidR="00224FED" w:rsidRPr="0004711E">
        <w:rPr>
          <w:rFonts w:cs="David" w:hint="cs"/>
          <w:sz w:val="28"/>
          <w:szCs w:val="28"/>
          <w:rtl/>
        </w:rPr>
        <w:t xml:space="preserve">, </w:t>
      </w:r>
      <w:r w:rsidR="006A1887">
        <w:rPr>
          <w:rFonts w:cs="David" w:hint="cs"/>
          <w:sz w:val="28"/>
          <w:szCs w:val="28"/>
          <w:rtl/>
        </w:rPr>
        <w:t xml:space="preserve">מה שהקשה על </w:t>
      </w:r>
      <w:r w:rsidR="00224FED" w:rsidRPr="0004711E">
        <w:rPr>
          <w:rFonts w:cs="David" w:hint="cs"/>
          <w:sz w:val="28"/>
          <w:szCs w:val="28"/>
          <w:rtl/>
        </w:rPr>
        <w:t>הוועדה להבין שיקולים של מפקד צבאי. בוועדת גולדסטון היה</w:t>
      </w:r>
      <w:r w:rsidR="006A1887">
        <w:rPr>
          <w:rFonts w:cs="David" w:hint="cs"/>
          <w:sz w:val="28"/>
          <w:szCs w:val="28"/>
          <w:rtl/>
        </w:rPr>
        <w:t xml:space="preserve"> חבר, כאמור, קולונל דזמונד טרוורס, ששירת במשך שנים</w:t>
      </w:r>
      <w:r w:rsidR="00224FED" w:rsidRPr="0004711E">
        <w:rPr>
          <w:rFonts w:cs="David" w:hint="cs"/>
          <w:sz w:val="28"/>
          <w:szCs w:val="28"/>
          <w:rtl/>
        </w:rPr>
        <w:t xml:space="preserve"> </w:t>
      </w:r>
      <w:r w:rsidR="006A1887">
        <w:rPr>
          <w:rFonts w:cs="David" w:hint="cs"/>
          <w:sz w:val="28"/>
          <w:szCs w:val="28"/>
          <w:rtl/>
        </w:rPr>
        <w:t>ב</w:t>
      </w:r>
      <w:r w:rsidR="00224FED" w:rsidRPr="0004711E">
        <w:rPr>
          <w:rFonts w:cs="David" w:hint="cs"/>
          <w:sz w:val="28"/>
          <w:szCs w:val="28"/>
          <w:rtl/>
        </w:rPr>
        <w:t xml:space="preserve">צבא </w:t>
      </w:r>
      <w:r w:rsidR="006A1887">
        <w:rPr>
          <w:rFonts w:cs="David" w:hint="cs"/>
          <w:sz w:val="28"/>
          <w:szCs w:val="28"/>
          <w:rtl/>
        </w:rPr>
        <w:t>ה</w:t>
      </w:r>
      <w:r w:rsidR="00224FED" w:rsidRPr="0004711E">
        <w:rPr>
          <w:rFonts w:cs="David" w:hint="cs"/>
          <w:sz w:val="28"/>
          <w:szCs w:val="28"/>
          <w:rtl/>
        </w:rPr>
        <w:t>אירי</w:t>
      </w:r>
      <w:r w:rsidR="006A1887">
        <w:rPr>
          <w:rFonts w:cs="David" w:hint="cs"/>
          <w:sz w:val="28"/>
          <w:szCs w:val="28"/>
          <w:rtl/>
        </w:rPr>
        <w:t>. ברם, מעבר לדברים שהובאו לעיל באשר להטיה האישית כנגד ישראל שנטענה כנגד טרוורס, ניתן לציין את העובדה</w:t>
      </w:r>
      <w:r w:rsidR="00224FED" w:rsidRPr="0004711E">
        <w:rPr>
          <w:rFonts w:cs="David" w:hint="cs"/>
          <w:sz w:val="28"/>
          <w:szCs w:val="28"/>
          <w:rtl/>
        </w:rPr>
        <w:t xml:space="preserve"> </w:t>
      </w:r>
      <w:r w:rsidR="00B450F0">
        <w:rPr>
          <w:rFonts w:cs="David" w:hint="cs"/>
          <w:sz w:val="28"/>
          <w:szCs w:val="28"/>
          <w:rtl/>
        </w:rPr>
        <w:t>ש</w:t>
      </w:r>
      <w:r w:rsidR="00224FED" w:rsidRPr="0004711E">
        <w:rPr>
          <w:rFonts w:cs="David" w:hint="cs"/>
          <w:sz w:val="28"/>
          <w:szCs w:val="28"/>
          <w:rtl/>
        </w:rPr>
        <w:t xml:space="preserve">חיל </w:t>
      </w:r>
      <w:r w:rsidR="00B450F0">
        <w:rPr>
          <w:rFonts w:cs="David" w:hint="cs"/>
          <w:sz w:val="28"/>
          <w:szCs w:val="28"/>
          <w:rtl/>
        </w:rPr>
        <w:t>ה</w:t>
      </w:r>
      <w:r w:rsidR="00224FED" w:rsidRPr="0004711E">
        <w:rPr>
          <w:rFonts w:cs="David" w:hint="cs"/>
          <w:sz w:val="28"/>
          <w:szCs w:val="28"/>
          <w:rtl/>
        </w:rPr>
        <w:t>אוויר</w:t>
      </w:r>
      <w:r w:rsidR="00B450F0">
        <w:rPr>
          <w:rFonts w:cs="David" w:hint="cs"/>
          <w:sz w:val="28"/>
          <w:szCs w:val="28"/>
          <w:rtl/>
        </w:rPr>
        <w:t xml:space="preserve"> האירי כלל אינו </w:t>
      </w:r>
      <w:r w:rsidR="00C82B2D">
        <w:rPr>
          <w:rFonts w:cs="David" w:hint="cs"/>
          <w:sz w:val="28"/>
          <w:szCs w:val="28"/>
          <w:rtl/>
        </w:rPr>
        <w:t>מצויד במטוסי קרב ואינו מחזיק ביכולות תקיפת מטרות</w:t>
      </w:r>
      <w:r w:rsidR="00C82B2D">
        <w:rPr>
          <w:rStyle w:val="a7"/>
          <w:rFonts w:cs="David"/>
          <w:sz w:val="28"/>
          <w:szCs w:val="28"/>
          <w:rtl/>
        </w:rPr>
        <w:footnoteReference w:id="224"/>
      </w:r>
      <w:r w:rsidR="00C82B2D">
        <w:rPr>
          <w:rFonts w:cs="David" w:hint="cs"/>
          <w:sz w:val="28"/>
          <w:szCs w:val="28"/>
          <w:rtl/>
        </w:rPr>
        <w:t>;</w:t>
      </w:r>
      <w:r w:rsidR="00224FED" w:rsidRPr="0004711E">
        <w:rPr>
          <w:rFonts w:cs="David" w:hint="cs"/>
          <w:sz w:val="28"/>
          <w:szCs w:val="28"/>
          <w:rtl/>
        </w:rPr>
        <w:t xml:space="preserve"> </w:t>
      </w:r>
      <w:r w:rsidR="00C82B2D">
        <w:rPr>
          <w:rFonts w:cs="David" w:hint="cs"/>
          <w:sz w:val="28"/>
          <w:szCs w:val="28"/>
          <w:rtl/>
        </w:rPr>
        <w:t>מאחר ש</w:t>
      </w:r>
      <w:r w:rsidR="00224FED" w:rsidRPr="0004711E">
        <w:rPr>
          <w:rFonts w:cs="David" w:hint="cs"/>
          <w:sz w:val="28"/>
          <w:szCs w:val="28"/>
          <w:rtl/>
        </w:rPr>
        <w:t xml:space="preserve">פעילותו של חיל האוויר </w:t>
      </w:r>
      <w:r w:rsidR="00C82B2D">
        <w:rPr>
          <w:rFonts w:cs="David" w:hint="cs"/>
          <w:sz w:val="28"/>
          <w:szCs w:val="28"/>
          <w:rtl/>
        </w:rPr>
        <w:t xml:space="preserve">הישראלי </w:t>
      </w:r>
      <w:r w:rsidR="00224FED" w:rsidRPr="0004711E">
        <w:rPr>
          <w:rFonts w:cs="David" w:hint="cs"/>
          <w:sz w:val="28"/>
          <w:szCs w:val="28"/>
          <w:rtl/>
        </w:rPr>
        <w:t>הייתה כמובן בעלת חשיב</w:t>
      </w:r>
      <w:r w:rsidR="00C82B2D">
        <w:rPr>
          <w:rFonts w:cs="David" w:hint="cs"/>
          <w:sz w:val="28"/>
          <w:szCs w:val="28"/>
          <w:rtl/>
        </w:rPr>
        <w:t>ות מכרעת במבצע "עופרת יצוקה", דומה שיכולתו של החבר הצבאי הזה בוועדת גולדסטון לסייע לוועדה בהערכת הפעילות האווירית הישראלית במבצע הייתה מוגבלת</w:t>
      </w:r>
      <w:r w:rsidR="00224FED" w:rsidRPr="0004711E">
        <w:rPr>
          <w:rFonts w:cs="David" w:hint="cs"/>
          <w:sz w:val="28"/>
          <w:szCs w:val="28"/>
          <w:rtl/>
        </w:rPr>
        <w:t xml:space="preserve">. </w:t>
      </w:r>
    </w:p>
    <w:p w:rsidR="00A22CD5" w:rsidRDefault="00A22CD5" w:rsidP="008B316C">
      <w:pPr>
        <w:spacing w:after="0" w:line="360" w:lineRule="auto"/>
        <w:jc w:val="both"/>
        <w:rPr>
          <w:rFonts w:cs="David"/>
          <w:sz w:val="28"/>
          <w:szCs w:val="28"/>
          <w:rtl/>
        </w:rPr>
      </w:pPr>
    </w:p>
    <w:p w:rsidR="00A22CD5" w:rsidRDefault="00A22CD5" w:rsidP="00442D5B">
      <w:pPr>
        <w:spacing w:after="0" w:line="360" w:lineRule="auto"/>
        <w:jc w:val="both"/>
        <w:rPr>
          <w:rFonts w:cs="David"/>
          <w:sz w:val="28"/>
          <w:szCs w:val="28"/>
          <w:rtl/>
        </w:rPr>
      </w:pPr>
      <w:r>
        <w:rPr>
          <w:rFonts w:cs="David" w:hint="cs"/>
          <w:sz w:val="28"/>
          <w:szCs w:val="28"/>
          <w:rtl/>
        </w:rPr>
        <w:t>לעומת זאת, ניתן לציין לחיוב את תרומתם של מומחים בעלי מומחיות רלוונטיות לוועדות בהן היו חברים. כך, לדוגמה, שיתפה ועדת טירקל בדיוניה כמשקיף את קנת ווטקין (</w:t>
      </w:r>
      <w:r>
        <w:rPr>
          <w:rFonts w:cs="David"/>
          <w:sz w:val="28"/>
          <w:szCs w:val="28"/>
        </w:rPr>
        <w:t>Kenneth Watkin</w:t>
      </w:r>
      <w:r>
        <w:rPr>
          <w:rFonts w:cs="David" w:hint="cs"/>
          <w:sz w:val="28"/>
          <w:szCs w:val="28"/>
          <w:rtl/>
        </w:rPr>
        <w:t>)</w:t>
      </w:r>
      <w:r w:rsidR="001A4BDB">
        <w:rPr>
          <w:rFonts w:cs="David" w:hint="cs"/>
          <w:sz w:val="28"/>
          <w:szCs w:val="28"/>
          <w:rtl/>
        </w:rPr>
        <w:t>,</w:t>
      </w:r>
      <w:r>
        <w:rPr>
          <w:rFonts w:cs="David" w:hint="cs"/>
          <w:sz w:val="28"/>
          <w:szCs w:val="28"/>
          <w:rtl/>
        </w:rPr>
        <w:t xml:space="preserve"> שהיה בעברו הפצ"ר הקנדי והוא בעל מומחיות רלוונטית הן בתחום המשפט הבינלאומי ההומניטארי והן במשפט זכויות האדם הבינלאומי</w:t>
      </w:r>
      <w:r w:rsidR="00010043">
        <w:rPr>
          <w:rStyle w:val="a7"/>
          <w:rFonts w:cs="David"/>
          <w:sz w:val="28"/>
          <w:szCs w:val="28"/>
          <w:rtl/>
        </w:rPr>
        <w:footnoteReference w:id="225"/>
      </w:r>
      <w:r>
        <w:rPr>
          <w:rFonts w:cs="David" w:hint="cs"/>
          <w:sz w:val="28"/>
          <w:szCs w:val="28"/>
          <w:rtl/>
        </w:rPr>
        <w:t>.</w:t>
      </w:r>
      <w:r w:rsidR="00010043">
        <w:rPr>
          <w:rFonts w:cs="David" w:hint="cs"/>
          <w:sz w:val="28"/>
          <w:szCs w:val="28"/>
          <w:rtl/>
        </w:rPr>
        <w:t xml:space="preserve"> לאחר פרישתו מן הוועדה הוחלף ווטקין בפרופסור טים מקורמק האוסטרלי, מומחה למשפט הבינלאומי ההומניטארי ולמשפט הפלילי הבינלאומי</w:t>
      </w:r>
      <w:r w:rsidR="00010043">
        <w:rPr>
          <w:rStyle w:val="a7"/>
          <w:rFonts w:cs="David"/>
          <w:sz w:val="28"/>
          <w:szCs w:val="28"/>
          <w:rtl/>
        </w:rPr>
        <w:footnoteReference w:id="226"/>
      </w:r>
      <w:r w:rsidR="00010043">
        <w:rPr>
          <w:rFonts w:cs="David" w:hint="cs"/>
          <w:sz w:val="28"/>
          <w:szCs w:val="28"/>
          <w:rtl/>
        </w:rPr>
        <w:t>.</w:t>
      </w:r>
    </w:p>
    <w:p w:rsidR="00010043" w:rsidRDefault="00010043" w:rsidP="008B316C">
      <w:pPr>
        <w:spacing w:after="0" w:line="360" w:lineRule="auto"/>
        <w:jc w:val="both"/>
        <w:rPr>
          <w:rFonts w:cs="David"/>
          <w:sz w:val="28"/>
          <w:szCs w:val="28"/>
        </w:rPr>
      </w:pPr>
    </w:p>
    <w:p w:rsidR="007D1CA0" w:rsidRDefault="007D1CA0" w:rsidP="00043E6D">
      <w:pPr>
        <w:spacing w:after="0" w:line="360" w:lineRule="auto"/>
        <w:jc w:val="both"/>
        <w:rPr>
          <w:rFonts w:cs="David"/>
          <w:sz w:val="28"/>
          <w:szCs w:val="28"/>
        </w:rPr>
      </w:pPr>
      <w:r>
        <w:rPr>
          <w:rFonts w:cs="David" w:hint="cs"/>
          <w:sz w:val="28"/>
          <w:szCs w:val="28"/>
          <w:rtl/>
        </w:rPr>
        <w:t>גם מזכ"ל האו"ם השתמש במומחים צבאיים בוועדות שהקים</w:t>
      </w:r>
      <w:r w:rsidR="00043E6D">
        <w:rPr>
          <w:rStyle w:val="a7"/>
          <w:rFonts w:cs="David"/>
          <w:sz w:val="28"/>
          <w:szCs w:val="28"/>
          <w:rtl/>
        </w:rPr>
        <w:footnoteReference w:id="227"/>
      </w:r>
      <w:r>
        <w:rPr>
          <w:rFonts w:cs="David" w:hint="cs"/>
          <w:sz w:val="28"/>
          <w:szCs w:val="28"/>
          <w:rtl/>
        </w:rPr>
        <w:t>. אין ספק</w:t>
      </w:r>
      <w:r w:rsidR="008457BD">
        <w:rPr>
          <w:rFonts w:cs="David" w:hint="cs"/>
          <w:sz w:val="28"/>
          <w:szCs w:val="28"/>
          <w:rtl/>
        </w:rPr>
        <w:t>,</w:t>
      </w:r>
      <w:r>
        <w:rPr>
          <w:rFonts w:cs="David" w:hint="cs"/>
          <w:sz w:val="28"/>
          <w:szCs w:val="28"/>
          <w:rtl/>
        </w:rPr>
        <w:t xml:space="preserve"> כי </w:t>
      </w:r>
      <w:r w:rsidR="008457BD">
        <w:rPr>
          <w:rFonts w:cs="David" w:hint="cs"/>
          <w:sz w:val="28"/>
          <w:szCs w:val="28"/>
          <w:rtl/>
        </w:rPr>
        <w:t>השתתפותם בוועדה של חברים בעלי רקע ומומחיות ביטחוניים מתאימים לנושא הבדיקה משפרת את הסיכוי לכך שתוצרי הוועדה יהיו טובים יותר ובעלי תוקף.</w:t>
      </w:r>
    </w:p>
    <w:p w:rsidR="008457BD" w:rsidRDefault="008457BD" w:rsidP="008B316C">
      <w:pPr>
        <w:spacing w:after="0" w:line="360" w:lineRule="auto"/>
        <w:jc w:val="both"/>
        <w:rPr>
          <w:rFonts w:cs="David"/>
          <w:sz w:val="28"/>
          <w:szCs w:val="28"/>
          <w:rtl/>
        </w:rPr>
      </w:pPr>
    </w:p>
    <w:p w:rsidR="00043E6D" w:rsidRPr="00C22118" w:rsidRDefault="00043E6D" w:rsidP="00C22118">
      <w:pPr>
        <w:pStyle w:val="a9"/>
        <w:numPr>
          <w:ilvl w:val="0"/>
          <w:numId w:val="25"/>
        </w:numPr>
        <w:spacing w:after="0" w:line="360" w:lineRule="auto"/>
        <w:jc w:val="both"/>
        <w:outlineLvl w:val="2"/>
        <w:rPr>
          <w:rFonts w:cs="David"/>
          <w:sz w:val="28"/>
          <w:szCs w:val="28"/>
          <w:rtl/>
        </w:rPr>
      </w:pPr>
      <w:bookmarkStart w:id="58" w:name="_Toc456027330"/>
      <w:r w:rsidRPr="00C22118">
        <w:rPr>
          <w:rFonts w:cs="David" w:hint="cs"/>
          <w:sz w:val="28"/>
          <w:szCs w:val="28"/>
          <w:rtl/>
        </w:rPr>
        <w:t xml:space="preserve">סיכום </w:t>
      </w:r>
      <w:r w:rsidRPr="00C22118">
        <w:rPr>
          <w:rFonts w:cs="David"/>
          <w:sz w:val="28"/>
          <w:szCs w:val="28"/>
          <w:rtl/>
        </w:rPr>
        <w:t>–</w:t>
      </w:r>
      <w:r w:rsidRPr="00C22118">
        <w:rPr>
          <w:rFonts w:cs="David" w:hint="cs"/>
          <w:sz w:val="28"/>
          <w:szCs w:val="28"/>
          <w:rtl/>
        </w:rPr>
        <w:t xml:space="preserve"> הרכ</w:t>
      </w:r>
      <w:r w:rsidR="001A4BDB" w:rsidRPr="00C22118">
        <w:rPr>
          <w:rFonts w:cs="David" w:hint="cs"/>
          <w:sz w:val="28"/>
          <w:szCs w:val="28"/>
          <w:rtl/>
        </w:rPr>
        <w:t>ב</w:t>
      </w:r>
      <w:r w:rsidRPr="00C22118">
        <w:rPr>
          <w:rFonts w:cs="David" w:hint="cs"/>
          <w:sz w:val="28"/>
          <w:szCs w:val="28"/>
          <w:rtl/>
        </w:rPr>
        <w:t xml:space="preserve"> </w:t>
      </w:r>
      <w:r w:rsidR="009C039C" w:rsidRPr="00C22118">
        <w:rPr>
          <w:rFonts w:cs="David" w:hint="cs"/>
          <w:sz w:val="28"/>
          <w:szCs w:val="28"/>
          <w:rtl/>
        </w:rPr>
        <w:t>ועדת החקירה</w:t>
      </w:r>
      <w:bookmarkEnd w:id="58"/>
    </w:p>
    <w:p w:rsidR="00043E6D" w:rsidRDefault="00043E6D" w:rsidP="008B316C">
      <w:pPr>
        <w:spacing w:after="0" w:line="360" w:lineRule="auto"/>
        <w:jc w:val="both"/>
        <w:rPr>
          <w:rFonts w:cs="David"/>
          <w:sz w:val="28"/>
          <w:szCs w:val="28"/>
          <w:rtl/>
        </w:rPr>
      </w:pPr>
    </w:p>
    <w:p w:rsidR="009A0FD4" w:rsidRDefault="009A0FD4" w:rsidP="008B316C">
      <w:pPr>
        <w:spacing w:after="0" w:line="360" w:lineRule="auto"/>
        <w:jc w:val="both"/>
        <w:rPr>
          <w:rFonts w:cs="David"/>
          <w:sz w:val="28"/>
          <w:szCs w:val="28"/>
          <w:rtl/>
        </w:rPr>
      </w:pPr>
      <w:r>
        <w:rPr>
          <w:rFonts w:cs="David" w:hint="cs"/>
          <w:sz w:val="28"/>
          <w:szCs w:val="28"/>
          <w:rtl/>
        </w:rPr>
        <w:t xml:space="preserve">לסיכום חלק זה, נראה כי להרכב </w:t>
      </w:r>
      <w:r w:rsidR="009C039C">
        <w:rPr>
          <w:rFonts w:cs="David" w:hint="cs"/>
          <w:sz w:val="28"/>
          <w:szCs w:val="28"/>
          <w:rtl/>
        </w:rPr>
        <w:t>ועדת החקירה</w:t>
      </w:r>
      <w:r w:rsidR="00396025">
        <w:rPr>
          <w:rFonts w:cs="David" w:hint="cs"/>
          <w:sz w:val="28"/>
          <w:szCs w:val="28"/>
          <w:rtl/>
        </w:rPr>
        <w:t xml:space="preserve"> יש חשיבות קריטית בקבלת ההכרעה א</w:t>
      </w:r>
      <w:r>
        <w:rPr>
          <w:rFonts w:cs="David" w:hint="cs"/>
          <w:sz w:val="28"/>
          <w:szCs w:val="28"/>
          <w:rtl/>
        </w:rPr>
        <w:t xml:space="preserve">ם לשתף פעולה עם </w:t>
      </w:r>
      <w:r w:rsidR="001165FD">
        <w:rPr>
          <w:rFonts w:cs="David" w:hint="cs"/>
          <w:sz w:val="28"/>
          <w:szCs w:val="28"/>
          <w:rtl/>
        </w:rPr>
        <w:t>הוועדה</w:t>
      </w:r>
      <w:r>
        <w:rPr>
          <w:rFonts w:cs="David" w:hint="cs"/>
          <w:sz w:val="28"/>
          <w:szCs w:val="28"/>
          <w:rtl/>
        </w:rPr>
        <w:t>. ועדת חקירה שיש בה חבר, ובעיקר יו"ר, אשר גילה בעבר הטיה כנגד ישראל,</w:t>
      </w:r>
      <w:r w:rsidR="005855C3">
        <w:rPr>
          <w:rFonts w:cs="David" w:hint="cs"/>
          <w:sz w:val="28"/>
          <w:szCs w:val="28"/>
          <w:rtl/>
        </w:rPr>
        <w:t xml:space="preserve"> אינה ראויה לשיתוף פעולה ישראלי אלא לגינוי. מדינת ישראל אינה צריכה לוותר על זכותה להליך הוגן. כפי שצוין, להבדיל מזהות </w:t>
      </w:r>
      <w:r w:rsidR="005855C3">
        <w:rPr>
          <w:rFonts w:cs="David" w:hint="cs"/>
          <w:sz w:val="28"/>
          <w:szCs w:val="28"/>
          <w:rtl/>
        </w:rPr>
        <w:lastRenderedPageBreak/>
        <w:t xml:space="preserve">הגוף הממנה את הוועדה ומנוסח מנדט הוועדה, לא נראה כי יש דרך לרפא פגם אישי שנפל במי מחברי הוועדה, אלא באמצעות החלפתו. בנוסף לכך, חשוב כי בוועדה יהיו חברים בעלי מומחיות משפטית וצבאית רלוונטית, המתאימה לבחינת מבצעים צבאיים. יחד עם זאת, לא נראה כי שיקול זה צריך למנוע </w:t>
      </w:r>
      <w:r w:rsidR="005855C3" w:rsidRPr="005855C3">
        <w:rPr>
          <w:rFonts w:cs="David" w:hint="cs"/>
          <w:b/>
          <w:bCs/>
          <w:sz w:val="28"/>
          <w:szCs w:val="28"/>
          <w:rtl/>
        </w:rPr>
        <w:t>כשלעצמו</w:t>
      </w:r>
      <w:r w:rsidR="005855C3">
        <w:rPr>
          <w:rFonts w:cs="David" w:hint="cs"/>
          <w:sz w:val="28"/>
          <w:szCs w:val="28"/>
          <w:rtl/>
        </w:rPr>
        <w:t xml:space="preserve"> את שיתוף הפעולה עם הוועדה, במקרה שחבריה הוגנים וראויים. כמובן שאתגר ניהול השיקולים באשר להרכב הוועדה גדל ככל שגדל מספר החברים בהרכב.</w:t>
      </w:r>
    </w:p>
    <w:p w:rsidR="00D6711A" w:rsidRDefault="00D6711A" w:rsidP="008B316C">
      <w:pPr>
        <w:spacing w:after="0" w:line="360" w:lineRule="auto"/>
        <w:jc w:val="both"/>
        <w:rPr>
          <w:rFonts w:cs="David"/>
          <w:sz w:val="28"/>
          <w:szCs w:val="28"/>
          <w:rtl/>
        </w:rPr>
      </w:pPr>
    </w:p>
    <w:p w:rsidR="00043E6D" w:rsidRDefault="00043E6D" w:rsidP="0029601D">
      <w:pPr>
        <w:spacing w:after="0" w:line="360" w:lineRule="auto"/>
        <w:jc w:val="both"/>
        <w:rPr>
          <w:rFonts w:cs="David"/>
          <w:sz w:val="28"/>
          <w:szCs w:val="28"/>
          <w:rtl/>
        </w:rPr>
      </w:pPr>
      <w:r>
        <w:rPr>
          <w:rFonts w:cs="David" w:hint="cs"/>
          <w:sz w:val="28"/>
          <w:szCs w:val="28"/>
          <w:rtl/>
        </w:rPr>
        <w:t xml:space="preserve">ככלל, את התנגדותה להרכב </w:t>
      </w:r>
      <w:r w:rsidR="001165FD">
        <w:rPr>
          <w:rFonts w:cs="David" w:hint="cs"/>
          <w:sz w:val="28"/>
          <w:szCs w:val="28"/>
          <w:rtl/>
        </w:rPr>
        <w:t>הוועדה</w:t>
      </w:r>
      <w:r>
        <w:rPr>
          <w:rFonts w:cs="David" w:hint="cs"/>
          <w:sz w:val="28"/>
          <w:szCs w:val="28"/>
          <w:rtl/>
        </w:rPr>
        <w:t xml:space="preserve"> בכלל ולמינויו של חבר </w:t>
      </w:r>
      <w:r w:rsidR="0074404A">
        <w:rPr>
          <w:rFonts w:cs="David" w:hint="cs"/>
          <w:sz w:val="28"/>
          <w:szCs w:val="28"/>
          <w:rtl/>
        </w:rPr>
        <w:t>ועדה</w:t>
      </w:r>
      <w:r>
        <w:rPr>
          <w:rFonts w:cs="David" w:hint="cs"/>
          <w:sz w:val="28"/>
          <w:szCs w:val="28"/>
          <w:rtl/>
        </w:rPr>
        <w:t xml:space="preserve"> ספציפי בפרט, צריכה המדינה להעלות במועד שבו נודע לה על הסיבה להתנגדות. כפי שראינו לעיל, לא אחת מועלית ההתנגדות האמורה </w:t>
      </w:r>
      <w:r w:rsidR="0029601D">
        <w:rPr>
          <w:rFonts w:cs="David" w:hint="cs"/>
          <w:sz w:val="28"/>
          <w:szCs w:val="28"/>
          <w:rtl/>
        </w:rPr>
        <w:t xml:space="preserve">גם על ידי ארגונים לא ממשלתיים, כמו </w:t>
      </w:r>
      <w:r w:rsidR="0029601D">
        <w:rPr>
          <w:rFonts w:cs="David"/>
          <w:sz w:val="28"/>
          <w:szCs w:val="28"/>
        </w:rPr>
        <w:t>UN Watch</w:t>
      </w:r>
      <w:r w:rsidR="0029601D">
        <w:rPr>
          <w:rFonts w:cs="David" w:hint="cs"/>
          <w:sz w:val="28"/>
          <w:szCs w:val="28"/>
          <w:rtl/>
        </w:rPr>
        <w:t xml:space="preserve">. המדינה יכולה להשמיע את דרישותיה בעניין הרקע האישי והמקצועי הנדרש, לדעתה, מחברי </w:t>
      </w:r>
      <w:r w:rsidR="001165FD">
        <w:rPr>
          <w:rFonts w:cs="David" w:hint="cs"/>
          <w:sz w:val="28"/>
          <w:szCs w:val="28"/>
          <w:rtl/>
        </w:rPr>
        <w:t>הוועדה</w:t>
      </w:r>
      <w:r w:rsidR="0029601D">
        <w:rPr>
          <w:rFonts w:cs="David" w:hint="cs"/>
          <w:sz w:val="28"/>
          <w:szCs w:val="28"/>
          <w:rtl/>
        </w:rPr>
        <w:t>, במסגרת השיח שהיא מנהלת עם הגוף הממנה בשלב בחירת ההרכב. עם זאת, ייתכנו מצבים שבהם תבחר המדינה לדחות את טענותיה לעניין ההרכב למועד מאוחר יותר, אם מפאת רצונה לבחון את התנהלות ההרכב בפועל, ואם מטעמים אחרים.</w:t>
      </w:r>
    </w:p>
    <w:p w:rsidR="00043E6D" w:rsidRDefault="00043E6D" w:rsidP="008B316C">
      <w:pPr>
        <w:spacing w:after="0" w:line="360" w:lineRule="auto"/>
        <w:jc w:val="both"/>
        <w:rPr>
          <w:rFonts w:cs="David"/>
          <w:sz w:val="28"/>
          <w:szCs w:val="28"/>
          <w:rtl/>
        </w:rPr>
      </w:pPr>
    </w:p>
    <w:p w:rsidR="00E17466" w:rsidRDefault="00E17466" w:rsidP="008B316C">
      <w:pPr>
        <w:spacing w:after="0" w:line="360" w:lineRule="auto"/>
        <w:jc w:val="both"/>
        <w:rPr>
          <w:rFonts w:cs="David"/>
          <w:sz w:val="28"/>
          <w:szCs w:val="28"/>
          <w:rtl/>
        </w:rPr>
      </w:pPr>
      <w:r>
        <w:rPr>
          <w:rFonts w:cs="David" w:hint="cs"/>
          <w:sz w:val="28"/>
          <w:szCs w:val="28"/>
          <w:rtl/>
        </w:rPr>
        <w:t xml:space="preserve">נראה, כי במדרג השיקולים בין הגוף הממנה את </w:t>
      </w:r>
      <w:r w:rsidR="001165FD">
        <w:rPr>
          <w:rFonts w:cs="David" w:hint="cs"/>
          <w:sz w:val="28"/>
          <w:szCs w:val="28"/>
          <w:rtl/>
        </w:rPr>
        <w:t>הוועדה</w:t>
      </w:r>
      <w:r>
        <w:rPr>
          <w:rFonts w:cs="David" w:hint="cs"/>
          <w:sz w:val="28"/>
          <w:szCs w:val="28"/>
          <w:rtl/>
        </w:rPr>
        <w:t xml:space="preserve">, נוסח מנדט </w:t>
      </w:r>
      <w:r w:rsidR="001165FD">
        <w:rPr>
          <w:rFonts w:cs="David" w:hint="cs"/>
          <w:sz w:val="28"/>
          <w:szCs w:val="28"/>
          <w:rtl/>
        </w:rPr>
        <w:t>הוועדה</w:t>
      </w:r>
      <w:r>
        <w:rPr>
          <w:rFonts w:cs="David" w:hint="cs"/>
          <w:sz w:val="28"/>
          <w:szCs w:val="28"/>
          <w:rtl/>
        </w:rPr>
        <w:t xml:space="preserve"> והרכב </w:t>
      </w:r>
      <w:r w:rsidR="001165FD">
        <w:rPr>
          <w:rFonts w:cs="David" w:hint="cs"/>
          <w:sz w:val="28"/>
          <w:szCs w:val="28"/>
          <w:rtl/>
        </w:rPr>
        <w:t>הוועדה</w:t>
      </w:r>
      <w:r>
        <w:rPr>
          <w:rFonts w:cs="David" w:hint="cs"/>
          <w:sz w:val="28"/>
          <w:szCs w:val="28"/>
          <w:rtl/>
        </w:rPr>
        <w:t>, יש עדיפות להרכב, אחר כך למנדט ורק בסוף לגוף הממנה.</w:t>
      </w:r>
    </w:p>
    <w:p w:rsidR="00E17466" w:rsidRDefault="00E17466" w:rsidP="008B316C">
      <w:pPr>
        <w:spacing w:after="0" w:line="360" w:lineRule="auto"/>
        <w:jc w:val="both"/>
        <w:rPr>
          <w:rFonts w:cs="David"/>
          <w:sz w:val="28"/>
          <w:szCs w:val="28"/>
          <w:rtl/>
        </w:rPr>
      </w:pPr>
    </w:p>
    <w:p w:rsidR="00E17466" w:rsidRDefault="00E17466" w:rsidP="00442D5B">
      <w:pPr>
        <w:spacing w:after="0" w:line="360" w:lineRule="auto"/>
        <w:jc w:val="both"/>
        <w:rPr>
          <w:rFonts w:cs="David"/>
          <w:sz w:val="28"/>
          <w:szCs w:val="28"/>
          <w:rtl/>
        </w:rPr>
      </w:pPr>
      <w:r>
        <w:rPr>
          <w:rFonts w:cs="David" w:hint="cs"/>
          <w:sz w:val="28"/>
          <w:szCs w:val="28"/>
          <w:rtl/>
        </w:rPr>
        <w:t>מע</w:t>
      </w:r>
      <w:r w:rsidR="00396025">
        <w:rPr>
          <w:rFonts w:cs="David" w:hint="cs"/>
          <w:sz w:val="28"/>
          <w:szCs w:val="28"/>
          <w:rtl/>
        </w:rPr>
        <w:t>בר לכך ישנם שיקולים פרטניים נוספים</w:t>
      </w:r>
      <w:r>
        <w:rPr>
          <w:rFonts w:cs="David" w:hint="cs"/>
          <w:sz w:val="28"/>
          <w:szCs w:val="28"/>
          <w:rtl/>
        </w:rPr>
        <w:t xml:space="preserve"> שיש </w:t>
      </w:r>
      <w:r w:rsidR="00442D5B">
        <w:rPr>
          <w:rFonts w:cs="David" w:hint="cs"/>
          <w:sz w:val="28"/>
          <w:szCs w:val="28"/>
          <w:rtl/>
        </w:rPr>
        <w:t xml:space="preserve">לקחת בחשבון </w:t>
      </w:r>
      <w:r>
        <w:rPr>
          <w:rFonts w:cs="David" w:hint="cs"/>
          <w:sz w:val="28"/>
          <w:szCs w:val="28"/>
          <w:rtl/>
        </w:rPr>
        <w:t xml:space="preserve">בעת קבלת החלטה אם לשתף פעולה עם </w:t>
      </w:r>
      <w:r w:rsidR="009C039C">
        <w:rPr>
          <w:rFonts w:cs="David" w:hint="cs"/>
          <w:sz w:val="28"/>
          <w:szCs w:val="28"/>
          <w:rtl/>
        </w:rPr>
        <w:t>ועדת חקירה בינלאומית</w:t>
      </w:r>
      <w:r>
        <w:rPr>
          <w:rFonts w:cs="David" w:hint="cs"/>
          <w:sz w:val="28"/>
          <w:szCs w:val="28"/>
          <w:rtl/>
        </w:rPr>
        <w:t xml:space="preserve"> ובהם נתמקד להלן.</w:t>
      </w:r>
    </w:p>
    <w:p w:rsidR="00442D5B" w:rsidRDefault="00442D5B" w:rsidP="008B316C">
      <w:pPr>
        <w:spacing w:after="0" w:line="360" w:lineRule="auto"/>
        <w:jc w:val="both"/>
        <w:rPr>
          <w:rFonts w:cs="David"/>
          <w:b/>
          <w:bCs/>
          <w:sz w:val="28"/>
          <w:szCs w:val="28"/>
          <w:rtl/>
        </w:rPr>
      </w:pPr>
    </w:p>
    <w:p w:rsidR="00C80E27" w:rsidRPr="00C22118" w:rsidRDefault="00C80E27" w:rsidP="00C22118">
      <w:pPr>
        <w:pStyle w:val="a9"/>
        <w:numPr>
          <w:ilvl w:val="0"/>
          <w:numId w:val="22"/>
        </w:numPr>
        <w:spacing w:after="0" w:line="360" w:lineRule="auto"/>
        <w:jc w:val="both"/>
        <w:outlineLvl w:val="1"/>
        <w:rPr>
          <w:rFonts w:cs="David"/>
          <w:sz w:val="28"/>
          <w:szCs w:val="28"/>
          <w:rtl/>
        </w:rPr>
      </w:pPr>
      <w:bookmarkStart w:id="59" w:name="_Toc456027331"/>
      <w:r w:rsidRPr="00C22118">
        <w:rPr>
          <w:rFonts w:cs="David" w:hint="cs"/>
          <w:b/>
          <w:bCs/>
          <w:sz w:val="28"/>
          <w:szCs w:val="28"/>
          <w:rtl/>
        </w:rPr>
        <w:t xml:space="preserve">הרכב </w:t>
      </w:r>
      <w:r w:rsidR="0073414E" w:rsidRPr="00C22118">
        <w:rPr>
          <w:rFonts w:cs="David" w:hint="cs"/>
          <w:b/>
          <w:bCs/>
          <w:sz w:val="28"/>
          <w:szCs w:val="28"/>
          <w:rtl/>
        </w:rPr>
        <w:t xml:space="preserve">המזכירות </w:t>
      </w:r>
      <w:r w:rsidRPr="00C22118">
        <w:rPr>
          <w:rFonts w:cs="David" w:hint="cs"/>
          <w:b/>
          <w:bCs/>
          <w:sz w:val="28"/>
          <w:szCs w:val="28"/>
          <w:rtl/>
        </w:rPr>
        <w:t xml:space="preserve">והצוות </w:t>
      </w:r>
      <w:r w:rsidR="0073414E" w:rsidRPr="00C22118">
        <w:rPr>
          <w:rFonts w:cs="David" w:hint="cs"/>
          <w:b/>
          <w:bCs/>
          <w:sz w:val="28"/>
          <w:szCs w:val="28"/>
          <w:rtl/>
        </w:rPr>
        <w:t xml:space="preserve">של </w:t>
      </w:r>
      <w:r w:rsidR="009C039C" w:rsidRPr="00C22118">
        <w:rPr>
          <w:rFonts w:cs="David" w:hint="cs"/>
          <w:b/>
          <w:bCs/>
          <w:sz w:val="28"/>
          <w:szCs w:val="28"/>
          <w:rtl/>
        </w:rPr>
        <w:t>ועדת החקירה</w:t>
      </w:r>
      <w:bookmarkEnd w:id="59"/>
    </w:p>
    <w:p w:rsidR="00C80E27" w:rsidRDefault="00C80E27" w:rsidP="008B316C">
      <w:pPr>
        <w:spacing w:after="0" w:line="360" w:lineRule="auto"/>
        <w:jc w:val="both"/>
        <w:rPr>
          <w:rFonts w:cs="David"/>
          <w:sz w:val="28"/>
          <w:szCs w:val="28"/>
          <w:rtl/>
        </w:rPr>
      </w:pPr>
    </w:p>
    <w:p w:rsidR="00C80E27" w:rsidRDefault="00C80E27" w:rsidP="00482B6C">
      <w:pPr>
        <w:spacing w:after="0" w:line="360" w:lineRule="auto"/>
        <w:jc w:val="both"/>
        <w:rPr>
          <w:rFonts w:cs="David"/>
          <w:sz w:val="28"/>
          <w:szCs w:val="28"/>
          <w:rtl/>
        </w:rPr>
      </w:pPr>
      <w:r>
        <w:rPr>
          <w:rFonts w:cs="David" w:hint="cs"/>
          <w:sz w:val="28"/>
          <w:szCs w:val="28"/>
          <w:rtl/>
        </w:rPr>
        <w:t xml:space="preserve">לאחר שדנו בשיקול הנוגע להרכב </w:t>
      </w:r>
      <w:r w:rsidR="009C039C">
        <w:rPr>
          <w:rFonts w:cs="David" w:hint="cs"/>
          <w:sz w:val="28"/>
          <w:szCs w:val="28"/>
          <w:rtl/>
        </w:rPr>
        <w:t>ועדת החקירה</w:t>
      </w:r>
      <w:r>
        <w:rPr>
          <w:rFonts w:cs="David" w:hint="cs"/>
          <w:sz w:val="28"/>
          <w:szCs w:val="28"/>
          <w:rtl/>
        </w:rPr>
        <w:t xml:space="preserve">, נעבור לדון בשיקול נוסף שקשור אליו בטבורו. שיקול זה נוגע להרכב המזכירות והצוות של </w:t>
      </w:r>
      <w:r w:rsidR="009C039C">
        <w:rPr>
          <w:rFonts w:cs="David" w:hint="cs"/>
          <w:sz w:val="28"/>
          <w:szCs w:val="28"/>
          <w:rtl/>
        </w:rPr>
        <w:t>ועדת החקירה</w:t>
      </w:r>
      <w:r>
        <w:rPr>
          <w:rFonts w:cs="David" w:hint="cs"/>
          <w:sz w:val="28"/>
          <w:szCs w:val="28"/>
          <w:rtl/>
        </w:rPr>
        <w:t xml:space="preserve">. </w:t>
      </w:r>
      <w:r w:rsidR="0073414E">
        <w:rPr>
          <w:rFonts w:cs="David" w:hint="cs"/>
          <w:sz w:val="28"/>
          <w:szCs w:val="28"/>
          <w:rtl/>
        </w:rPr>
        <w:t xml:space="preserve">בדיקה רצינית של מבצע צבאי דורשת </w:t>
      </w:r>
      <w:r w:rsidR="0074404A">
        <w:rPr>
          <w:rFonts w:cs="David" w:hint="cs"/>
          <w:sz w:val="28"/>
          <w:szCs w:val="28"/>
          <w:rtl/>
        </w:rPr>
        <w:t>ועדה</w:t>
      </w:r>
      <w:r w:rsidR="0073414E">
        <w:rPr>
          <w:rFonts w:cs="David" w:hint="cs"/>
          <w:sz w:val="28"/>
          <w:szCs w:val="28"/>
          <w:rtl/>
        </w:rPr>
        <w:t xml:space="preserve"> רחב, שמסוגל לאסוף ולעבד כמויות גדולות של חומר, לראיין קורבנות וגורמים אחרים הקשורים למבצע, להעריך מהלכים צבאיים וכו'. </w:t>
      </w:r>
      <w:r>
        <w:rPr>
          <w:rFonts w:cs="David" w:hint="cs"/>
          <w:sz w:val="28"/>
          <w:szCs w:val="28"/>
          <w:rtl/>
        </w:rPr>
        <w:t xml:space="preserve">הקמת </w:t>
      </w:r>
      <w:r w:rsidR="0074404A">
        <w:rPr>
          <w:rFonts w:cs="David" w:hint="cs"/>
          <w:sz w:val="28"/>
          <w:szCs w:val="28"/>
          <w:rtl/>
        </w:rPr>
        <w:t>ועדה</w:t>
      </w:r>
      <w:r w:rsidR="0073414E">
        <w:rPr>
          <w:rFonts w:cs="David" w:hint="cs"/>
          <w:sz w:val="28"/>
          <w:szCs w:val="28"/>
          <w:rtl/>
        </w:rPr>
        <w:t xml:space="preserve"> עצמאי </w:t>
      </w:r>
      <w:r>
        <w:rPr>
          <w:rFonts w:cs="David" w:hint="cs"/>
          <w:sz w:val="28"/>
          <w:szCs w:val="28"/>
          <w:rtl/>
        </w:rPr>
        <w:t>ש</w:t>
      </w:r>
      <w:r w:rsidR="0073414E">
        <w:rPr>
          <w:rFonts w:cs="David" w:hint="cs"/>
          <w:sz w:val="28"/>
          <w:szCs w:val="28"/>
          <w:rtl/>
        </w:rPr>
        <w:t>כזה</w:t>
      </w:r>
      <w:r>
        <w:rPr>
          <w:rFonts w:cs="David" w:hint="cs"/>
          <w:sz w:val="28"/>
          <w:szCs w:val="28"/>
          <w:rtl/>
        </w:rPr>
        <w:t xml:space="preserve"> אינה פעולה פשוטה</w:t>
      </w:r>
      <w:r w:rsidR="0073414E">
        <w:rPr>
          <w:rFonts w:cs="David" w:hint="cs"/>
          <w:sz w:val="28"/>
          <w:szCs w:val="28"/>
          <w:rtl/>
        </w:rPr>
        <w:t>, ולכן</w:t>
      </w:r>
      <w:r w:rsidR="005E743F">
        <w:rPr>
          <w:rFonts w:cs="David" w:hint="cs"/>
          <w:sz w:val="28"/>
          <w:szCs w:val="28"/>
          <w:rtl/>
        </w:rPr>
        <w:t xml:space="preserve">, כאשר מדובר </w:t>
      </w:r>
      <w:r w:rsidR="00014821">
        <w:rPr>
          <w:rFonts w:cs="David" w:hint="cs"/>
          <w:sz w:val="28"/>
          <w:szCs w:val="28"/>
          <w:rtl/>
        </w:rPr>
        <w:t>בוועדות</w:t>
      </w:r>
      <w:r w:rsidR="005E743F">
        <w:rPr>
          <w:rFonts w:cs="David" w:hint="cs"/>
          <w:sz w:val="28"/>
          <w:szCs w:val="28"/>
          <w:rtl/>
        </w:rPr>
        <w:t xml:space="preserve"> של מועצת זכויות האדם (שה</w:t>
      </w:r>
      <w:r w:rsidR="00482B6C">
        <w:rPr>
          <w:rFonts w:cs="David" w:hint="cs"/>
          <w:sz w:val="28"/>
          <w:szCs w:val="28"/>
          <w:rtl/>
        </w:rPr>
        <w:t>ן</w:t>
      </w:r>
      <w:r w:rsidR="005E743F">
        <w:rPr>
          <w:rFonts w:cs="David" w:hint="cs"/>
          <w:sz w:val="28"/>
          <w:szCs w:val="28"/>
          <w:rtl/>
        </w:rPr>
        <w:t xml:space="preserve">, כזכור, </w:t>
      </w:r>
      <w:r w:rsidR="001165FD">
        <w:rPr>
          <w:rFonts w:cs="David" w:hint="cs"/>
          <w:sz w:val="28"/>
          <w:szCs w:val="28"/>
          <w:rtl/>
        </w:rPr>
        <w:t>הוועדות</w:t>
      </w:r>
      <w:r w:rsidR="005E743F">
        <w:rPr>
          <w:rFonts w:cs="David" w:hint="cs"/>
          <w:sz w:val="28"/>
          <w:szCs w:val="28"/>
          <w:rtl/>
        </w:rPr>
        <w:t xml:space="preserve"> העיקריים עמ</w:t>
      </w:r>
      <w:r w:rsidR="00482B6C">
        <w:rPr>
          <w:rFonts w:cs="David" w:hint="cs"/>
          <w:sz w:val="28"/>
          <w:szCs w:val="28"/>
          <w:rtl/>
        </w:rPr>
        <w:t>ן</w:t>
      </w:r>
      <w:r w:rsidR="005E743F">
        <w:rPr>
          <w:rFonts w:cs="David" w:hint="cs"/>
          <w:sz w:val="28"/>
          <w:szCs w:val="28"/>
          <w:rtl/>
        </w:rPr>
        <w:t xml:space="preserve"> מתמודדת מדינת ישראל),</w:t>
      </w:r>
      <w:r w:rsidR="0073414E">
        <w:rPr>
          <w:rFonts w:cs="David" w:hint="cs"/>
          <w:sz w:val="28"/>
          <w:szCs w:val="28"/>
          <w:rtl/>
        </w:rPr>
        <w:t xml:space="preserve"> </w:t>
      </w:r>
      <w:r w:rsidR="00442D5B">
        <w:rPr>
          <w:rFonts w:cs="David" w:hint="cs"/>
          <w:sz w:val="28"/>
          <w:szCs w:val="28"/>
          <w:rtl/>
        </w:rPr>
        <w:t>ה</w:t>
      </w:r>
      <w:r w:rsidR="00482B6C">
        <w:rPr>
          <w:rFonts w:cs="David" w:hint="cs"/>
          <w:sz w:val="28"/>
          <w:szCs w:val="28"/>
          <w:rtl/>
        </w:rPr>
        <w:t>ן</w:t>
      </w:r>
      <w:r w:rsidR="00442D5B">
        <w:rPr>
          <w:rFonts w:cs="David" w:hint="cs"/>
          <w:sz w:val="28"/>
          <w:szCs w:val="28"/>
          <w:rtl/>
        </w:rPr>
        <w:t xml:space="preserve"> </w:t>
      </w:r>
      <w:r w:rsidR="0073414E">
        <w:rPr>
          <w:rFonts w:cs="David" w:hint="cs"/>
          <w:sz w:val="28"/>
          <w:szCs w:val="28"/>
          <w:rtl/>
        </w:rPr>
        <w:t>בדרך כלל נסמכ</w:t>
      </w:r>
      <w:r w:rsidR="00482B6C">
        <w:rPr>
          <w:rFonts w:cs="David" w:hint="cs"/>
          <w:sz w:val="28"/>
          <w:szCs w:val="28"/>
          <w:rtl/>
        </w:rPr>
        <w:t>ות</w:t>
      </w:r>
      <w:r w:rsidR="0073414E">
        <w:rPr>
          <w:rFonts w:cs="David" w:hint="cs"/>
          <w:sz w:val="28"/>
          <w:szCs w:val="28"/>
          <w:rtl/>
        </w:rPr>
        <w:t xml:space="preserve"> על אנשי הצוות הקיימים ב</w:t>
      </w:r>
      <w:r>
        <w:rPr>
          <w:rFonts w:cs="David" w:hint="cs"/>
          <w:sz w:val="28"/>
          <w:szCs w:val="28"/>
          <w:rtl/>
        </w:rPr>
        <w:t>משרד ה</w:t>
      </w:r>
      <w:r w:rsidR="0073414E">
        <w:rPr>
          <w:rFonts w:cs="David" w:hint="cs"/>
          <w:sz w:val="28"/>
          <w:szCs w:val="28"/>
          <w:rtl/>
        </w:rPr>
        <w:t>נציב</w:t>
      </w:r>
      <w:r>
        <w:rPr>
          <w:rFonts w:cs="David" w:hint="cs"/>
          <w:sz w:val="28"/>
          <w:szCs w:val="28"/>
          <w:rtl/>
        </w:rPr>
        <w:t xml:space="preserve"> העליון של</w:t>
      </w:r>
      <w:r w:rsidR="0073414E">
        <w:rPr>
          <w:rFonts w:cs="David" w:hint="cs"/>
          <w:sz w:val="28"/>
          <w:szCs w:val="28"/>
          <w:rtl/>
        </w:rPr>
        <w:t xml:space="preserve"> זכויות האדם</w:t>
      </w:r>
      <w:r>
        <w:rPr>
          <w:rFonts w:cs="David" w:hint="cs"/>
          <w:sz w:val="28"/>
          <w:szCs w:val="28"/>
          <w:rtl/>
        </w:rPr>
        <w:t>.</w:t>
      </w:r>
    </w:p>
    <w:p w:rsidR="00C80E27" w:rsidRDefault="00C80E27" w:rsidP="008B316C">
      <w:pPr>
        <w:spacing w:after="0" w:line="360" w:lineRule="auto"/>
        <w:jc w:val="both"/>
        <w:rPr>
          <w:rFonts w:cs="David"/>
          <w:sz w:val="28"/>
          <w:szCs w:val="28"/>
          <w:rtl/>
        </w:rPr>
      </w:pPr>
    </w:p>
    <w:p w:rsidR="00C80E27" w:rsidRDefault="00C80E27" w:rsidP="00264AF0">
      <w:pPr>
        <w:spacing w:after="0" w:line="360" w:lineRule="auto"/>
        <w:jc w:val="both"/>
        <w:rPr>
          <w:rFonts w:cs="David"/>
          <w:sz w:val="28"/>
          <w:szCs w:val="28"/>
          <w:rtl/>
        </w:rPr>
      </w:pPr>
      <w:r>
        <w:rPr>
          <w:rFonts w:cs="David" w:hint="cs"/>
          <w:sz w:val="28"/>
          <w:szCs w:val="28"/>
          <w:rtl/>
        </w:rPr>
        <w:t>מדריך הנציבות עוסק בנושא מזכירות ועדות החקירה</w:t>
      </w:r>
      <w:r>
        <w:rPr>
          <w:rStyle w:val="a7"/>
          <w:rFonts w:cs="David"/>
          <w:sz w:val="28"/>
          <w:szCs w:val="28"/>
          <w:rtl/>
        </w:rPr>
        <w:footnoteReference w:id="228"/>
      </w:r>
      <w:r>
        <w:rPr>
          <w:rFonts w:cs="David" w:hint="cs"/>
          <w:sz w:val="28"/>
          <w:szCs w:val="28"/>
          <w:rtl/>
        </w:rPr>
        <w:t xml:space="preserve">. ועדות החקירה נסמכות בפעולתן על המזכירות שניתנת להן. גודל המזכירות והרכבה תלויים במנדט הוועדה והרכבה, </w:t>
      </w:r>
      <w:r w:rsidR="00442D5B">
        <w:rPr>
          <w:rFonts w:cs="David" w:hint="cs"/>
          <w:sz w:val="28"/>
          <w:szCs w:val="28"/>
          <w:rtl/>
        </w:rPr>
        <w:t>ב</w:t>
      </w:r>
      <w:r>
        <w:rPr>
          <w:rFonts w:cs="David" w:hint="cs"/>
          <w:sz w:val="28"/>
          <w:szCs w:val="28"/>
          <w:rtl/>
        </w:rPr>
        <w:t>טבע החקירה</w:t>
      </w:r>
      <w:r w:rsidR="00442D5B">
        <w:rPr>
          <w:rFonts w:cs="David" w:hint="cs"/>
          <w:sz w:val="28"/>
          <w:szCs w:val="28"/>
          <w:rtl/>
        </w:rPr>
        <w:t>,</w:t>
      </w:r>
      <w:r>
        <w:rPr>
          <w:rFonts w:cs="David" w:hint="cs"/>
          <w:sz w:val="28"/>
          <w:szCs w:val="28"/>
          <w:rtl/>
        </w:rPr>
        <w:t xml:space="preserve"> </w:t>
      </w:r>
      <w:r w:rsidR="00442D5B">
        <w:rPr>
          <w:rFonts w:cs="David" w:hint="cs"/>
          <w:sz w:val="28"/>
          <w:szCs w:val="28"/>
          <w:rtl/>
        </w:rPr>
        <w:t>ב</w:t>
      </w:r>
      <w:r>
        <w:rPr>
          <w:rFonts w:cs="David" w:hint="cs"/>
          <w:sz w:val="28"/>
          <w:szCs w:val="28"/>
          <w:rtl/>
        </w:rPr>
        <w:t>היקפה ו</w:t>
      </w:r>
      <w:r w:rsidR="00442D5B">
        <w:rPr>
          <w:rFonts w:cs="David" w:hint="cs"/>
          <w:sz w:val="28"/>
          <w:szCs w:val="28"/>
          <w:rtl/>
        </w:rPr>
        <w:t>ב</w:t>
      </w:r>
      <w:r>
        <w:rPr>
          <w:rFonts w:cs="David" w:hint="cs"/>
          <w:sz w:val="28"/>
          <w:szCs w:val="28"/>
          <w:rtl/>
        </w:rPr>
        <w:t xml:space="preserve">מסגרת הזמנים שהוקצבה לפעולתה. המזכירות מסייעת לוועדה במשך כל תקופת פעילותה ומספקת לה תמיכה ומומחיות מהותיות וטכניות. </w:t>
      </w:r>
      <w:r w:rsidR="009B45EA">
        <w:rPr>
          <w:rFonts w:cs="David" w:hint="cs"/>
          <w:sz w:val="28"/>
          <w:szCs w:val="28"/>
          <w:rtl/>
        </w:rPr>
        <w:t>עבור ועדות של מועצת זכויות האדם, מתאם המזכירות והצוות שלה נבחרים</w:t>
      </w:r>
      <w:r w:rsidR="00692192">
        <w:rPr>
          <w:rFonts w:cs="David" w:hint="cs"/>
          <w:sz w:val="28"/>
          <w:szCs w:val="28"/>
          <w:rtl/>
        </w:rPr>
        <w:t xml:space="preserve"> על ידי </w:t>
      </w:r>
      <w:r w:rsidR="009B45EA">
        <w:rPr>
          <w:rFonts w:cs="David" w:hint="cs"/>
          <w:sz w:val="28"/>
          <w:szCs w:val="28"/>
          <w:rtl/>
        </w:rPr>
        <w:t>משרד הנציב העליון של זכויות האדם.</w:t>
      </w:r>
    </w:p>
    <w:p w:rsidR="009B45EA" w:rsidRDefault="009B45EA" w:rsidP="008B316C">
      <w:pPr>
        <w:spacing w:after="0" w:line="360" w:lineRule="auto"/>
        <w:jc w:val="both"/>
        <w:rPr>
          <w:rFonts w:cs="David"/>
          <w:sz w:val="28"/>
          <w:szCs w:val="28"/>
          <w:rtl/>
        </w:rPr>
      </w:pPr>
    </w:p>
    <w:p w:rsidR="009B45EA" w:rsidRDefault="00442D5B" w:rsidP="00264AF0">
      <w:pPr>
        <w:spacing w:after="0" w:line="360" w:lineRule="auto"/>
        <w:jc w:val="both"/>
        <w:rPr>
          <w:rFonts w:cs="David"/>
          <w:sz w:val="28"/>
          <w:szCs w:val="28"/>
          <w:rtl/>
        </w:rPr>
      </w:pPr>
      <w:r>
        <w:rPr>
          <w:rFonts w:cs="David" w:hint="cs"/>
          <w:sz w:val="28"/>
          <w:szCs w:val="28"/>
          <w:rtl/>
        </w:rPr>
        <w:t xml:space="preserve">על </w:t>
      </w:r>
      <w:r w:rsidR="009B45EA">
        <w:rPr>
          <w:rFonts w:cs="David" w:hint="cs"/>
          <w:sz w:val="28"/>
          <w:szCs w:val="28"/>
          <w:rtl/>
        </w:rPr>
        <w:t xml:space="preserve">המזכירות לספק לוועדה את כל תחומי המומחיות להם היא נדרשת. על מנת להבטיח את העצמאות והיושרה של חברי הוועדה, חברי הצוות, היועצים והקבלנים שמסייעים במילוי המנדט של הוועדה חייבים להיות מועסקים באמצעות חוזים של האו"ם. העצמאות וחוסר משוא הפנים של המזכירות צריכים להיות זהים לאלה של חברי הוועדה עצמם. חברי המזכירות והיועצים, בין שהם משתייכים למשרד </w:t>
      </w:r>
      <w:r w:rsidR="00B26E51">
        <w:rPr>
          <w:rFonts w:cs="David" w:hint="cs"/>
          <w:sz w:val="28"/>
          <w:szCs w:val="28"/>
          <w:rtl/>
        </w:rPr>
        <w:t>הנציב העליון לזכויות האדם ובין שהם מושאלים מסוכנויות או"ם אחרות או מגיעים מחוץ לאו"ם, צריכים לקחת על עצמם לפעול תמיד בעצמאות וללא משוא פנים ולכבד במהלך עבודתם עם הוועדה ולאחר מכן, את סודיות המידע שנאסף במהלך עבודת הוועדה, לשמור על ביטחון המידע ולא לחלוק אותו עם אף אחד מחוץ לוועדה</w:t>
      </w:r>
      <w:r w:rsidR="00264AF0">
        <w:rPr>
          <w:rFonts w:cs="David" w:hint="cs"/>
          <w:sz w:val="28"/>
          <w:szCs w:val="28"/>
          <w:rtl/>
        </w:rPr>
        <w:t>,</w:t>
      </w:r>
      <w:r w:rsidR="00B26E51">
        <w:rPr>
          <w:rFonts w:cs="David" w:hint="cs"/>
          <w:sz w:val="28"/>
          <w:szCs w:val="28"/>
          <w:rtl/>
        </w:rPr>
        <w:t xml:space="preserve"> אלא אם כן הדבר מותר לפי כללי האו"ם.</w:t>
      </w:r>
    </w:p>
    <w:p w:rsidR="00A703AD" w:rsidRDefault="00A703AD" w:rsidP="008B316C">
      <w:pPr>
        <w:spacing w:after="0" w:line="360" w:lineRule="auto"/>
        <w:jc w:val="both"/>
        <w:rPr>
          <w:rFonts w:cs="David"/>
          <w:sz w:val="28"/>
          <w:szCs w:val="28"/>
          <w:rtl/>
        </w:rPr>
      </w:pPr>
    </w:p>
    <w:p w:rsidR="00A703AD" w:rsidRDefault="00C47491" w:rsidP="008B316C">
      <w:pPr>
        <w:spacing w:after="0" w:line="360" w:lineRule="auto"/>
        <w:jc w:val="both"/>
        <w:rPr>
          <w:rFonts w:cs="David"/>
          <w:sz w:val="28"/>
          <w:szCs w:val="28"/>
          <w:rtl/>
        </w:rPr>
      </w:pPr>
      <w:r>
        <w:rPr>
          <w:rFonts w:cs="David" w:hint="cs"/>
          <w:sz w:val="28"/>
          <w:szCs w:val="28"/>
          <w:rtl/>
        </w:rPr>
        <w:t xml:space="preserve">עבודתם של אנשי מזכירות הוועדה היא בעלת חשיבות רבה ואינה מסתכמת בהיבטים טכניים של עבודת הוועדה. אדרבא, כמה מהמרואיינים לעבודה, אשר מכירים את עבודת משרד הנציב העליון לזכויות האדם מקרוב, ציינו כי </w:t>
      </w:r>
      <w:r w:rsidR="00B57DAE">
        <w:rPr>
          <w:rFonts w:cs="David" w:hint="cs"/>
          <w:sz w:val="28"/>
          <w:szCs w:val="28"/>
          <w:rtl/>
        </w:rPr>
        <w:t xml:space="preserve">בדרך כלל </w:t>
      </w:r>
      <w:r>
        <w:rPr>
          <w:rFonts w:cs="David" w:hint="cs"/>
          <w:sz w:val="28"/>
          <w:szCs w:val="28"/>
          <w:rtl/>
        </w:rPr>
        <w:t xml:space="preserve">כותבים אנשי המזכירות </w:t>
      </w:r>
      <w:r w:rsidR="00264AF0">
        <w:rPr>
          <w:rFonts w:cs="David" w:hint="cs"/>
          <w:sz w:val="28"/>
          <w:szCs w:val="28"/>
          <w:rtl/>
        </w:rPr>
        <w:t xml:space="preserve">בעצמם </w:t>
      </w:r>
      <w:r w:rsidR="00B57DAE">
        <w:rPr>
          <w:rFonts w:cs="David" w:hint="cs"/>
          <w:sz w:val="28"/>
          <w:szCs w:val="28"/>
          <w:rtl/>
        </w:rPr>
        <w:t xml:space="preserve">את </w:t>
      </w:r>
      <w:r>
        <w:rPr>
          <w:rFonts w:cs="David" w:hint="cs"/>
          <w:sz w:val="28"/>
          <w:szCs w:val="28"/>
          <w:rtl/>
        </w:rPr>
        <w:t>הדוחות שמפרסמות הוועדות ושולטים במידה רבה על החומר והראיות שנכנסים לתוך הדוחות, ועל אלה שלא נכנסים אליהם.</w:t>
      </w:r>
      <w:r w:rsidR="00B57DAE">
        <w:rPr>
          <w:rFonts w:cs="David" w:hint="cs"/>
          <w:sz w:val="28"/>
          <w:szCs w:val="28"/>
          <w:rtl/>
        </w:rPr>
        <w:t xml:space="preserve"> חברי הוועדות אומנם מפקחים על העבודה ומספקים הנחיות, אבל בסופו של דבר, בדרך כלל לא הם כותבים את הדוחות עצמם. זה מקנה לחברי המזכירות כוח עצום.</w:t>
      </w:r>
    </w:p>
    <w:p w:rsidR="00C47491" w:rsidRDefault="00C47491" w:rsidP="008B316C">
      <w:pPr>
        <w:spacing w:after="0" w:line="360" w:lineRule="auto"/>
        <w:jc w:val="both"/>
        <w:rPr>
          <w:rFonts w:cs="David"/>
          <w:sz w:val="28"/>
          <w:szCs w:val="28"/>
          <w:rtl/>
        </w:rPr>
      </w:pPr>
    </w:p>
    <w:p w:rsidR="00C47491" w:rsidRDefault="00C47491" w:rsidP="00482B6C">
      <w:pPr>
        <w:spacing w:after="0" w:line="360" w:lineRule="auto"/>
        <w:jc w:val="both"/>
        <w:rPr>
          <w:rFonts w:cs="David"/>
          <w:sz w:val="28"/>
          <w:szCs w:val="28"/>
          <w:rtl/>
        </w:rPr>
      </w:pPr>
      <w:r>
        <w:rPr>
          <w:rFonts w:cs="David" w:hint="cs"/>
          <w:sz w:val="28"/>
          <w:szCs w:val="28"/>
          <w:rtl/>
        </w:rPr>
        <w:t xml:space="preserve">במאמר שפרסם מנכ"ל ארגון </w:t>
      </w:r>
      <w:r>
        <w:rPr>
          <w:rFonts w:cs="David"/>
          <w:sz w:val="28"/>
          <w:szCs w:val="28"/>
        </w:rPr>
        <w:t>UN Watch</w:t>
      </w:r>
      <w:r>
        <w:rPr>
          <w:rFonts w:cs="David" w:hint="cs"/>
          <w:sz w:val="28"/>
          <w:szCs w:val="28"/>
          <w:rtl/>
        </w:rPr>
        <w:t>, הלל נוייר, הוא מזכיר את תפקידי המפתח שמילאו כמה אנשים במשרד הנציב בהכנתו של דוח גולדסטון</w:t>
      </w:r>
      <w:r w:rsidR="00264AF0">
        <w:rPr>
          <w:rStyle w:val="a7"/>
          <w:rFonts w:cs="David"/>
          <w:sz w:val="28"/>
          <w:szCs w:val="28"/>
          <w:rtl/>
        </w:rPr>
        <w:footnoteReference w:id="229"/>
      </w:r>
      <w:r>
        <w:rPr>
          <w:rFonts w:cs="David" w:hint="cs"/>
          <w:sz w:val="28"/>
          <w:szCs w:val="28"/>
          <w:rtl/>
        </w:rPr>
        <w:t>. כך, נזכר</w:t>
      </w:r>
      <w:r w:rsidR="00C81005">
        <w:rPr>
          <w:rFonts w:cs="David" w:hint="cs"/>
          <w:sz w:val="28"/>
          <w:szCs w:val="28"/>
          <w:rtl/>
        </w:rPr>
        <w:t xml:space="preserve"> שמה של פרנצ'סקה מארוטי</w:t>
      </w:r>
      <w:r>
        <w:rPr>
          <w:rFonts w:cs="David" w:hint="cs"/>
          <w:sz w:val="28"/>
          <w:szCs w:val="28"/>
          <w:rtl/>
        </w:rPr>
        <w:t xml:space="preserve">, ראש המזכירות של הוועדה, אשר עבדה בעבר באו"ם </w:t>
      </w:r>
      <w:r>
        <w:rPr>
          <w:rFonts w:cs="David" w:hint="cs"/>
          <w:sz w:val="28"/>
          <w:szCs w:val="28"/>
          <w:rtl/>
        </w:rPr>
        <w:lastRenderedPageBreak/>
        <w:t>בעזה ו</w:t>
      </w:r>
      <w:r w:rsidR="00396025">
        <w:rPr>
          <w:rFonts w:cs="David" w:hint="cs"/>
          <w:sz w:val="28"/>
          <w:szCs w:val="28"/>
          <w:rtl/>
        </w:rPr>
        <w:t xml:space="preserve">לאחר שמונתה לתפקיד ראש המזכירות </w:t>
      </w:r>
      <w:r>
        <w:rPr>
          <w:rFonts w:cs="David" w:hint="cs"/>
          <w:sz w:val="28"/>
          <w:szCs w:val="28"/>
          <w:rtl/>
        </w:rPr>
        <w:t>הייתה אמורה להשתתף באירוע אנטי-ישראלי ה</w:t>
      </w:r>
      <w:r w:rsidR="00B57DAE">
        <w:rPr>
          <w:rFonts w:cs="David" w:hint="cs"/>
          <w:sz w:val="28"/>
          <w:szCs w:val="28"/>
          <w:rtl/>
        </w:rPr>
        <w:t>תומך ב"טריבונאל ראסל על פלסטין", וביטלה</w:t>
      </w:r>
      <w:r w:rsidR="00DD35B1">
        <w:rPr>
          <w:rFonts w:cs="David" w:hint="cs"/>
          <w:sz w:val="28"/>
          <w:szCs w:val="28"/>
          <w:rtl/>
        </w:rPr>
        <w:t xml:space="preserve"> את</w:t>
      </w:r>
      <w:r w:rsidR="00B57DAE">
        <w:rPr>
          <w:rFonts w:cs="David" w:hint="cs"/>
          <w:sz w:val="28"/>
          <w:szCs w:val="28"/>
          <w:rtl/>
        </w:rPr>
        <w:t xml:space="preserve"> השתתפותה רק לאחר התערבות של מזכ"ל האו"ם</w:t>
      </w:r>
      <w:r w:rsidR="00264AF0">
        <w:rPr>
          <w:rStyle w:val="a7"/>
          <w:rFonts w:cs="David"/>
          <w:sz w:val="28"/>
          <w:szCs w:val="28"/>
          <w:rtl/>
        </w:rPr>
        <w:footnoteReference w:id="230"/>
      </w:r>
      <w:r w:rsidR="00B57DAE">
        <w:rPr>
          <w:rFonts w:cs="David" w:hint="cs"/>
          <w:sz w:val="28"/>
          <w:szCs w:val="28"/>
          <w:rtl/>
        </w:rPr>
        <w:t>. נוייר טוען, שבאמצעות</w:t>
      </w:r>
      <w:r w:rsidR="00C81005">
        <w:rPr>
          <w:rFonts w:cs="David" w:hint="cs"/>
          <w:sz w:val="28"/>
          <w:szCs w:val="28"/>
          <w:rtl/>
        </w:rPr>
        <w:t xml:space="preserve"> מארוטי יכלו פקידים בכירים אחרים במשרד הנציב, כדוגמת מונה רישמאווי</w:t>
      </w:r>
      <w:r w:rsidR="00C81005">
        <w:rPr>
          <w:rStyle w:val="a7"/>
          <w:rFonts w:cs="David"/>
          <w:sz w:val="28"/>
          <w:szCs w:val="28"/>
          <w:rtl/>
        </w:rPr>
        <w:footnoteReference w:id="231"/>
      </w:r>
      <w:r w:rsidR="00C81005">
        <w:rPr>
          <w:rFonts w:cs="David" w:hint="cs"/>
          <w:sz w:val="28"/>
          <w:szCs w:val="28"/>
          <w:rtl/>
        </w:rPr>
        <w:t>, להשפיע על עבודת הוועדה. מעבר לכך גויסו למזכירות אנשים מחוץ למשרד הנציב, שהיו פעילים אנטי ישראלים בולטים. ביניהם מונה נוייר את סרטה אשרף (</w:t>
      </w:r>
      <w:r w:rsidR="00C81005">
        <w:rPr>
          <w:rFonts w:cs="David"/>
          <w:sz w:val="28"/>
          <w:szCs w:val="28"/>
        </w:rPr>
        <w:t>Sareta Ashraph</w:t>
      </w:r>
      <w:r w:rsidR="00C81005">
        <w:rPr>
          <w:rFonts w:cs="David" w:hint="cs"/>
          <w:sz w:val="28"/>
          <w:szCs w:val="28"/>
          <w:rtl/>
        </w:rPr>
        <w:t>)</w:t>
      </w:r>
      <w:r w:rsidR="00264AF0">
        <w:rPr>
          <w:rStyle w:val="a7"/>
          <w:rFonts w:cs="David"/>
          <w:sz w:val="28"/>
          <w:szCs w:val="28"/>
          <w:rtl/>
        </w:rPr>
        <w:footnoteReference w:id="232"/>
      </w:r>
      <w:r w:rsidR="00C81005">
        <w:rPr>
          <w:rFonts w:cs="David" w:hint="cs"/>
          <w:sz w:val="28"/>
          <w:szCs w:val="28"/>
          <w:rtl/>
        </w:rPr>
        <w:t>, של</w:t>
      </w:r>
      <w:r w:rsidR="001114A6">
        <w:rPr>
          <w:rFonts w:cs="David" w:hint="cs"/>
          <w:sz w:val="28"/>
          <w:szCs w:val="28"/>
          <w:rtl/>
        </w:rPr>
        <w:t xml:space="preserve">פי </w:t>
      </w:r>
      <w:r w:rsidR="00C81005">
        <w:rPr>
          <w:rFonts w:cs="David" w:hint="cs"/>
          <w:sz w:val="28"/>
          <w:szCs w:val="28"/>
          <w:rtl/>
        </w:rPr>
        <w:t>דברי</w:t>
      </w:r>
      <w:r w:rsidR="001114A6">
        <w:rPr>
          <w:rFonts w:cs="David" w:hint="cs"/>
          <w:sz w:val="28"/>
          <w:szCs w:val="28"/>
          <w:rtl/>
        </w:rPr>
        <w:t>ם שמסר</w:t>
      </w:r>
      <w:r w:rsidR="00C81005">
        <w:rPr>
          <w:rFonts w:cs="David" w:hint="cs"/>
          <w:sz w:val="28"/>
          <w:szCs w:val="28"/>
          <w:rtl/>
        </w:rPr>
        <w:t xml:space="preserve">ה סייעה בחקירות, ראיינה קורבנות ועדים, אספה מוצגים וניסחה כמה פרקים בדוח הסופי. </w:t>
      </w:r>
      <w:r w:rsidR="004F66C7">
        <w:rPr>
          <w:rFonts w:cs="David" w:hint="cs"/>
          <w:sz w:val="28"/>
          <w:szCs w:val="28"/>
          <w:rtl/>
        </w:rPr>
        <w:t xml:space="preserve">אשרף הייתה אחראית לגביית העדויות מעדים ישראלים וכתבה את הפרק המינורי בדוח גולדסטון על התקפות הטילים של חמאס. לצדה של אשרף עבדה גם פרופסורית למשפטים הולנדית בשם </w:t>
      </w:r>
      <w:r w:rsidR="001E3357">
        <w:rPr>
          <w:rFonts w:cs="David" w:hint="cs"/>
          <w:sz w:val="28"/>
          <w:szCs w:val="28"/>
          <w:rtl/>
        </w:rPr>
        <w:t>חריטשה באארס (</w:t>
      </w:r>
      <w:r w:rsidR="004F66C7">
        <w:rPr>
          <w:rFonts w:cs="David"/>
          <w:sz w:val="28"/>
          <w:szCs w:val="28"/>
        </w:rPr>
        <w:t>Grietje Baars</w:t>
      </w:r>
      <w:r w:rsidR="001E3357">
        <w:rPr>
          <w:rFonts w:cs="David" w:hint="cs"/>
          <w:sz w:val="28"/>
          <w:szCs w:val="28"/>
          <w:rtl/>
        </w:rPr>
        <w:t>)</w:t>
      </w:r>
      <w:r w:rsidR="00264AF0">
        <w:rPr>
          <w:rStyle w:val="a7"/>
          <w:rFonts w:cs="David"/>
          <w:sz w:val="28"/>
          <w:szCs w:val="28"/>
          <w:rtl/>
        </w:rPr>
        <w:footnoteReference w:id="233"/>
      </w:r>
      <w:r w:rsidR="004F66C7">
        <w:rPr>
          <w:rFonts w:cs="David" w:hint="cs"/>
          <w:sz w:val="28"/>
          <w:szCs w:val="28"/>
          <w:rtl/>
        </w:rPr>
        <w:t xml:space="preserve">. בניגוד לאשרף, שכתבה על כל הפעולות שביצעה במסגרת עבודת הוועדה, ניסתה באארס להסתיר את השתתפותה. </w:t>
      </w:r>
      <w:r w:rsidR="00482B6C">
        <w:rPr>
          <w:rFonts w:cs="David" w:hint="cs"/>
          <w:sz w:val="28"/>
          <w:szCs w:val="28"/>
          <w:rtl/>
        </w:rPr>
        <w:t xml:space="preserve">מאוחר יותר, </w:t>
      </w:r>
      <w:r w:rsidR="00565C75">
        <w:rPr>
          <w:rFonts w:cs="David" w:hint="cs"/>
          <w:sz w:val="28"/>
          <w:szCs w:val="28"/>
          <w:rtl/>
        </w:rPr>
        <w:t xml:space="preserve">הקדישה </w:t>
      </w:r>
      <w:r w:rsidR="00482B6C">
        <w:rPr>
          <w:rFonts w:cs="David" w:hint="cs"/>
          <w:sz w:val="28"/>
          <w:szCs w:val="28"/>
          <w:rtl/>
        </w:rPr>
        <w:t xml:space="preserve">באארס </w:t>
      </w:r>
      <w:r w:rsidR="00565C75">
        <w:rPr>
          <w:rFonts w:cs="David" w:hint="cs"/>
          <w:sz w:val="28"/>
          <w:szCs w:val="28"/>
          <w:rtl/>
        </w:rPr>
        <w:t xml:space="preserve">את עבודת הדוקטורט שלה </w:t>
      </w:r>
      <w:r w:rsidR="001114A6">
        <w:rPr>
          <w:rFonts w:cs="David" w:hint="cs"/>
          <w:sz w:val="28"/>
          <w:szCs w:val="28"/>
          <w:rtl/>
        </w:rPr>
        <w:t>ל</w:t>
      </w:r>
      <w:r w:rsidR="00565C75">
        <w:rPr>
          <w:rFonts w:cs="David" w:hint="cs"/>
          <w:sz w:val="28"/>
          <w:szCs w:val="28"/>
          <w:rtl/>
        </w:rPr>
        <w:t>גולדסטון ולפרנצ'סקה מארוטי. ניסיון השטח של באארס ביהודה ו</w:t>
      </w:r>
      <w:r w:rsidR="00482B6C">
        <w:rPr>
          <w:rFonts w:cs="David" w:hint="cs"/>
          <w:sz w:val="28"/>
          <w:szCs w:val="28"/>
          <w:rtl/>
        </w:rPr>
        <w:t>ב</w:t>
      </w:r>
      <w:r w:rsidR="00565C75">
        <w:rPr>
          <w:rFonts w:cs="David" w:hint="cs"/>
          <w:sz w:val="28"/>
          <w:szCs w:val="28"/>
          <w:rtl/>
        </w:rPr>
        <w:t>שומרון ובעזה ויכולות הכתיבה המשפטית הגבוהות שלה הפכו אותה לגורם המשפיע ביותר על דוח גולדסטון מאחורי הקלעים. היא הייתה אחראית לתעדוף העדויות ששמעה הוועדה, תפקיד ש</w:t>
      </w:r>
      <w:r w:rsidR="004220EE">
        <w:rPr>
          <w:rFonts w:cs="David" w:hint="cs"/>
          <w:sz w:val="28"/>
          <w:szCs w:val="28"/>
          <w:rtl/>
        </w:rPr>
        <w:t>חייב להיעשות</w:t>
      </w:r>
      <w:r w:rsidR="00692192">
        <w:rPr>
          <w:rFonts w:cs="David" w:hint="cs"/>
          <w:sz w:val="28"/>
          <w:szCs w:val="28"/>
          <w:rtl/>
        </w:rPr>
        <w:t xml:space="preserve"> על ידי </w:t>
      </w:r>
      <w:r w:rsidR="004220EE">
        <w:rPr>
          <w:rFonts w:cs="David" w:hint="cs"/>
          <w:sz w:val="28"/>
          <w:szCs w:val="28"/>
          <w:rtl/>
        </w:rPr>
        <w:t>אדם לא משוחד</w:t>
      </w:r>
      <w:r w:rsidR="00264AF0">
        <w:rPr>
          <w:rStyle w:val="a7"/>
          <w:rFonts w:cs="David"/>
          <w:sz w:val="28"/>
          <w:szCs w:val="28"/>
          <w:rtl/>
        </w:rPr>
        <w:footnoteReference w:id="234"/>
      </w:r>
      <w:r w:rsidR="004220EE">
        <w:rPr>
          <w:rFonts w:cs="David" w:hint="cs"/>
          <w:sz w:val="28"/>
          <w:szCs w:val="28"/>
          <w:rtl/>
        </w:rPr>
        <w:t xml:space="preserve">. </w:t>
      </w:r>
    </w:p>
    <w:p w:rsidR="004220EE" w:rsidRDefault="004220EE" w:rsidP="008B316C">
      <w:pPr>
        <w:spacing w:after="0" w:line="360" w:lineRule="auto"/>
        <w:jc w:val="both"/>
        <w:rPr>
          <w:rFonts w:cs="David"/>
          <w:sz w:val="28"/>
          <w:szCs w:val="28"/>
          <w:rtl/>
        </w:rPr>
      </w:pPr>
    </w:p>
    <w:p w:rsidR="004220EE" w:rsidRDefault="004220EE" w:rsidP="00DD35B1">
      <w:pPr>
        <w:spacing w:after="0" w:line="360" w:lineRule="auto"/>
        <w:jc w:val="both"/>
        <w:rPr>
          <w:rFonts w:cs="David"/>
          <w:sz w:val="28"/>
          <w:szCs w:val="28"/>
          <w:rtl/>
        </w:rPr>
      </w:pPr>
      <w:r>
        <w:rPr>
          <w:rFonts w:cs="David" w:hint="cs"/>
          <w:sz w:val="28"/>
          <w:szCs w:val="28"/>
          <w:rtl/>
        </w:rPr>
        <w:t>נוייר מבקר במאמרו את משרד הנציב העליון על חוסר השקיפות בגיוס ובמינוי אנשי צוות למזכירות הוועדה ועל כך שלא נמנעו מגיוס אנשים חיצוניים ש</w:t>
      </w:r>
      <w:r w:rsidR="00DD35B1">
        <w:rPr>
          <w:rFonts w:cs="David" w:hint="cs"/>
          <w:sz w:val="28"/>
          <w:szCs w:val="28"/>
          <w:rtl/>
        </w:rPr>
        <w:t>לא היו נטולי פניות, באופן ברור</w:t>
      </w:r>
      <w:r>
        <w:rPr>
          <w:rFonts w:cs="David" w:hint="cs"/>
          <w:sz w:val="28"/>
          <w:szCs w:val="28"/>
          <w:rtl/>
        </w:rPr>
        <w:t xml:space="preserve">. נוייר גם טוען </w:t>
      </w:r>
      <w:r w:rsidR="001114A6">
        <w:rPr>
          <w:rFonts w:cs="David" w:hint="cs"/>
          <w:sz w:val="28"/>
          <w:szCs w:val="28"/>
          <w:rtl/>
        </w:rPr>
        <w:t>ש</w:t>
      </w:r>
      <w:r>
        <w:rPr>
          <w:rFonts w:cs="David" w:hint="cs"/>
          <w:sz w:val="28"/>
          <w:szCs w:val="28"/>
          <w:rtl/>
        </w:rPr>
        <w:t xml:space="preserve">גולדסטון רומה ולא ידע על הרקע של האנשים שעבדו במזכירות שלו. </w:t>
      </w:r>
    </w:p>
    <w:p w:rsidR="00D3038B" w:rsidRDefault="00D3038B" w:rsidP="008B316C">
      <w:pPr>
        <w:spacing w:after="0" w:line="360" w:lineRule="auto"/>
        <w:jc w:val="both"/>
        <w:rPr>
          <w:rFonts w:cs="David"/>
          <w:sz w:val="28"/>
          <w:szCs w:val="28"/>
          <w:rtl/>
        </w:rPr>
      </w:pPr>
    </w:p>
    <w:p w:rsidR="006D4359" w:rsidRDefault="00D3038B" w:rsidP="008B316C">
      <w:pPr>
        <w:spacing w:after="0" w:line="360" w:lineRule="auto"/>
        <w:jc w:val="both"/>
        <w:rPr>
          <w:rFonts w:cs="David"/>
          <w:sz w:val="28"/>
          <w:szCs w:val="28"/>
          <w:rtl/>
        </w:rPr>
      </w:pPr>
      <w:r>
        <w:rPr>
          <w:rFonts w:cs="David" w:hint="cs"/>
          <w:sz w:val="28"/>
          <w:szCs w:val="28"/>
          <w:rtl/>
        </w:rPr>
        <w:lastRenderedPageBreak/>
        <w:t xml:space="preserve">נוייר מוסיף וטוען במאמרו, שגם בוועדת צוק איתן היו חברים במזכירות אנשי משרד הנציב העליון </w:t>
      </w:r>
      <w:r w:rsidR="0073414E" w:rsidRPr="00D3038B">
        <w:rPr>
          <w:rFonts w:cs="David" w:hint="cs"/>
          <w:sz w:val="28"/>
          <w:szCs w:val="28"/>
          <w:rtl/>
        </w:rPr>
        <w:t>שעוינים את ישראל</w:t>
      </w:r>
      <w:r w:rsidR="0073414E">
        <w:rPr>
          <w:rFonts w:cs="David" w:hint="cs"/>
          <w:sz w:val="28"/>
          <w:szCs w:val="28"/>
          <w:rtl/>
        </w:rPr>
        <w:t xml:space="preserve">. </w:t>
      </w:r>
      <w:r>
        <w:rPr>
          <w:rFonts w:cs="David" w:hint="cs"/>
          <w:sz w:val="28"/>
          <w:szCs w:val="28"/>
          <w:rtl/>
        </w:rPr>
        <w:t>האחד הוא תוניסאי בשם פרג' פניש, שהיה הדובר של ועידת דרבן משנת 2001.</w:t>
      </w:r>
      <w:r w:rsidR="006D4359">
        <w:rPr>
          <w:rFonts w:cs="David" w:hint="cs"/>
          <w:sz w:val="28"/>
          <w:szCs w:val="28"/>
          <w:rtl/>
        </w:rPr>
        <w:t xml:space="preserve"> </w:t>
      </w:r>
      <w:r>
        <w:rPr>
          <w:rFonts w:cs="David" w:hint="cs"/>
          <w:sz w:val="28"/>
          <w:szCs w:val="28"/>
          <w:rtl/>
        </w:rPr>
        <w:t xml:space="preserve">השנייה היא </w:t>
      </w:r>
      <w:r w:rsidR="0073414E">
        <w:rPr>
          <w:rFonts w:cs="David" w:hint="cs"/>
          <w:sz w:val="28"/>
          <w:szCs w:val="28"/>
          <w:rtl/>
        </w:rPr>
        <w:t>סארה חמוד</w:t>
      </w:r>
      <w:r w:rsidR="006D4359">
        <w:rPr>
          <w:rFonts w:cs="David" w:hint="cs"/>
          <w:sz w:val="28"/>
          <w:szCs w:val="28"/>
          <w:rtl/>
        </w:rPr>
        <w:t>, שכתבה בעבר דוחות ביקורתיים כלפי ישראל</w:t>
      </w:r>
      <w:r w:rsidR="004976DA">
        <w:rPr>
          <w:rStyle w:val="a7"/>
          <w:rFonts w:cs="David"/>
          <w:sz w:val="28"/>
          <w:szCs w:val="28"/>
          <w:rtl/>
        </w:rPr>
        <w:footnoteReference w:id="235"/>
      </w:r>
      <w:r w:rsidR="006D4359">
        <w:rPr>
          <w:rFonts w:cs="David" w:hint="cs"/>
          <w:sz w:val="28"/>
          <w:szCs w:val="28"/>
          <w:rtl/>
        </w:rPr>
        <w:t xml:space="preserve">. אמנסטי מסרו שאנשי מזכירות אחרים כוללים עובדים של משרד הנציב העליון מג'נבה, רמאללה ורצועת עזה. מקורות אחרים בג'נבה מסרו שכמה מאנשי המזכירות הם מהעולם הערבי. </w:t>
      </w:r>
    </w:p>
    <w:p w:rsidR="006D4359" w:rsidRDefault="006D4359" w:rsidP="008B316C">
      <w:pPr>
        <w:spacing w:after="0" w:line="360" w:lineRule="auto"/>
        <w:jc w:val="both"/>
        <w:rPr>
          <w:rFonts w:cs="David"/>
          <w:sz w:val="28"/>
          <w:szCs w:val="28"/>
          <w:rtl/>
        </w:rPr>
      </w:pPr>
    </w:p>
    <w:p w:rsidR="009B0C8F" w:rsidRDefault="009B0C8F" w:rsidP="00264AF0">
      <w:pPr>
        <w:spacing w:after="0" w:line="360" w:lineRule="auto"/>
        <w:jc w:val="both"/>
        <w:rPr>
          <w:rFonts w:cs="David"/>
          <w:sz w:val="28"/>
          <w:szCs w:val="28"/>
          <w:rtl/>
        </w:rPr>
      </w:pPr>
      <w:r>
        <w:rPr>
          <w:rFonts w:cs="David" w:hint="cs"/>
          <w:sz w:val="28"/>
          <w:szCs w:val="28"/>
          <w:rtl/>
        </w:rPr>
        <w:t>חלק מהמרואיינים לעבודה סברו, שבמועצת זכויות האדם, השפעתם של אנשי המזכירות על עבודת הוועדות היא כה דרמטית, ושאיושן של הוועדות</w:t>
      </w:r>
      <w:r w:rsidR="00692192">
        <w:rPr>
          <w:rFonts w:cs="David" w:hint="cs"/>
          <w:sz w:val="28"/>
          <w:szCs w:val="28"/>
          <w:rtl/>
        </w:rPr>
        <w:t xml:space="preserve"> על ידי </w:t>
      </w:r>
      <w:r>
        <w:rPr>
          <w:rFonts w:cs="David" w:hint="cs"/>
          <w:sz w:val="28"/>
          <w:szCs w:val="28"/>
          <w:rtl/>
        </w:rPr>
        <w:t xml:space="preserve">פעילים אנטי-ישראלים הוא כה </w:t>
      </w:r>
      <w:r w:rsidR="001114A6">
        <w:rPr>
          <w:rFonts w:cs="David" w:hint="cs"/>
          <w:sz w:val="28"/>
          <w:szCs w:val="28"/>
          <w:rtl/>
        </w:rPr>
        <w:t>מ</w:t>
      </w:r>
      <w:r>
        <w:rPr>
          <w:rFonts w:cs="David" w:hint="cs"/>
          <w:sz w:val="28"/>
          <w:szCs w:val="28"/>
          <w:rtl/>
        </w:rPr>
        <w:t xml:space="preserve">מוסד, עד שכמעט לא ניתן להשפיע על האמור בדוחות שיפרסמו הוועדות. לטענתם של </w:t>
      </w:r>
      <w:r w:rsidR="00264AF0">
        <w:rPr>
          <w:rFonts w:cs="David" w:hint="cs"/>
          <w:sz w:val="28"/>
          <w:szCs w:val="28"/>
          <w:rtl/>
        </w:rPr>
        <w:t xml:space="preserve">מרואיינים </w:t>
      </w:r>
      <w:r>
        <w:rPr>
          <w:rFonts w:cs="David" w:hint="cs"/>
          <w:sz w:val="28"/>
          <w:szCs w:val="28"/>
          <w:rtl/>
        </w:rPr>
        <w:t>אלה, איוש המזכירות באופן שמפורט לעיל</w:t>
      </w:r>
      <w:r w:rsidR="00264AF0">
        <w:rPr>
          <w:rFonts w:cs="David" w:hint="cs"/>
          <w:sz w:val="28"/>
          <w:szCs w:val="28"/>
          <w:rtl/>
        </w:rPr>
        <w:t>,</w:t>
      </w:r>
      <w:r>
        <w:rPr>
          <w:rFonts w:cs="David" w:hint="cs"/>
          <w:sz w:val="28"/>
          <w:szCs w:val="28"/>
          <w:rtl/>
        </w:rPr>
        <w:t xml:space="preserve"> גרם לכך שההחלטה הישראלית שלא לשתף פעולה עם ועדת גולדסטון לא העלתה או הורידה דבר, ושגם אם הייתה ישראל משתפת פעולה עם הוועדה, תוצאת הדוח הייתה נשארת דומה למדי לדוח שהתפרסם בסופו של דבר, בשל השפעתם הקריטית של חברי המזכירות של הוועדה.</w:t>
      </w:r>
    </w:p>
    <w:p w:rsidR="009B0C8F" w:rsidRDefault="009B0C8F" w:rsidP="008B316C">
      <w:pPr>
        <w:spacing w:after="0" w:line="360" w:lineRule="auto"/>
        <w:jc w:val="both"/>
        <w:rPr>
          <w:rFonts w:cs="David"/>
          <w:sz w:val="28"/>
          <w:szCs w:val="28"/>
          <w:rtl/>
        </w:rPr>
      </w:pPr>
    </w:p>
    <w:p w:rsidR="005E743F" w:rsidRDefault="009B0C8F" w:rsidP="008B316C">
      <w:pPr>
        <w:spacing w:after="0" w:line="360" w:lineRule="auto"/>
        <w:jc w:val="both"/>
        <w:rPr>
          <w:rFonts w:cs="David"/>
          <w:sz w:val="28"/>
          <w:szCs w:val="28"/>
          <w:rtl/>
        </w:rPr>
      </w:pPr>
      <w:r>
        <w:rPr>
          <w:rFonts w:cs="David" w:hint="cs"/>
          <w:sz w:val="28"/>
          <w:szCs w:val="28"/>
          <w:rtl/>
        </w:rPr>
        <w:t xml:space="preserve">לסיכום החלק הזה, נראה כי יכולתה של ישראל להשפיע על איוש </w:t>
      </w:r>
      <w:r w:rsidR="005E743F">
        <w:rPr>
          <w:rFonts w:cs="David" w:hint="cs"/>
          <w:sz w:val="28"/>
          <w:szCs w:val="28"/>
          <w:rtl/>
        </w:rPr>
        <w:t>התפקידים</w:t>
      </w:r>
      <w:r>
        <w:rPr>
          <w:rFonts w:cs="David" w:hint="cs"/>
          <w:sz w:val="28"/>
          <w:szCs w:val="28"/>
          <w:rtl/>
        </w:rPr>
        <w:t xml:space="preserve"> במזכירות הוועדות שבודקות את פעילותה היא מוגבלת. יחד עם זאת, לאור החשיבות הרבה שמייחסים לגורם זה אנשים שמכירים את מועצת זכויות האדם מקרוב, נראה שיש להשקיע מאמץ רב בעניין. מאמץ כזה צריך להתרכז בתקופה שטרם הקמת הוועדה, שאז צריך לנהל שיח בעניין </w:t>
      </w:r>
      <w:r w:rsidR="005E743F">
        <w:rPr>
          <w:rFonts w:cs="David" w:hint="cs"/>
          <w:sz w:val="28"/>
          <w:szCs w:val="28"/>
          <w:rtl/>
        </w:rPr>
        <w:t>עם נשיא המועצה והנציב העליון לזכויות האדם. יותר מכול צריך המאמץ להתמקד בבחירת ראש המזכירות. בכל מקרה, לאור הכללים שקבועים במדריך הנציבות, נראה שיש כעת בידי ישראל כלי אובייקטיבי ויעיל שיכול לשמש אותה כנגד חברי מזכירות שאינם עומדים בכללים של עצמאות וחוסר הטיה. הבחירות הפסולות שנעשו למזכירות בעבר צריכות להילמד</w:t>
      </w:r>
      <w:r w:rsidR="00692192">
        <w:rPr>
          <w:rFonts w:cs="David" w:hint="cs"/>
          <w:sz w:val="28"/>
          <w:szCs w:val="28"/>
          <w:rtl/>
        </w:rPr>
        <w:t xml:space="preserve"> על ידי </w:t>
      </w:r>
      <w:r w:rsidR="005E743F">
        <w:rPr>
          <w:rFonts w:cs="David" w:hint="cs"/>
          <w:sz w:val="28"/>
          <w:szCs w:val="28"/>
          <w:rtl/>
        </w:rPr>
        <w:t>משרד הנציב העליון על מנת להפיק לקחים ולמנוע הישנות של מקרים דומים בעתיד. ישראל צריכה לדחוף לקיומו של תהליך בדיקה כזה במשרד הנציב. במקומות שבהם תשתף ישראל פעולה עם הוועדה, ניתן יהיה לעקוב מקרוב אחר תקינות עבודתה של המזכירות גם במהלך עבודתה של הוועדה. זה</w:t>
      </w:r>
      <w:r w:rsidR="00DD35B1">
        <w:rPr>
          <w:rFonts w:cs="David" w:hint="cs"/>
          <w:sz w:val="28"/>
          <w:szCs w:val="28"/>
          <w:rtl/>
        </w:rPr>
        <w:t>ו</w:t>
      </w:r>
      <w:r w:rsidR="005E743F">
        <w:rPr>
          <w:rFonts w:cs="David" w:hint="cs"/>
          <w:sz w:val="28"/>
          <w:szCs w:val="28"/>
          <w:rtl/>
        </w:rPr>
        <w:t xml:space="preserve"> יתרון נוסף </w:t>
      </w:r>
      <w:r w:rsidR="005E743F">
        <w:rPr>
          <w:rFonts w:cs="David" w:hint="cs"/>
          <w:sz w:val="28"/>
          <w:szCs w:val="28"/>
          <w:rtl/>
        </w:rPr>
        <w:lastRenderedPageBreak/>
        <w:t>של שיתוף פעולה.</w:t>
      </w:r>
      <w:r w:rsidR="009012C0">
        <w:rPr>
          <w:rFonts w:cs="David" w:hint="cs"/>
          <w:sz w:val="28"/>
          <w:szCs w:val="28"/>
          <w:rtl/>
        </w:rPr>
        <w:t xml:space="preserve"> כמובן שתהליך דומה יש לקיים בכל אחד מהגופים הממנים </w:t>
      </w:r>
      <w:r w:rsidR="009F6ED1">
        <w:rPr>
          <w:rFonts w:cs="David" w:hint="cs"/>
          <w:sz w:val="28"/>
          <w:szCs w:val="28"/>
          <w:rtl/>
        </w:rPr>
        <w:t xml:space="preserve">ועדות חקירה </w:t>
      </w:r>
      <w:r w:rsidR="009012C0">
        <w:rPr>
          <w:rFonts w:cs="David" w:hint="cs"/>
          <w:sz w:val="28"/>
          <w:szCs w:val="28"/>
          <w:rtl/>
        </w:rPr>
        <w:t>בעניינה של ישראל.</w:t>
      </w:r>
    </w:p>
    <w:p w:rsidR="005E743F" w:rsidRDefault="005E743F" w:rsidP="008B316C">
      <w:pPr>
        <w:spacing w:after="0" w:line="360" w:lineRule="auto"/>
        <w:jc w:val="both"/>
        <w:rPr>
          <w:rFonts w:cs="David"/>
          <w:sz w:val="28"/>
          <w:szCs w:val="28"/>
          <w:rtl/>
        </w:rPr>
      </w:pPr>
    </w:p>
    <w:p w:rsidR="005E743F" w:rsidRDefault="005E743F" w:rsidP="008B316C">
      <w:pPr>
        <w:spacing w:after="0" w:line="360" w:lineRule="auto"/>
        <w:jc w:val="both"/>
        <w:rPr>
          <w:rFonts w:cs="David"/>
          <w:sz w:val="28"/>
          <w:szCs w:val="28"/>
          <w:rtl/>
        </w:rPr>
      </w:pPr>
      <w:r>
        <w:rPr>
          <w:rFonts w:cs="David" w:hint="cs"/>
          <w:sz w:val="28"/>
          <w:szCs w:val="28"/>
          <w:rtl/>
        </w:rPr>
        <w:t>מאמץ נוסף שצריכה ישראל להוביל הוא הגברת השקיפות של איוש המזכירות. כמו כן, ישראל צריכה להגביר את יכולת ההשפעה שלה בתוך משרד הנציב העליון באמצעות הצעת מועמדים מתאימים למילוי תפקידים שם, על ידיה או</w:t>
      </w:r>
      <w:r w:rsidR="00692192">
        <w:rPr>
          <w:rFonts w:cs="David" w:hint="cs"/>
          <w:sz w:val="28"/>
          <w:szCs w:val="28"/>
          <w:rtl/>
        </w:rPr>
        <w:t xml:space="preserve"> על ידי </w:t>
      </w:r>
      <w:r>
        <w:rPr>
          <w:rFonts w:cs="David" w:hint="cs"/>
          <w:sz w:val="28"/>
          <w:szCs w:val="28"/>
          <w:rtl/>
        </w:rPr>
        <w:t>גופים אחרים</w:t>
      </w:r>
      <w:r w:rsidR="00DD35B1">
        <w:rPr>
          <w:rFonts w:cs="David" w:hint="cs"/>
          <w:sz w:val="28"/>
          <w:szCs w:val="28"/>
          <w:rtl/>
        </w:rPr>
        <w:t>,</w:t>
      </w:r>
      <w:r>
        <w:rPr>
          <w:rFonts w:cs="David" w:hint="cs"/>
          <w:sz w:val="28"/>
          <w:szCs w:val="28"/>
          <w:rtl/>
        </w:rPr>
        <w:t xml:space="preserve"> שניתן לסמוך על כישוריהם הגבוהים של המועמדים שהם יציעו.</w:t>
      </w:r>
    </w:p>
    <w:p w:rsidR="00513DBA" w:rsidRDefault="00513DBA">
      <w:pPr>
        <w:spacing w:after="0" w:line="360" w:lineRule="auto"/>
        <w:rPr>
          <w:rFonts w:cs="David"/>
          <w:b/>
          <w:bCs/>
          <w:sz w:val="28"/>
          <w:szCs w:val="28"/>
          <w:rtl/>
        </w:rPr>
      </w:pPr>
    </w:p>
    <w:p w:rsidR="00C91307" w:rsidRPr="00C22118" w:rsidRDefault="00C91307" w:rsidP="00C22118">
      <w:pPr>
        <w:pStyle w:val="a9"/>
        <w:numPr>
          <w:ilvl w:val="0"/>
          <w:numId w:val="22"/>
        </w:numPr>
        <w:spacing w:after="0" w:line="360" w:lineRule="auto"/>
        <w:jc w:val="both"/>
        <w:outlineLvl w:val="1"/>
        <w:rPr>
          <w:rFonts w:cs="David"/>
          <w:b/>
          <w:bCs/>
          <w:sz w:val="28"/>
          <w:szCs w:val="28"/>
          <w:rtl/>
        </w:rPr>
      </w:pPr>
      <w:bookmarkStart w:id="60" w:name="_Toc456027332"/>
      <w:r w:rsidRPr="00C22118">
        <w:rPr>
          <w:rFonts w:cs="David" w:hint="cs"/>
          <w:b/>
          <w:bCs/>
          <w:sz w:val="28"/>
          <w:szCs w:val="28"/>
          <w:rtl/>
        </w:rPr>
        <w:t>היקף האירוע הנבחן</w:t>
      </w:r>
      <w:r w:rsidR="00692192" w:rsidRPr="00C22118">
        <w:rPr>
          <w:rFonts w:cs="David" w:hint="cs"/>
          <w:b/>
          <w:bCs/>
          <w:sz w:val="28"/>
          <w:szCs w:val="28"/>
          <w:rtl/>
        </w:rPr>
        <w:t xml:space="preserve"> על ידי </w:t>
      </w:r>
      <w:r w:rsidR="009C039C" w:rsidRPr="00C22118">
        <w:rPr>
          <w:rFonts w:cs="David" w:hint="cs"/>
          <w:b/>
          <w:bCs/>
          <w:sz w:val="28"/>
          <w:szCs w:val="28"/>
          <w:rtl/>
        </w:rPr>
        <w:t>ועדת החקירה</w:t>
      </w:r>
      <w:bookmarkEnd w:id="60"/>
    </w:p>
    <w:p w:rsidR="00C91307" w:rsidRPr="00C91307" w:rsidRDefault="00C91307" w:rsidP="008B316C">
      <w:pPr>
        <w:spacing w:after="0" w:line="360" w:lineRule="auto"/>
        <w:jc w:val="both"/>
        <w:rPr>
          <w:rFonts w:cs="David"/>
          <w:sz w:val="28"/>
          <w:szCs w:val="28"/>
          <w:rtl/>
        </w:rPr>
      </w:pPr>
    </w:p>
    <w:p w:rsidR="00C91307" w:rsidRDefault="00C91307" w:rsidP="00420084">
      <w:pPr>
        <w:spacing w:after="0" w:line="360" w:lineRule="auto"/>
        <w:jc w:val="both"/>
        <w:rPr>
          <w:rFonts w:cs="David"/>
          <w:sz w:val="28"/>
          <w:szCs w:val="28"/>
          <w:rtl/>
        </w:rPr>
      </w:pPr>
      <w:r w:rsidRPr="00C91307">
        <w:rPr>
          <w:rFonts w:cs="David" w:hint="cs"/>
          <w:sz w:val="28"/>
          <w:szCs w:val="28"/>
          <w:rtl/>
        </w:rPr>
        <w:t xml:space="preserve">השיקול </w:t>
      </w:r>
      <w:r>
        <w:rPr>
          <w:rFonts w:cs="David" w:hint="cs"/>
          <w:sz w:val="28"/>
          <w:szCs w:val="28"/>
          <w:rtl/>
        </w:rPr>
        <w:t xml:space="preserve">הבא שיש </w:t>
      </w:r>
      <w:r w:rsidR="001813AA">
        <w:rPr>
          <w:rFonts w:cs="David" w:hint="cs"/>
          <w:sz w:val="28"/>
          <w:szCs w:val="28"/>
          <w:rtl/>
        </w:rPr>
        <w:t xml:space="preserve">לקחת בחשבון </w:t>
      </w:r>
      <w:r>
        <w:rPr>
          <w:rFonts w:cs="David" w:hint="cs"/>
          <w:sz w:val="28"/>
          <w:szCs w:val="28"/>
          <w:rtl/>
        </w:rPr>
        <w:t>בעת קבלת ההחלטה באשר לשיתוף הפעולה הוא היקף האירוע או האירועים שייבחנו</w:t>
      </w:r>
      <w:r w:rsidR="00692192">
        <w:rPr>
          <w:rFonts w:cs="David" w:hint="cs"/>
          <w:sz w:val="28"/>
          <w:szCs w:val="28"/>
          <w:rtl/>
        </w:rPr>
        <w:t xml:space="preserve"> על ידי </w:t>
      </w:r>
      <w:r w:rsidR="009C039C">
        <w:rPr>
          <w:rFonts w:cs="David" w:hint="cs"/>
          <w:sz w:val="28"/>
          <w:szCs w:val="28"/>
          <w:rtl/>
        </w:rPr>
        <w:t>ועדת החקירה</w:t>
      </w:r>
      <w:r>
        <w:rPr>
          <w:rFonts w:cs="David" w:hint="cs"/>
          <w:sz w:val="28"/>
          <w:szCs w:val="28"/>
          <w:rtl/>
        </w:rPr>
        <w:t xml:space="preserve">. </w:t>
      </w:r>
      <w:r w:rsidR="00420084">
        <w:rPr>
          <w:rFonts w:cs="David" w:hint="cs"/>
          <w:sz w:val="28"/>
          <w:szCs w:val="28"/>
          <w:rtl/>
        </w:rPr>
        <w:t xml:space="preserve">יש להבחין </w:t>
      </w:r>
      <w:r>
        <w:rPr>
          <w:rFonts w:cs="David" w:hint="cs"/>
          <w:sz w:val="28"/>
          <w:szCs w:val="28"/>
          <w:rtl/>
        </w:rPr>
        <w:t>ב</w:t>
      </w:r>
      <w:r w:rsidR="00420084">
        <w:rPr>
          <w:rFonts w:cs="David" w:hint="cs"/>
          <w:sz w:val="28"/>
          <w:szCs w:val="28"/>
          <w:rtl/>
        </w:rPr>
        <w:t xml:space="preserve">ין </w:t>
      </w:r>
      <w:r>
        <w:rPr>
          <w:rFonts w:cs="David" w:hint="cs"/>
          <w:sz w:val="28"/>
          <w:szCs w:val="28"/>
          <w:rtl/>
        </w:rPr>
        <w:t xml:space="preserve">מבצע רחב היקף (כמו "עופרת יצוקה" או "צוק איתן"), </w:t>
      </w:r>
      <w:r w:rsidR="00420084">
        <w:rPr>
          <w:rFonts w:cs="David" w:hint="cs"/>
          <w:sz w:val="28"/>
          <w:szCs w:val="28"/>
          <w:rtl/>
        </w:rPr>
        <w:t xml:space="preserve">לבין </w:t>
      </w:r>
      <w:r>
        <w:rPr>
          <w:rFonts w:cs="David" w:hint="cs"/>
          <w:sz w:val="28"/>
          <w:szCs w:val="28"/>
          <w:rtl/>
        </w:rPr>
        <w:t>מבצע נקודתי (כמו אירוע כפר קאנא, בית חנון, הקרב בג'נין או משט המאווי מרמרה)</w:t>
      </w:r>
      <w:r w:rsidR="00420084">
        <w:rPr>
          <w:rFonts w:cs="David" w:hint="cs"/>
          <w:sz w:val="28"/>
          <w:szCs w:val="28"/>
          <w:rtl/>
        </w:rPr>
        <w:t>. כאשר מדובר במבצע רחב היקף</w:t>
      </w:r>
      <w:r>
        <w:rPr>
          <w:rFonts w:cs="David" w:hint="cs"/>
          <w:sz w:val="28"/>
          <w:szCs w:val="28"/>
          <w:rtl/>
        </w:rPr>
        <w:t>, קשה הרבה יותר לצפות אילו אירועים מתוך המבצע ייבחנו</w:t>
      </w:r>
      <w:r w:rsidR="00692192">
        <w:rPr>
          <w:rFonts w:cs="David" w:hint="cs"/>
          <w:sz w:val="28"/>
          <w:szCs w:val="28"/>
          <w:rtl/>
        </w:rPr>
        <w:t xml:space="preserve"> על ידי </w:t>
      </w:r>
      <w:r w:rsidR="009C039C">
        <w:rPr>
          <w:rFonts w:cs="David" w:hint="cs"/>
          <w:sz w:val="28"/>
          <w:szCs w:val="28"/>
          <w:rtl/>
        </w:rPr>
        <w:t>ועדת החקירה</w:t>
      </w:r>
      <w:r>
        <w:rPr>
          <w:rFonts w:cs="David" w:hint="cs"/>
          <w:sz w:val="28"/>
          <w:szCs w:val="28"/>
          <w:rtl/>
        </w:rPr>
        <w:t xml:space="preserve">, ואילו סוגיות יעוררו רגישות גבוהה יותר כאשר יגיעו לבחינה של </w:t>
      </w:r>
      <w:r w:rsidR="001165FD">
        <w:rPr>
          <w:rFonts w:cs="David" w:hint="cs"/>
          <w:sz w:val="28"/>
          <w:szCs w:val="28"/>
          <w:rtl/>
        </w:rPr>
        <w:t>הוועדה</w:t>
      </w:r>
      <w:r>
        <w:rPr>
          <w:rFonts w:cs="David" w:hint="cs"/>
          <w:sz w:val="28"/>
          <w:szCs w:val="28"/>
          <w:rtl/>
        </w:rPr>
        <w:t xml:space="preserve">. דוח גולדסטון, לדוגמה, בחן </w:t>
      </w:r>
      <w:r w:rsidR="00482B6C">
        <w:rPr>
          <w:rFonts w:cs="David" w:hint="cs"/>
          <w:sz w:val="28"/>
          <w:szCs w:val="28"/>
          <w:rtl/>
        </w:rPr>
        <w:t>שלושים ושישה</w:t>
      </w:r>
      <w:r>
        <w:rPr>
          <w:rFonts w:cs="David" w:hint="cs"/>
          <w:sz w:val="28"/>
          <w:szCs w:val="28"/>
          <w:rtl/>
        </w:rPr>
        <w:t xml:space="preserve"> אירועים מתוך אלפי אירועים שקרו במהלך המבצע. ועדת צוק איתן בחנה </w:t>
      </w:r>
      <w:r w:rsidR="00482B6C">
        <w:rPr>
          <w:rFonts w:cs="David" w:hint="cs"/>
          <w:sz w:val="28"/>
          <w:szCs w:val="28"/>
          <w:rtl/>
        </w:rPr>
        <w:t xml:space="preserve">חמש עשרה </w:t>
      </w:r>
      <w:r>
        <w:rPr>
          <w:rFonts w:cs="David" w:hint="cs"/>
          <w:sz w:val="28"/>
          <w:szCs w:val="28"/>
          <w:rtl/>
        </w:rPr>
        <w:t>תקיפות אוויריות מתוך למעלה מ-6,000 תקיפות אוויריות של צה"ל במהלך המבצע. לא ברור מה תהליך ברירת האירועים שמפעילות הוועדות שנדרשות לבחון מבצעים רחבי היקף. בדרך כלל הן נדרשות למלא אחר מנדט רחב בפרק זמן מצומצם ובמשאבים שאינם מותאמים להיקף משימתן.</w:t>
      </w:r>
    </w:p>
    <w:p w:rsidR="00C91307" w:rsidRDefault="00C91307" w:rsidP="008B316C">
      <w:pPr>
        <w:spacing w:after="0" w:line="360" w:lineRule="auto"/>
        <w:jc w:val="both"/>
        <w:rPr>
          <w:rFonts w:cs="David"/>
          <w:sz w:val="28"/>
          <w:szCs w:val="28"/>
          <w:rtl/>
        </w:rPr>
      </w:pPr>
    </w:p>
    <w:p w:rsidR="00C91307" w:rsidRDefault="00C91307" w:rsidP="00482B6C">
      <w:pPr>
        <w:spacing w:after="0" w:line="360" w:lineRule="auto"/>
        <w:jc w:val="both"/>
        <w:rPr>
          <w:rFonts w:cs="David"/>
          <w:sz w:val="28"/>
          <w:szCs w:val="28"/>
          <w:rtl/>
        </w:rPr>
      </w:pPr>
      <w:r>
        <w:rPr>
          <w:rFonts w:cs="David" w:hint="cs"/>
          <w:sz w:val="28"/>
          <w:szCs w:val="28"/>
          <w:rtl/>
        </w:rPr>
        <w:t>בנסיבות אלה, בעת קבלת ההחלטה יש להעריך מראש מהן הסוגיות שסביר להניח ש</w:t>
      </w:r>
      <w:r w:rsidR="001165FD">
        <w:rPr>
          <w:rFonts w:cs="David" w:hint="cs"/>
          <w:sz w:val="28"/>
          <w:szCs w:val="28"/>
          <w:rtl/>
        </w:rPr>
        <w:t>הוועדה</w:t>
      </w:r>
      <w:r>
        <w:rPr>
          <w:rFonts w:cs="David" w:hint="cs"/>
          <w:sz w:val="28"/>
          <w:szCs w:val="28"/>
          <w:rtl/>
        </w:rPr>
        <w:t xml:space="preserve"> </w:t>
      </w:r>
      <w:r w:rsidR="00482B6C">
        <w:rPr>
          <w:rFonts w:cs="David" w:hint="cs"/>
          <w:sz w:val="28"/>
          <w:szCs w:val="28"/>
          <w:rtl/>
        </w:rPr>
        <w:t>ת</w:t>
      </w:r>
      <w:r>
        <w:rPr>
          <w:rFonts w:cs="David" w:hint="cs"/>
          <w:sz w:val="28"/>
          <w:szCs w:val="28"/>
          <w:rtl/>
        </w:rPr>
        <w:t xml:space="preserve">בקש לבחון או שיועברו לבדיקת </w:t>
      </w:r>
      <w:r w:rsidR="001165FD">
        <w:rPr>
          <w:rFonts w:cs="David" w:hint="cs"/>
          <w:sz w:val="28"/>
          <w:szCs w:val="28"/>
          <w:rtl/>
        </w:rPr>
        <w:t>הוועדה</w:t>
      </w:r>
      <w:r w:rsidR="00692192">
        <w:rPr>
          <w:rFonts w:cs="David" w:hint="cs"/>
          <w:sz w:val="28"/>
          <w:szCs w:val="28"/>
          <w:rtl/>
        </w:rPr>
        <w:t xml:space="preserve"> על ידי </w:t>
      </w:r>
      <w:r>
        <w:rPr>
          <w:rFonts w:cs="David" w:hint="cs"/>
          <w:sz w:val="28"/>
          <w:szCs w:val="28"/>
          <w:rtl/>
        </w:rPr>
        <w:t xml:space="preserve">הצד השני, כדי לבחון באופן פרטני את אפשרות שיתוף הפעולה ביחס למבצע. כמו כן, יש לבחון האם ניתן להשפיע על החלטת </w:t>
      </w:r>
      <w:r w:rsidR="001165FD">
        <w:rPr>
          <w:rFonts w:cs="David" w:hint="cs"/>
          <w:sz w:val="28"/>
          <w:szCs w:val="28"/>
          <w:rtl/>
        </w:rPr>
        <w:t>הוועדה</w:t>
      </w:r>
      <w:r>
        <w:rPr>
          <w:rFonts w:cs="David" w:hint="cs"/>
          <w:sz w:val="28"/>
          <w:szCs w:val="28"/>
          <w:rtl/>
        </w:rPr>
        <w:t xml:space="preserve"> מה לבדוק בפועל, דרך שיח הנוגע להיקף המשימות שיש </w:t>
      </w:r>
      <w:r w:rsidR="00014821">
        <w:rPr>
          <w:rFonts w:cs="David" w:hint="cs"/>
          <w:sz w:val="28"/>
          <w:szCs w:val="28"/>
          <w:rtl/>
        </w:rPr>
        <w:t>לוועדה</w:t>
      </w:r>
      <w:r>
        <w:rPr>
          <w:rFonts w:cs="David" w:hint="cs"/>
          <w:sz w:val="28"/>
          <w:szCs w:val="28"/>
          <w:rtl/>
        </w:rPr>
        <w:t xml:space="preserve"> והמשאבים המוקצים ל</w:t>
      </w:r>
      <w:r w:rsidR="00482B6C">
        <w:rPr>
          <w:rFonts w:cs="David" w:hint="cs"/>
          <w:sz w:val="28"/>
          <w:szCs w:val="28"/>
          <w:rtl/>
        </w:rPr>
        <w:t>ה</w:t>
      </w:r>
      <w:r>
        <w:rPr>
          <w:rFonts w:cs="David" w:hint="cs"/>
          <w:sz w:val="28"/>
          <w:szCs w:val="28"/>
          <w:rtl/>
        </w:rPr>
        <w:t>. שיח זה מתנהל במסגרת קביעת תחום הסמכות (</w:t>
      </w:r>
      <w:r>
        <w:rPr>
          <w:rFonts w:cs="David"/>
          <w:sz w:val="28"/>
          <w:szCs w:val="28"/>
        </w:rPr>
        <w:t>terms of reference</w:t>
      </w:r>
      <w:r>
        <w:rPr>
          <w:rFonts w:cs="David" w:hint="cs"/>
          <w:sz w:val="28"/>
          <w:szCs w:val="28"/>
          <w:rtl/>
        </w:rPr>
        <w:t xml:space="preserve">) של פעולת </w:t>
      </w:r>
      <w:r w:rsidR="001165FD">
        <w:rPr>
          <w:rFonts w:cs="David" w:hint="cs"/>
          <w:sz w:val="28"/>
          <w:szCs w:val="28"/>
          <w:rtl/>
        </w:rPr>
        <w:t>הוועדה</w:t>
      </w:r>
      <w:r>
        <w:rPr>
          <w:rFonts w:cs="David" w:hint="cs"/>
          <w:sz w:val="28"/>
          <w:szCs w:val="28"/>
          <w:rtl/>
        </w:rPr>
        <w:t xml:space="preserve">. דוגמה טובה לתיחום מעין זה אפשר </w:t>
      </w:r>
      <w:r w:rsidR="001813AA">
        <w:rPr>
          <w:rFonts w:cs="David" w:hint="cs"/>
          <w:sz w:val="28"/>
          <w:szCs w:val="28"/>
          <w:rtl/>
        </w:rPr>
        <w:t>להביא מ</w:t>
      </w:r>
      <w:r>
        <w:rPr>
          <w:rFonts w:cs="David" w:hint="cs"/>
          <w:sz w:val="28"/>
          <w:szCs w:val="28"/>
          <w:rtl/>
        </w:rPr>
        <w:t>שתי ועדות החקירה</w:t>
      </w:r>
      <w:r w:rsidR="001813AA">
        <w:rPr>
          <w:rFonts w:cs="David" w:hint="cs"/>
          <w:sz w:val="28"/>
          <w:szCs w:val="28"/>
          <w:rtl/>
        </w:rPr>
        <w:t>,</w:t>
      </w:r>
      <w:r>
        <w:rPr>
          <w:rFonts w:cs="David" w:hint="cs"/>
          <w:sz w:val="28"/>
          <w:szCs w:val="28"/>
          <w:rtl/>
        </w:rPr>
        <w:t xml:space="preserve"> שהקים מזכ"ל האו"ם לאחר המבצעים "עופרת יצוקה" ו"צוק איתן" לבחינת הפגיעה במתקני או"ם ובאנשיו. תחום הסמכות של ועדות אלה קבע מראש אילו אירועים יבדקו הוועדות, וכך התאפשרו היערכות טובה ושיתוף פעולה מלא עם הוועדות.</w:t>
      </w:r>
    </w:p>
    <w:p w:rsidR="00C91307" w:rsidRDefault="00C91307" w:rsidP="008B316C">
      <w:pPr>
        <w:bidi w:val="0"/>
        <w:spacing w:after="0" w:line="360" w:lineRule="auto"/>
        <w:rPr>
          <w:rFonts w:cs="David"/>
          <w:b/>
          <w:bCs/>
          <w:sz w:val="28"/>
          <w:szCs w:val="28"/>
          <w:rtl/>
        </w:rPr>
      </w:pPr>
    </w:p>
    <w:p w:rsidR="00090061" w:rsidRPr="00C22118" w:rsidRDefault="00C91307" w:rsidP="00C22118">
      <w:pPr>
        <w:pStyle w:val="a9"/>
        <w:numPr>
          <w:ilvl w:val="0"/>
          <w:numId w:val="22"/>
        </w:numPr>
        <w:spacing w:after="0" w:line="360" w:lineRule="auto"/>
        <w:jc w:val="both"/>
        <w:outlineLvl w:val="1"/>
        <w:rPr>
          <w:rFonts w:cs="David"/>
          <w:sz w:val="28"/>
          <w:szCs w:val="28"/>
          <w:rtl/>
        </w:rPr>
      </w:pPr>
      <w:bookmarkStart w:id="61" w:name="_Toc456027333"/>
      <w:r w:rsidRPr="00C22118">
        <w:rPr>
          <w:rFonts w:cs="David" w:hint="cs"/>
          <w:b/>
          <w:bCs/>
          <w:sz w:val="28"/>
          <w:szCs w:val="28"/>
          <w:rtl/>
        </w:rPr>
        <w:t xml:space="preserve">המצב המדיני והאווירה הפוליטית </w:t>
      </w:r>
      <w:r w:rsidR="00090061" w:rsidRPr="00C22118">
        <w:rPr>
          <w:rFonts w:cs="David" w:hint="cs"/>
          <w:b/>
          <w:bCs/>
          <w:sz w:val="28"/>
          <w:szCs w:val="28"/>
          <w:rtl/>
        </w:rPr>
        <w:t xml:space="preserve">הבינלאומית </w:t>
      </w:r>
      <w:r w:rsidRPr="00C22118">
        <w:rPr>
          <w:rFonts w:cs="David" w:hint="cs"/>
          <w:b/>
          <w:bCs/>
          <w:sz w:val="28"/>
          <w:szCs w:val="28"/>
          <w:rtl/>
        </w:rPr>
        <w:t>הכללית</w:t>
      </w:r>
      <w:bookmarkEnd w:id="61"/>
      <w:r w:rsidRPr="00C22118">
        <w:rPr>
          <w:rFonts w:cs="David" w:hint="cs"/>
          <w:sz w:val="28"/>
          <w:szCs w:val="28"/>
          <w:rtl/>
        </w:rPr>
        <w:t xml:space="preserve"> </w:t>
      </w:r>
    </w:p>
    <w:p w:rsidR="00090061" w:rsidRDefault="00090061" w:rsidP="008B316C">
      <w:pPr>
        <w:spacing w:after="0" w:line="360" w:lineRule="auto"/>
        <w:jc w:val="both"/>
        <w:rPr>
          <w:rFonts w:cs="David"/>
          <w:sz w:val="28"/>
          <w:szCs w:val="28"/>
          <w:rtl/>
        </w:rPr>
      </w:pPr>
    </w:p>
    <w:p w:rsidR="00C91307" w:rsidRDefault="00090061" w:rsidP="00165037">
      <w:pPr>
        <w:spacing w:after="0" w:line="360" w:lineRule="auto"/>
        <w:jc w:val="both"/>
        <w:rPr>
          <w:rFonts w:cs="David"/>
          <w:sz w:val="28"/>
          <w:szCs w:val="28"/>
          <w:rtl/>
        </w:rPr>
      </w:pPr>
      <w:r>
        <w:rPr>
          <w:rFonts w:cs="David" w:hint="cs"/>
          <w:sz w:val="28"/>
          <w:szCs w:val="28"/>
          <w:rtl/>
        </w:rPr>
        <w:t xml:space="preserve">החלטה על שיתוף פעולה עם </w:t>
      </w:r>
      <w:r w:rsidR="009C039C">
        <w:rPr>
          <w:rFonts w:cs="David" w:hint="cs"/>
          <w:sz w:val="28"/>
          <w:szCs w:val="28"/>
          <w:rtl/>
        </w:rPr>
        <w:t>ועדת חקירה בינלאומית</w:t>
      </w:r>
      <w:r>
        <w:rPr>
          <w:rFonts w:cs="David" w:hint="cs"/>
          <w:sz w:val="28"/>
          <w:szCs w:val="28"/>
          <w:rtl/>
        </w:rPr>
        <w:t xml:space="preserve"> אינה מתקבלת בחלל ריק ואינה יכול להיות מנותקת מהמצב המדיני בו נתונה מדינת ישראל בעת קבלת ההחלטה ומהאווירה הבינלאומית הכללית כלפיה. שיקולים אלה רלוונטיים, מפני שגם </w:t>
      </w:r>
      <w:r w:rsidR="009C039C">
        <w:rPr>
          <w:rFonts w:cs="David" w:hint="cs"/>
          <w:sz w:val="28"/>
          <w:szCs w:val="28"/>
          <w:rtl/>
        </w:rPr>
        <w:t>ועדת החקירה</w:t>
      </w:r>
      <w:r>
        <w:rPr>
          <w:rFonts w:cs="David" w:hint="cs"/>
          <w:sz w:val="28"/>
          <w:szCs w:val="28"/>
          <w:rtl/>
        </w:rPr>
        <w:t>, חרף הדרישה לכך ש</w:t>
      </w:r>
      <w:r w:rsidR="00165037">
        <w:rPr>
          <w:rFonts w:cs="David" w:hint="cs"/>
          <w:sz w:val="28"/>
          <w:szCs w:val="28"/>
          <w:rtl/>
        </w:rPr>
        <w:t>ת</w:t>
      </w:r>
      <w:r>
        <w:rPr>
          <w:rFonts w:cs="David" w:hint="cs"/>
          <w:sz w:val="28"/>
          <w:szCs w:val="28"/>
          <w:rtl/>
        </w:rPr>
        <w:t>היה עצמאי</w:t>
      </w:r>
      <w:r w:rsidR="00165037">
        <w:rPr>
          <w:rFonts w:cs="David" w:hint="cs"/>
          <w:sz w:val="28"/>
          <w:szCs w:val="28"/>
          <w:rtl/>
        </w:rPr>
        <w:t>ת</w:t>
      </w:r>
      <w:r>
        <w:rPr>
          <w:rFonts w:cs="David" w:hint="cs"/>
          <w:sz w:val="28"/>
          <w:szCs w:val="28"/>
          <w:rtl/>
        </w:rPr>
        <w:t xml:space="preserve"> ובלתי מוטה, </w:t>
      </w:r>
      <w:r w:rsidR="00C91307">
        <w:rPr>
          <w:rFonts w:cs="David" w:hint="cs"/>
          <w:sz w:val="28"/>
          <w:szCs w:val="28"/>
          <w:rtl/>
        </w:rPr>
        <w:t>לא יכ</w:t>
      </w:r>
      <w:r>
        <w:rPr>
          <w:rFonts w:cs="David" w:hint="cs"/>
          <w:sz w:val="28"/>
          <w:szCs w:val="28"/>
          <w:rtl/>
        </w:rPr>
        <w:t>ו</w:t>
      </w:r>
      <w:r w:rsidR="00C91307">
        <w:rPr>
          <w:rFonts w:cs="David" w:hint="cs"/>
          <w:sz w:val="28"/>
          <w:szCs w:val="28"/>
          <w:rtl/>
        </w:rPr>
        <w:t>ל</w:t>
      </w:r>
      <w:r w:rsidR="00165037">
        <w:rPr>
          <w:rFonts w:cs="David" w:hint="cs"/>
          <w:sz w:val="28"/>
          <w:szCs w:val="28"/>
          <w:rtl/>
        </w:rPr>
        <w:t>ה</w:t>
      </w:r>
      <w:r w:rsidR="00C91307">
        <w:rPr>
          <w:rFonts w:cs="David" w:hint="cs"/>
          <w:sz w:val="28"/>
          <w:szCs w:val="28"/>
          <w:rtl/>
        </w:rPr>
        <w:t xml:space="preserve"> להתעלם מהאווירה הכללית שבמסגרתה ה</w:t>
      </w:r>
      <w:r w:rsidR="00165037">
        <w:rPr>
          <w:rFonts w:cs="David" w:hint="cs"/>
          <w:sz w:val="28"/>
          <w:szCs w:val="28"/>
          <w:rtl/>
        </w:rPr>
        <w:t>י</w:t>
      </w:r>
      <w:r w:rsidR="00C91307">
        <w:rPr>
          <w:rFonts w:cs="David" w:hint="cs"/>
          <w:sz w:val="28"/>
          <w:szCs w:val="28"/>
          <w:rtl/>
        </w:rPr>
        <w:t>א מונ</w:t>
      </w:r>
      <w:r w:rsidR="00165037">
        <w:rPr>
          <w:rFonts w:cs="David" w:hint="cs"/>
          <w:sz w:val="28"/>
          <w:szCs w:val="28"/>
          <w:rtl/>
        </w:rPr>
        <w:t>ת</w:t>
      </w:r>
      <w:r w:rsidR="00C91307">
        <w:rPr>
          <w:rFonts w:cs="David" w:hint="cs"/>
          <w:sz w:val="28"/>
          <w:szCs w:val="28"/>
          <w:rtl/>
        </w:rPr>
        <w:t>ה.</w:t>
      </w:r>
      <w:r>
        <w:rPr>
          <w:rFonts w:cs="David" w:hint="cs"/>
          <w:sz w:val="28"/>
          <w:szCs w:val="28"/>
          <w:rtl/>
        </w:rPr>
        <w:t xml:space="preserve"> הדבר נכון במיוחד לגבי </w:t>
      </w:r>
      <w:r w:rsidR="0074404A">
        <w:rPr>
          <w:rFonts w:cs="David" w:hint="cs"/>
          <w:sz w:val="28"/>
          <w:szCs w:val="28"/>
          <w:rtl/>
        </w:rPr>
        <w:t>ועדות</w:t>
      </w:r>
      <w:r>
        <w:rPr>
          <w:rFonts w:cs="David" w:hint="cs"/>
          <w:sz w:val="28"/>
          <w:szCs w:val="28"/>
          <w:rtl/>
        </w:rPr>
        <w:t xml:space="preserve"> שממונ</w:t>
      </w:r>
      <w:r w:rsidR="00165037">
        <w:rPr>
          <w:rFonts w:cs="David" w:hint="cs"/>
          <w:sz w:val="28"/>
          <w:szCs w:val="28"/>
          <w:rtl/>
        </w:rPr>
        <w:t>ות</w:t>
      </w:r>
      <w:r w:rsidR="00692192">
        <w:rPr>
          <w:rFonts w:cs="David" w:hint="cs"/>
          <w:sz w:val="28"/>
          <w:szCs w:val="28"/>
          <w:rtl/>
        </w:rPr>
        <w:t xml:space="preserve"> על ידי </w:t>
      </w:r>
      <w:r>
        <w:rPr>
          <w:rFonts w:cs="David" w:hint="cs"/>
          <w:sz w:val="28"/>
          <w:szCs w:val="28"/>
          <w:rtl/>
        </w:rPr>
        <w:t>גופים בעלי אוריינטציה פוליטית, כדוגמת מועצת זכויות האדם או העצרת הכללית.</w:t>
      </w:r>
    </w:p>
    <w:p w:rsidR="00090061" w:rsidRDefault="00090061" w:rsidP="008B316C">
      <w:pPr>
        <w:spacing w:after="0" w:line="360" w:lineRule="auto"/>
        <w:jc w:val="both"/>
        <w:rPr>
          <w:rFonts w:cs="David"/>
          <w:sz w:val="28"/>
          <w:szCs w:val="28"/>
          <w:rtl/>
        </w:rPr>
      </w:pPr>
    </w:p>
    <w:p w:rsidR="00E17466" w:rsidRDefault="001813AA" w:rsidP="001813AA">
      <w:pPr>
        <w:spacing w:after="0" w:line="360" w:lineRule="auto"/>
        <w:jc w:val="both"/>
        <w:rPr>
          <w:rFonts w:cs="David"/>
          <w:sz w:val="28"/>
          <w:szCs w:val="28"/>
          <w:rtl/>
        </w:rPr>
      </w:pPr>
      <w:r>
        <w:rPr>
          <w:rFonts w:cs="David" w:hint="cs"/>
          <w:sz w:val="28"/>
          <w:szCs w:val="28"/>
          <w:rtl/>
        </w:rPr>
        <w:t xml:space="preserve">כאשר </w:t>
      </w:r>
      <w:r w:rsidR="00090061">
        <w:rPr>
          <w:rFonts w:cs="David" w:hint="cs"/>
          <w:sz w:val="28"/>
          <w:szCs w:val="28"/>
          <w:rtl/>
        </w:rPr>
        <w:t xml:space="preserve">ניתן להניח בסבירות גבוהה, על סמך כלל הנסיבות, שהמצב המדיני ושהאווירה הפוליטית הבינלאומית הכללית בעניינה של ישראל אינם מאפשרים פעולה עצמאית ומקצועית של </w:t>
      </w:r>
      <w:r w:rsidR="009C039C">
        <w:rPr>
          <w:rFonts w:cs="David" w:hint="cs"/>
          <w:sz w:val="28"/>
          <w:szCs w:val="28"/>
          <w:rtl/>
        </w:rPr>
        <w:t>ועדת החקירה</w:t>
      </w:r>
      <w:r w:rsidR="00090061">
        <w:rPr>
          <w:rFonts w:cs="David" w:hint="cs"/>
          <w:sz w:val="28"/>
          <w:szCs w:val="28"/>
          <w:rtl/>
        </w:rPr>
        <w:t xml:space="preserve"> ושיש סיכוי גבוה שירעילו את תוצר הבדיקה שיערוך, יהיה בכך משום שיקול </w:t>
      </w:r>
      <w:r>
        <w:rPr>
          <w:rFonts w:cs="David" w:hint="cs"/>
          <w:sz w:val="28"/>
          <w:szCs w:val="28"/>
          <w:rtl/>
        </w:rPr>
        <w:t xml:space="preserve">משמעותי </w:t>
      </w:r>
      <w:r w:rsidR="00090061">
        <w:rPr>
          <w:rFonts w:cs="David" w:hint="cs"/>
          <w:sz w:val="28"/>
          <w:szCs w:val="28"/>
          <w:rtl/>
        </w:rPr>
        <w:t xml:space="preserve">שלא לשתף פעולה עם </w:t>
      </w:r>
      <w:r w:rsidR="001165FD">
        <w:rPr>
          <w:rFonts w:cs="David" w:hint="cs"/>
          <w:sz w:val="28"/>
          <w:szCs w:val="28"/>
          <w:rtl/>
        </w:rPr>
        <w:t>הוועדה</w:t>
      </w:r>
      <w:r w:rsidR="00090061">
        <w:rPr>
          <w:rFonts w:cs="David" w:hint="cs"/>
          <w:sz w:val="28"/>
          <w:szCs w:val="28"/>
          <w:rtl/>
        </w:rPr>
        <w:t>.</w:t>
      </w:r>
    </w:p>
    <w:p w:rsidR="001813AA" w:rsidRDefault="001813AA" w:rsidP="001813AA">
      <w:pPr>
        <w:spacing w:after="0" w:line="360" w:lineRule="auto"/>
        <w:jc w:val="both"/>
        <w:rPr>
          <w:rFonts w:cs="David"/>
          <w:sz w:val="28"/>
          <w:szCs w:val="28"/>
          <w:rtl/>
        </w:rPr>
      </w:pPr>
    </w:p>
    <w:p w:rsidR="005B209F" w:rsidRPr="00C22118" w:rsidRDefault="005B209F" w:rsidP="00C22118">
      <w:pPr>
        <w:pStyle w:val="a9"/>
        <w:numPr>
          <w:ilvl w:val="0"/>
          <w:numId w:val="22"/>
        </w:numPr>
        <w:spacing w:after="0" w:line="360" w:lineRule="auto"/>
        <w:jc w:val="both"/>
        <w:outlineLvl w:val="1"/>
        <w:rPr>
          <w:rFonts w:cs="David"/>
          <w:sz w:val="28"/>
          <w:szCs w:val="28"/>
          <w:rtl/>
        </w:rPr>
      </w:pPr>
      <w:bookmarkStart w:id="62" w:name="_Toc456027334"/>
      <w:r w:rsidRPr="00C22118">
        <w:rPr>
          <w:rFonts w:cs="David" w:hint="cs"/>
          <w:b/>
          <w:bCs/>
          <w:sz w:val="28"/>
          <w:szCs w:val="28"/>
          <w:rtl/>
        </w:rPr>
        <w:t xml:space="preserve">הנושא הנבחן והסיכוי להשפיע על תוצרי </w:t>
      </w:r>
      <w:r w:rsidR="001165FD" w:rsidRPr="00C22118">
        <w:rPr>
          <w:rFonts w:cs="David" w:hint="cs"/>
          <w:b/>
          <w:bCs/>
          <w:sz w:val="28"/>
          <w:szCs w:val="28"/>
          <w:rtl/>
        </w:rPr>
        <w:t>הוועדה</w:t>
      </w:r>
      <w:r w:rsidRPr="00C22118">
        <w:rPr>
          <w:rFonts w:cs="David" w:hint="cs"/>
          <w:b/>
          <w:bCs/>
          <w:sz w:val="28"/>
          <w:szCs w:val="28"/>
          <w:rtl/>
        </w:rPr>
        <w:t xml:space="preserve"> </w:t>
      </w:r>
      <w:r w:rsidR="00B668AE" w:rsidRPr="00C22118">
        <w:rPr>
          <w:rFonts w:cs="David" w:hint="cs"/>
          <w:b/>
          <w:bCs/>
          <w:sz w:val="28"/>
          <w:szCs w:val="28"/>
          <w:rtl/>
        </w:rPr>
        <w:t>בעניינו</w:t>
      </w:r>
      <w:bookmarkEnd w:id="62"/>
    </w:p>
    <w:p w:rsidR="005B209F" w:rsidRDefault="005B209F" w:rsidP="008B316C">
      <w:pPr>
        <w:spacing w:after="0" w:line="360" w:lineRule="auto"/>
        <w:jc w:val="both"/>
        <w:rPr>
          <w:rFonts w:cs="David"/>
          <w:sz w:val="28"/>
          <w:szCs w:val="28"/>
          <w:rtl/>
        </w:rPr>
      </w:pPr>
    </w:p>
    <w:p w:rsidR="005B209F" w:rsidRDefault="005B209F" w:rsidP="00165037">
      <w:pPr>
        <w:spacing w:after="0" w:line="360" w:lineRule="auto"/>
        <w:jc w:val="both"/>
        <w:rPr>
          <w:rFonts w:cs="David"/>
          <w:sz w:val="28"/>
          <w:szCs w:val="28"/>
          <w:rtl/>
        </w:rPr>
      </w:pPr>
      <w:r>
        <w:rPr>
          <w:rFonts w:cs="David" w:hint="cs"/>
          <w:sz w:val="28"/>
          <w:szCs w:val="28"/>
          <w:rtl/>
        </w:rPr>
        <w:t xml:space="preserve">שיקול נוסף שיש לבחון בעת קבלת החלטה אם לשתף פעולה עם </w:t>
      </w:r>
      <w:r w:rsidR="009C039C">
        <w:rPr>
          <w:rFonts w:cs="David" w:hint="cs"/>
          <w:sz w:val="28"/>
          <w:szCs w:val="28"/>
          <w:rtl/>
        </w:rPr>
        <w:t>ועדת החקירה</w:t>
      </w:r>
      <w:r>
        <w:rPr>
          <w:rFonts w:cs="David" w:hint="cs"/>
          <w:sz w:val="28"/>
          <w:szCs w:val="28"/>
          <w:rtl/>
        </w:rPr>
        <w:t xml:space="preserve"> הוא הנושא שהתבקש</w:t>
      </w:r>
      <w:r w:rsidR="00165037">
        <w:rPr>
          <w:rFonts w:cs="David" w:hint="cs"/>
          <w:sz w:val="28"/>
          <w:szCs w:val="28"/>
          <w:rtl/>
        </w:rPr>
        <w:t>ה</w:t>
      </w:r>
      <w:r>
        <w:rPr>
          <w:rFonts w:cs="David" w:hint="cs"/>
          <w:sz w:val="28"/>
          <w:szCs w:val="28"/>
          <w:rtl/>
        </w:rPr>
        <w:t xml:space="preserve"> </w:t>
      </w:r>
      <w:r w:rsidR="009C039C">
        <w:rPr>
          <w:rFonts w:cs="David" w:hint="cs"/>
          <w:sz w:val="28"/>
          <w:szCs w:val="28"/>
          <w:rtl/>
        </w:rPr>
        <w:t>ועדת החקירה</w:t>
      </w:r>
      <w:r>
        <w:rPr>
          <w:rFonts w:cs="David" w:hint="cs"/>
          <w:sz w:val="28"/>
          <w:szCs w:val="28"/>
          <w:rtl/>
        </w:rPr>
        <w:t xml:space="preserve"> לבחון. ישנם נושאים שבהם יכולת ההשפעה והשכנוע של מדינת ישראל נמוכה עד בלתי קיימת. כך, לדוגמה, בנושא ההתנחלויות כמעט שלא ניתן להשפיע. יש קונצנזוס עולמי נגד עמדתה של מדינת ישראל בעניין זה. לכן הייתה החלטתה של מדינת ישראל שלא לשתף פעולה עם ועדת ההתנחלויות נכונה. צריך גם לזכור ששיתוף פעולה מגביר תמיד את התהודה של הליך הבדיקה, בארץ ומחוצה לה. זה</w:t>
      </w:r>
      <w:r w:rsidR="001813AA">
        <w:rPr>
          <w:rFonts w:cs="David" w:hint="cs"/>
          <w:sz w:val="28"/>
          <w:szCs w:val="28"/>
          <w:rtl/>
        </w:rPr>
        <w:t>ו</w:t>
      </w:r>
      <w:r>
        <w:rPr>
          <w:rFonts w:cs="David" w:hint="cs"/>
          <w:sz w:val="28"/>
          <w:szCs w:val="28"/>
          <w:rtl/>
        </w:rPr>
        <w:t xml:space="preserve"> שיקול נוסף לכך שבמצבים מעין אלה נכון שלא לשתף פעולה עם </w:t>
      </w:r>
      <w:r w:rsidR="009C039C">
        <w:rPr>
          <w:rFonts w:cs="David" w:hint="cs"/>
          <w:sz w:val="28"/>
          <w:szCs w:val="28"/>
          <w:rtl/>
        </w:rPr>
        <w:t>ועדת החקירה</w:t>
      </w:r>
      <w:r>
        <w:rPr>
          <w:rFonts w:cs="David" w:hint="cs"/>
          <w:sz w:val="28"/>
          <w:szCs w:val="28"/>
          <w:rtl/>
        </w:rPr>
        <w:t xml:space="preserve">. במצבים אלה, ייתכן שנכון להעביר עמדה כתובה </w:t>
      </w:r>
      <w:r w:rsidR="00014821">
        <w:rPr>
          <w:rFonts w:cs="David" w:hint="cs"/>
          <w:sz w:val="28"/>
          <w:szCs w:val="28"/>
          <w:rtl/>
        </w:rPr>
        <w:t>לוועדה</w:t>
      </w:r>
      <w:r>
        <w:rPr>
          <w:rFonts w:cs="David" w:hint="cs"/>
          <w:sz w:val="28"/>
          <w:szCs w:val="28"/>
          <w:rtl/>
        </w:rPr>
        <w:t xml:space="preserve"> באשר לרציונאל ולצידוק המשפטיים של נקיטת הפעולה על ידי ישראל, ולהסתפק בכך. כמובן שהימנעות משיתוף פעולה עם </w:t>
      </w:r>
      <w:r w:rsidR="001165FD">
        <w:rPr>
          <w:rFonts w:cs="David" w:hint="cs"/>
          <w:sz w:val="28"/>
          <w:szCs w:val="28"/>
          <w:rtl/>
        </w:rPr>
        <w:t>הוועדה</w:t>
      </w:r>
      <w:r>
        <w:rPr>
          <w:rFonts w:cs="David" w:hint="cs"/>
          <w:sz w:val="28"/>
          <w:szCs w:val="28"/>
          <w:rtl/>
        </w:rPr>
        <w:t xml:space="preserve"> אין פירושה שיש להתעלם מהדוח שמפרס</w:t>
      </w:r>
      <w:r w:rsidR="00165037">
        <w:rPr>
          <w:rFonts w:cs="David" w:hint="cs"/>
          <w:sz w:val="28"/>
          <w:szCs w:val="28"/>
          <w:rtl/>
        </w:rPr>
        <w:t>מת</w:t>
      </w:r>
      <w:r>
        <w:rPr>
          <w:rFonts w:cs="David" w:hint="cs"/>
          <w:sz w:val="28"/>
          <w:szCs w:val="28"/>
          <w:rtl/>
        </w:rPr>
        <w:t xml:space="preserve"> </w:t>
      </w:r>
      <w:r w:rsidR="001165FD">
        <w:rPr>
          <w:rFonts w:cs="David" w:hint="cs"/>
          <w:sz w:val="28"/>
          <w:szCs w:val="28"/>
          <w:rtl/>
        </w:rPr>
        <w:t>הוועדה</w:t>
      </w:r>
      <w:r>
        <w:rPr>
          <w:rFonts w:cs="David" w:hint="cs"/>
          <w:sz w:val="28"/>
          <w:szCs w:val="28"/>
          <w:rtl/>
        </w:rPr>
        <w:t xml:space="preserve"> בסוף תהליך הבדיקה.</w:t>
      </w:r>
    </w:p>
    <w:p w:rsidR="005B209F" w:rsidRDefault="005B209F" w:rsidP="008B316C">
      <w:pPr>
        <w:spacing w:after="0" w:line="360" w:lineRule="auto"/>
        <w:jc w:val="both"/>
        <w:rPr>
          <w:rFonts w:cs="David"/>
          <w:sz w:val="28"/>
          <w:szCs w:val="28"/>
          <w:rtl/>
        </w:rPr>
      </w:pPr>
    </w:p>
    <w:p w:rsidR="005B209F" w:rsidRDefault="005B209F" w:rsidP="00B653DC">
      <w:pPr>
        <w:spacing w:after="0" w:line="360" w:lineRule="auto"/>
        <w:jc w:val="both"/>
        <w:rPr>
          <w:rFonts w:cs="David"/>
          <w:sz w:val="28"/>
          <w:szCs w:val="28"/>
          <w:rtl/>
        </w:rPr>
      </w:pPr>
      <w:r>
        <w:rPr>
          <w:rFonts w:cs="David" w:hint="cs"/>
          <w:sz w:val="28"/>
          <w:szCs w:val="28"/>
          <w:rtl/>
        </w:rPr>
        <w:t>בנושאים הנוגעים לפעילות המבצעית של צה"ל ולמידת התאמתה למשפט הבינלאומי, לעומת זאת,</w:t>
      </w:r>
      <w:r w:rsidR="006D4190">
        <w:rPr>
          <w:rFonts w:cs="David" w:hint="cs"/>
          <w:sz w:val="28"/>
          <w:szCs w:val="28"/>
          <w:rtl/>
        </w:rPr>
        <w:t xml:space="preserve"> </w:t>
      </w:r>
      <w:r>
        <w:rPr>
          <w:rFonts w:cs="David" w:hint="cs"/>
          <w:sz w:val="28"/>
          <w:szCs w:val="28"/>
          <w:rtl/>
        </w:rPr>
        <w:t>יש יכולת גבוהה יותר להשפיע. פעילות זו נבחנת כל העת</w:t>
      </w:r>
      <w:r w:rsidR="00692192">
        <w:rPr>
          <w:rFonts w:cs="David" w:hint="cs"/>
          <w:sz w:val="28"/>
          <w:szCs w:val="28"/>
          <w:rtl/>
        </w:rPr>
        <w:t xml:space="preserve"> על ידי </w:t>
      </w:r>
      <w:r>
        <w:rPr>
          <w:rFonts w:cs="David" w:hint="cs"/>
          <w:sz w:val="28"/>
          <w:szCs w:val="28"/>
          <w:rtl/>
        </w:rPr>
        <w:t xml:space="preserve">היועצים המשפטיים של צה"ל והיא מגובה בפקודות ובנהלים שאף הם </w:t>
      </w:r>
      <w:r>
        <w:rPr>
          <w:rFonts w:cs="David" w:hint="cs"/>
          <w:sz w:val="28"/>
          <w:szCs w:val="28"/>
          <w:rtl/>
        </w:rPr>
        <w:lastRenderedPageBreak/>
        <w:t xml:space="preserve">מבוססים משפטית. כאמור לעיל, בשיתוף פעולה מעין זה גם יש פוטנציאל להרחבת האחיזה המשפטית בעולם של עמדות מדינת ישראל בתחומי המשפט הבינלאומי </w:t>
      </w:r>
      <w:r w:rsidR="004B5D63">
        <w:rPr>
          <w:rFonts w:cs="David" w:hint="cs"/>
          <w:sz w:val="28"/>
          <w:szCs w:val="28"/>
          <w:rtl/>
        </w:rPr>
        <w:t>הנוגעים לפעילות מבצעית של צבאות.</w:t>
      </w:r>
    </w:p>
    <w:p w:rsidR="00375BE2" w:rsidRDefault="00375BE2" w:rsidP="008B316C">
      <w:pPr>
        <w:spacing w:after="0" w:line="360" w:lineRule="auto"/>
        <w:jc w:val="both"/>
        <w:rPr>
          <w:rFonts w:cs="David"/>
          <w:sz w:val="28"/>
          <w:szCs w:val="28"/>
          <w:rtl/>
        </w:rPr>
      </w:pPr>
    </w:p>
    <w:p w:rsidR="001813AA" w:rsidRDefault="00375BE2" w:rsidP="00420084">
      <w:pPr>
        <w:spacing w:after="0" w:line="360" w:lineRule="auto"/>
        <w:jc w:val="both"/>
        <w:rPr>
          <w:rFonts w:cs="David"/>
          <w:b/>
          <w:bCs/>
          <w:sz w:val="28"/>
          <w:szCs w:val="28"/>
          <w:rtl/>
        </w:rPr>
      </w:pPr>
      <w:r>
        <w:rPr>
          <w:rFonts w:cs="David" w:hint="cs"/>
          <w:sz w:val="28"/>
          <w:szCs w:val="28"/>
          <w:rtl/>
        </w:rPr>
        <w:t xml:space="preserve">יכולים גם להתעורר מצבים שבהם </w:t>
      </w:r>
      <w:r w:rsidR="009C039C">
        <w:rPr>
          <w:rFonts w:cs="David" w:hint="cs"/>
          <w:sz w:val="28"/>
          <w:szCs w:val="28"/>
          <w:rtl/>
        </w:rPr>
        <w:t>ועדת החקירה</w:t>
      </w:r>
      <w:r w:rsidR="004440D9">
        <w:rPr>
          <w:rFonts w:cs="David" w:hint="cs"/>
          <w:sz w:val="28"/>
          <w:szCs w:val="28"/>
          <w:rtl/>
        </w:rPr>
        <w:t xml:space="preserve"> </w:t>
      </w:r>
      <w:r>
        <w:rPr>
          <w:rFonts w:cs="David" w:hint="cs"/>
          <w:sz w:val="28"/>
          <w:szCs w:val="28"/>
          <w:rtl/>
        </w:rPr>
        <w:t xml:space="preserve">מתמנה לבחון עניין שאין למדינת ישראל בעיה עם עצם </w:t>
      </w:r>
      <w:r w:rsidR="004440D9">
        <w:rPr>
          <w:rFonts w:cs="David" w:hint="cs"/>
          <w:sz w:val="28"/>
          <w:szCs w:val="28"/>
          <w:rtl/>
        </w:rPr>
        <w:t>המדיניות או הפרקטיקה שהוא מעורר</w:t>
      </w:r>
      <w:r>
        <w:rPr>
          <w:rFonts w:cs="David" w:hint="cs"/>
          <w:sz w:val="28"/>
          <w:szCs w:val="28"/>
          <w:rtl/>
        </w:rPr>
        <w:t>, אלא עם המקרה הקונקרטי שהוחלט לבחון</w:t>
      </w:r>
      <w:r w:rsidR="00420084">
        <w:rPr>
          <w:rFonts w:cs="David" w:hint="cs"/>
          <w:sz w:val="28"/>
          <w:szCs w:val="28"/>
          <w:rtl/>
        </w:rPr>
        <w:t>. לדוגמה</w:t>
      </w:r>
      <w:r>
        <w:rPr>
          <w:rFonts w:cs="David" w:hint="cs"/>
          <w:sz w:val="28"/>
          <w:szCs w:val="28"/>
          <w:rtl/>
        </w:rPr>
        <w:t xml:space="preserve">, </w:t>
      </w:r>
      <w:r w:rsidR="00420084">
        <w:rPr>
          <w:rFonts w:cs="David" w:hint="cs"/>
          <w:sz w:val="28"/>
          <w:szCs w:val="28"/>
          <w:rtl/>
        </w:rPr>
        <w:t>ישנם מקרים שבחינתם</w:t>
      </w:r>
      <w:r w:rsidR="004440D9">
        <w:rPr>
          <w:rFonts w:cs="David" w:hint="cs"/>
          <w:sz w:val="28"/>
          <w:szCs w:val="28"/>
          <w:rtl/>
        </w:rPr>
        <w:t xml:space="preserve"> טומנת בחובה סיכון פוטנציאלי, </w:t>
      </w:r>
      <w:r>
        <w:rPr>
          <w:rFonts w:cs="David" w:hint="cs"/>
          <w:sz w:val="28"/>
          <w:szCs w:val="28"/>
          <w:rtl/>
        </w:rPr>
        <w:t>מטעמים שונים</w:t>
      </w:r>
      <w:r w:rsidR="00420084">
        <w:rPr>
          <w:rFonts w:cs="David" w:hint="cs"/>
          <w:sz w:val="28"/>
          <w:szCs w:val="28"/>
          <w:rtl/>
        </w:rPr>
        <w:t>, שלא ניתן לפרטם במסגרת עבודה זו</w:t>
      </w:r>
      <w:r w:rsidR="004440D9">
        <w:rPr>
          <w:rFonts w:cs="David" w:hint="cs"/>
          <w:sz w:val="28"/>
          <w:szCs w:val="28"/>
          <w:rtl/>
        </w:rPr>
        <w:t>.</w:t>
      </w:r>
      <w:r>
        <w:rPr>
          <w:rFonts w:cs="David" w:hint="cs"/>
          <w:sz w:val="28"/>
          <w:szCs w:val="28"/>
          <w:rtl/>
        </w:rPr>
        <w:t xml:space="preserve"> </w:t>
      </w:r>
      <w:r w:rsidR="004440D9">
        <w:rPr>
          <w:rFonts w:cs="David" w:hint="cs"/>
          <w:sz w:val="28"/>
          <w:szCs w:val="28"/>
          <w:rtl/>
        </w:rPr>
        <w:t>במצב כזה, ייתכן שהמדינה תעדיף, במכלול השיקולים, להימנע משיתוף</w:t>
      </w:r>
      <w:r w:rsidR="006D4190">
        <w:rPr>
          <w:rFonts w:cs="David" w:hint="cs"/>
          <w:sz w:val="28"/>
          <w:szCs w:val="28"/>
          <w:rtl/>
        </w:rPr>
        <w:t xml:space="preserve"> </w:t>
      </w:r>
      <w:r w:rsidR="004440D9">
        <w:rPr>
          <w:rFonts w:cs="David" w:hint="cs"/>
          <w:sz w:val="28"/>
          <w:szCs w:val="28"/>
          <w:rtl/>
        </w:rPr>
        <w:t xml:space="preserve">פעולה עם </w:t>
      </w:r>
      <w:r w:rsidR="009C039C">
        <w:rPr>
          <w:rFonts w:cs="David" w:hint="cs"/>
          <w:sz w:val="28"/>
          <w:szCs w:val="28"/>
          <w:rtl/>
        </w:rPr>
        <w:t>ועדת החקירה</w:t>
      </w:r>
      <w:r w:rsidR="004440D9">
        <w:rPr>
          <w:rFonts w:cs="David" w:hint="cs"/>
          <w:sz w:val="28"/>
          <w:szCs w:val="28"/>
          <w:rtl/>
        </w:rPr>
        <w:t xml:space="preserve">, חרף המחיר הבינלאומי שיתלווה לכך, או לשתף פעולה באופן מופחת, באופן שימזער את הסיכון. במצבים שבהם מדינת ישראל מוצאת בתהליך החקירה שהיא מקיימת כי גורמים מטעמה פעלו שלא כדין, ייתכן שנכון יהיה לסיים את העניין באמצעות תשלום פיצויים </w:t>
      </w:r>
      <w:r w:rsidR="0083758C">
        <w:rPr>
          <w:rFonts w:cs="David" w:hint="cs"/>
          <w:sz w:val="28"/>
          <w:szCs w:val="28"/>
          <w:rtl/>
        </w:rPr>
        <w:t xml:space="preserve">והתנצלות </w:t>
      </w:r>
      <w:r w:rsidR="004440D9">
        <w:rPr>
          <w:rFonts w:cs="David" w:hint="cs"/>
          <w:sz w:val="28"/>
          <w:szCs w:val="28"/>
          <w:rtl/>
        </w:rPr>
        <w:t xml:space="preserve">חלף בדיקת העניין באמצעות </w:t>
      </w:r>
      <w:r w:rsidR="009C039C">
        <w:rPr>
          <w:rFonts w:cs="David" w:hint="cs"/>
          <w:sz w:val="28"/>
          <w:szCs w:val="28"/>
          <w:rtl/>
        </w:rPr>
        <w:t>ועדת חקירה בינלאומית</w:t>
      </w:r>
      <w:r>
        <w:rPr>
          <w:rFonts w:cs="David" w:hint="cs"/>
          <w:sz w:val="28"/>
          <w:szCs w:val="28"/>
          <w:rtl/>
        </w:rPr>
        <w:t>.</w:t>
      </w:r>
    </w:p>
    <w:p w:rsidR="00E71DC5" w:rsidRDefault="00E71DC5" w:rsidP="00E71DC5">
      <w:pPr>
        <w:spacing w:after="0" w:line="360" w:lineRule="auto"/>
        <w:jc w:val="both"/>
        <w:rPr>
          <w:rFonts w:cs="David"/>
          <w:b/>
          <w:bCs/>
          <w:sz w:val="28"/>
          <w:szCs w:val="28"/>
          <w:rtl/>
        </w:rPr>
      </w:pPr>
    </w:p>
    <w:p w:rsidR="00767B29" w:rsidRPr="00C22118" w:rsidRDefault="001813AA" w:rsidP="00C22118">
      <w:pPr>
        <w:pStyle w:val="a9"/>
        <w:numPr>
          <w:ilvl w:val="0"/>
          <w:numId w:val="22"/>
        </w:numPr>
        <w:spacing w:after="0" w:line="360" w:lineRule="auto"/>
        <w:jc w:val="both"/>
        <w:outlineLvl w:val="1"/>
        <w:rPr>
          <w:rFonts w:cs="David"/>
          <w:b/>
          <w:bCs/>
          <w:sz w:val="28"/>
          <w:szCs w:val="28"/>
          <w:rtl/>
        </w:rPr>
      </w:pPr>
      <w:bookmarkStart w:id="63" w:name="_Toc456027335"/>
      <w:r w:rsidRPr="00C22118">
        <w:rPr>
          <w:rFonts w:cs="David" w:hint="cs"/>
          <w:b/>
          <w:bCs/>
          <w:sz w:val="28"/>
          <w:szCs w:val="28"/>
          <w:rtl/>
        </w:rPr>
        <w:t xml:space="preserve">סיכום - </w:t>
      </w:r>
      <w:r w:rsidR="00767B29" w:rsidRPr="00C22118">
        <w:rPr>
          <w:rFonts w:cs="David" w:hint="cs"/>
          <w:b/>
          <w:bCs/>
          <w:sz w:val="28"/>
          <w:szCs w:val="28"/>
          <w:rtl/>
        </w:rPr>
        <w:t xml:space="preserve">שיקולים פרטניים לעניין שיתוף פעולה עם </w:t>
      </w:r>
      <w:r w:rsidR="009C039C" w:rsidRPr="00C22118">
        <w:rPr>
          <w:rFonts w:cs="David" w:hint="cs"/>
          <w:b/>
          <w:bCs/>
          <w:sz w:val="28"/>
          <w:szCs w:val="28"/>
          <w:rtl/>
        </w:rPr>
        <w:t>ועדות חקירה בינלאומיות</w:t>
      </w:r>
      <w:bookmarkEnd w:id="63"/>
    </w:p>
    <w:p w:rsidR="00767B29" w:rsidRDefault="00767B29" w:rsidP="008B316C">
      <w:pPr>
        <w:spacing w:after="0" w:line="360" w:lineRule="auto"/>
        <w:jc w:val="both"/>
        <w:rPr>
          <w:rFonts w:cs="David"/>
          <w:sz w:val="28"/>
          <w:szCs w:val="28"/>
          <w:rtl/>
        </w:rPr>
      </w:pPr>
    </w:p>
    <w:p w:rsidR="00767B29" w:rsidRPr="0004711E" w:rsidRDefault="00767B29" w:rsidP="00A70814">
      <w:pPr>
        <w:spacing w:after="0" w:line="360" w:lineRule="auto"/>
        <w:jc w:val="both"/>
        <w:rPr>
          <w:rFonts w:cs="David"/>
          <w:sz w:val="28"/>
          <w:szCs w:val="28"/>
          <w:rtl/>
        </w:rPr>
      </w:pPr>
      <w:r>
        <w:rPr>
          <w:rFonts w:cs="David" w:hint="cs"/>
          <w:sz w:val="28"/>
          <w:szCs w:val="28"/>
          <w:rtl/>
        </w:rPr>
        <w:t xml:space="preserve">נסכם, אם כן, את הפרק לעניין </w:t>
      </w:r>
      <w:r w:rsidRPr="0004711E">
        <w:rPr>
          <w:rFonts w:cs="David" w:hint="cs"/>
          <w:sz w:val="28"/>
          <w:szCs w:val="28"/>
          <w:rtl/>
        </w:rPr>
        <w:t xml:space="preserve">השיקולים הפרטניים שיש לשקול בעת קבלת החלטה האם לשתף פעולה עם </w:t>
      </w:r>
      <w:r w:rsidR="009C039C">
        <w:rPr>
          <w:rFonts w:cs="David" w:hint="cs"/>
          <w:sz w:val="28"/>
          <w:szCs w:val="28"/>
          <w:rtl/>
        </w:rPr>
        <w:t>ועדת חקירה בינלאומית</w:t>
      </w:r>
      <w:r w:rsidRPr="0004711E">
        <w:rPr>
          <w:rFonts w:cs="David" w:hint="cs"/>
          <w:sz w:val="28"/>
          <w:szCs w:val="28"/>
          <w:rtl/>
        </w:rPr>
        <w:t>, אם לאו.</w:t>
      </w:r>
      <w:r>
        <w:rPr>
          <w:rFonts w:cs="David" w:hint="cs"/>
          <w:sz w:val="28"/>
          <w:szCs w:val="28"/>
          <w:rtl/>
        </w:rPr>
        <w:t xml:space="preserve"> כפי שצוין, קשה ואולי בלתי אפשרי לייצר נוסחה מדויקת באשר לדרך הפעולה "הנכונה" בכל מקרה, אך ניתן לייצר "תפריט" עם רשימת השיקולים והמשקל שיש לתת לכל אחד מהם.</w:t>
      </w:r>
    </w:p>
    <w:p w:rsidR="00767B29" w:rsidRPr="0004711E" w:rsidRDefault="00767B29" w:rsidP="008B316C">
      <w:pPr>
        <w:spacing w:after="0" w:line="360" w:lineRule="auto"/>
        <w:jc w:val="both"/>
        <w:rPr>
          <w:rFonts w:cs="David"/>
          <w:sz w:val="28"/>
          <w:szCs w:val="28"/>
          <w:rtl/>
        </w:rPr>
      </w:pPr>
    </w:p>
    <w:p w:rsidR="00767B29" w:rsidRDefault="00E873DA" w:rsidP="00165037">
      <w:pPr>
        <w:spacing w:after="0" w:line="360" w:lineRule="auto"/>
        <w:jc w:val="both"/>
        <w:rPr>
          <w:rFonts w:cs="David"/>
          <w:sz w:val="28"/>
          <w:szCs w:val="28"/>
          <w:rtl/>
        </w:rPr>
      </w:pPr>
      <w:r>
        <w:rPr>
          <w:rFonts w:cs="David" w:hint="cs"/>
          <w:sz w:val="28"/>
          <w:szCs w:val="28"/>
          <w:rtl/>
        </w:rPr>
        <w:t xml:space="preserve">כפי שראינו, שלושת השיקולים הפרטניים המרכזיים שבדרך כלל ייבחנו בעת קבלת ההחלטה לגבי שיתוף פעולה עם </w:t>
      </w:r>
      <w:r w:rsidR="009C039C">
        <w:rPr>
          <w:rFonts w:cs="David" w:hint="cs"/>
          <w:sz w:val="28"/>
          <w:szCs w:val="28"/>
          <w:rtl/>
        </w:rPr>
        <w:t>ועדת חקירה בינלאומית</w:t>
      </w:r>
      <w:r>
        <w:rPr>
          <w:rFonts w:cs="David" w:hint="cs"/>
          <w:sz w:val="28"/>
          <w:szCs w:val="28"/>
          <w:rtl/>
        </w:rPr>
        <w:t xml:space="preserve"> הם הגוף שמינה את </w:t>
      </w:r>
      <w:r w:rsidR="001165FD">
        <w:rPr>
          <w:rFonts w:cs="David" w:hint="cs"/>
          <w:sz w:val="28"/>
          <w:szCs w:val="28"/>
          <w:rtl/>
        </w:rPr>
        <w:t>הוועדה</w:t>
      </w:r>
      <w:r>
        <w:rPr>
          <w:rFonts w:cs="David" w:hint="cs"/>
          <w:sz w:val="28"/>
          <w:szCs w:val="28"/>
          <w:rtl/>
        </w:rPr>
        <w:t xml:space="preserve">, המנדט של </w:t>
      </w:r>
      <w:r w:rsidR="001165FD">
        <w:rPr>
          <w:rFonts w:cs="David" w:hint="cs"/>
          <w:sz w:val="28"/>
          <w:szCs w:val="28"/>
          <w:rtl/>
        </w:rPr>
        <w:t>הוועדה</w:t>
      </w:r>
      <w:r>
        <w:rPr>
          <w:rFonts w:cs="David" w:hint="cs"/>
          <w:sz w:val="28"/>
          <w:szCs w:val="28"/>
          <w:rtl/>
        </w:rPr>
        <w:t xml:space="preserve"> והרכב </w:t>
      </w:r>
      <w:r w:rsidR="001165FD">
        <w:rPr>
          <w:rFonts w:cs="David" w:hint="cs"/>
          <w:sz w:val="28"/>
          <w:szCs w:val="28"/>
          <w:rtl/>
        </w:rPr>
        <w:t>הוועדה</w:t>
      </w:r>
      <w:r>
        <w:rPr>
          <w:rFonts w:cs="David" w:hint="cs"/>
          <w:sz w:val="28"/>
          <w:szCs w:val="28"/>
          <w:rtl/>
        </w:rPr>
        <w:t xml:space="preserve">. ניסינו להדגים, כיצד ניתן לדרג את סדר העדיפויות של השיקולים הללו, כך </w:t>
      </w:r>
      <w:r w:rsidR="00A76478">
        <w:rPr>
          <w:rFonts w:cs="David" w:hint="cs"/>
          <w:sz w:val="28"/>
          <w:szCs w:val="28"/>
          <w:rtl/>
        </w:rPr>
        <w:t xml:space="preserve">שיש לתת את המשקל הרב ביותר לזהות חברי </w:t>
      </w:r>
      <w:r w:rsidR="001165FD">
        <w:rPr>
          <w:rFonts w:cs="David" w:hint="cs"/>
          <w:sz w:val="28"/>
          <w:szCs w:val="28"/>
          <w:rtl/>
        </w:rPr>
        <w:t>הוועדה</w:t>
      </w:r>
      <w:r w:rsidR="00A76478">
        <w:rPr>
          <w:rFonts w:cs="David" w:hint="cs"/>
          <w:sz w:val="28"/>
          <w:szCs w:val="28"/>
          <w:rtl/>
        </w:rPr>
        <w:t>, לאחר מכן למנדט של</w:t>
      </w:r>
      <w:r w:rsidR="00165037">
        <w:rPr>
          <w:rFonts w:cs="David" w:hint="cs"/>
          <w:sz w:val="28"/>
          <w:szCs w:val="28"/>
          <w:rtl/>
        </w:rPr>
        <w:t>ה</w:t>
      </w:r>
      <w:r w:rsidR="00A76478">
        <w:rPr>
          <w:rFonts w:cs="David" w:hint="cs"/>
          <w:sz w:val="28"/>
          <w:szCs w:val="28"/>
          <w:rtl/>
        </w:rPr>
        <w:t xml:space="preserve"> ולבסוף לגוף שמינה אות</w:t>
      </w:r>
      <w:r w:rsidR="00165037">
        <w:rPr>
          <w:rFonts w:cs="David" w:hint="cs"/>
          <w:sz w:val="28"/>
          <w:szCs w:val="28"/>
          <w:rtl/>
        </w:rPr>
        <w:t>ה</w:t>
      </w:r>
      <w:r w:rsidR="00A76478">
        <w:rPr>
          <w:rFonts w:cs="David" w:hint="cs"/>
          <w:sz w:val="28"/>
          <w:szCs w:val="28"/>
          <w:rtl/>
        </w:rPr>
        <w:t xml:space="preserve">. </w:t>
      </w:r>
      <w:r w:rsidR="00767B29" w:rsidRPr="0004711E">
        <w:rPr>
          <w:rFonts w:cs="David" w:hint="cs"/>
          <w:sz w:val="28"/>
          <w:szCs w:val="28"/>
          <w:rtl/>
        </w:rPr>
        <w:t xml:space="preserve">למדינת ישראל יש יכולת </w:t>
      </w:r>
      <w:r w:rsidR="00767B29">
        <w:rPr>
          <w:rFonts w:cs="David" w:hint="cs"/>
          <w:sz w:val="28"/>
          <w:szCs w:val="28"/>
          <w:rtl/>
        </w:rPr>
        <w:t xml:space="preserve">מסוימת </w:t>
      </w:r>
      <w:r w:rsidR="00767B29" w:rsidRPr="0004711E">
        <w:rPr>
          <w:rFonts w:cs="David" w:hint="cs"/>
          <w:sz w:val="28"/>
          <w:szCs w:val="28"/>
          <w:rtl/>
        </w:rPr>
        <w:t xml:space="preserve">להשפיע על נוסח המנדט שיופקד בידי </w:t>
      </w:r>
      <w:r w:rsidR="009C039C">
        <w:rPr>
          <w:rFonts w:cs="David" w:hint="cs"/>
          <w:sz w:val="28"/>
          <w:szCs w:val="28"/>
          <w:rtl/>
        </w:rPr>
        <w:t>ועדת החקירה</w:t>
      </w:r>
      <w:r w:rsidR="00AF76BF">
        <w:rPr>
          <w:rFonts w:cs="David" w:hint="cs"/>
          <w:sz w:val="28"/>
          <w:szCs w:val="28"/>
          <w:rtl/>
        </w:rPr>
        <w:t xml:space="preserve"> ועל זהות חברי</w:t>
      </w:r>
      <w:r w:rsidR="00165037">
        <w:rPr>
          <w:rFonts w:cs="David" w:hint="cs"/>
          <w:sz w:val="28"/>
          <w:szCs w:val="28"/>
          <w:rtl/>
        </w:rPr>
        <w:t>ה</w:t>
      </w:r>
      <w:r w:rsidR="00767B29">
        <w:rPr>
          <w:rFonts w:cs="David" w:hint="cs"/>
          <w:sz w:val="28"/>
          <w:szCs w:val="28"/>
          <w:rtl/>
        </w:rPr>
        <w:t xml:space="preserve">, בדרך כלל בשלב הקמת </w:t>
      </w:r>
      <w:r w:rsidR="001165FD">
        <w:rPr>
          <w:rFonts w:cs="David" w:hint="cs"/>
          <w:sz w:val="28"/>
          <w:szCs w:val="28"/>
          <w:rtl/>
        </w:rPr>
        <w:t>הוועדה</w:t>
      </w:r>
      <w:r w:rsidR="00767B29" w:rsidRPr="0004711E">
        <w:rPr>
          <w:rFonts w:cs="David" w:hint="cs"/>
          <w:sz w:val="28"/>
          <w:szCs w:val="28"/>
          <w:rtl/>
        </w:rPr>
        <w:t xml:space="preserve">. </w:t>
      </w:r>
      <w:r w:rsidR="00AF76BF">
        <w:rPr>
          <w:rFonts w:cs="David" w:hint="cs"/>
          <w:sz w:val="28"/>
          <w:szCs w:val="28"/>
          <w:rtl/>
        </w:rPr>
        <w:t xml:space="preserve">גם אם ניתן להתפשר במידה מסוימת בהקשר הגוף הממנה את </w:t>
      </w:r>
      <w:r w:rsidR="001165FD">
        <w:rPr>
          <w:rFonts w:cs="David" w:hint="cs"/>
          <w:sz w:val="28"/>
          <w:szCs w:val="28"/>
          <w:rtl/>
        </w:rPr>
        <w:t>הוועדה</w:t>
      </w:r>
      <w:r w:rsidR="00AF76BF">
        <w:rPr>
          <w:rFonts w:cs="David" w:hint="cs"/>
          <w:sz w:val="28"/>
          <w:szCs w:val="28"/>
          <w:rtl/>
        </w:rPr>
        <w:t xml:space="preserve"> והמנדט שניתן ל</w:t>
      </w:r>
      <w:r w:rsidR="00165037">
        <w:rPr>
          <w:rFonts w:cs="David" w:hint="cs"/>
          <w:sz w:val="28"/>
          <w:szCs w:val="28"/>
          <w:rtl/>
        </w:rPr>
        <w:t>ה</w:t>
      </w:r>
      <w:r w:rsidR="00AF76BF">
        <w:rPr>
          <w:rFonts w:cs="David" w:hint="cs"/>
          <w:sz w:val="28"/>
          <w:szCs w:val="28"/>
          <w:rtl/>
        </w:rPr>
        <w:t xml:space="preserve">, </w:t>
      </w:r>
      <w:r w:rsidR="00767B29">
        <w:rPr>
          <w:rFonts w:cs="David" w:hint="cs"/>
          <w:sz w:val="28"/>
          <w:szCs w:val="28"/>
          <w:rtl/>
        </w:rPr>
        <w:t xml:space="preserve">על פניו, נראה כי מינוי של אדם </w:t>
      </w:r>
      <w:r w:rsidR="00767B29" w:rsidRPr="007A1997">
        <w:rPr>
          <w:rFonts w:cs="David" w:hint="cs"/>
          <w:sz w:val="28"/>
          <w:szCs w:val="28"/>
          <w:rtl/>
        </w:rPr>
        <w:t>שבאופן אישי</w:t>
      </w:r>
      <w:r w:rsidR="00767B29">
        <w:rPr>
          <w:rFonts w:cs="David" w:hint="cs"/>
          <w:sz w:val="28"/>
          <w:szCs w:val="28"/>
          <w:rtl/>
        </w:rPr>
        <w:t xml:space="preserve"> מבטא הטיה נגד ישראל צריך להיענות בסירוב ישראלי לעבוד עמו ובדרישה להחליפו במועמד הוגן.</w:t>
      </w:r>
    </w:p>
    <w:p w:rsidR="00767B29" w:rsidRDefault="00767B29" w:rsidP="008B316C">
      <w:pPr>
        <w:spacing w:after="0" w:line="360" w:lineRule="auto"/>
        <w:jc w:val="both"/>
        <w:rPr>
          <w:rFonts w:cs="David"/>
          <w:sz w:val="28"/>
          <w:szCs w:val="28"/>
          <w:rtl/>
        </w:rPr>
      </w:pPr>
    </w:p>
    <w:p w:rsidR="00767B29" w:rsidRDefault="00AF76BF" w:rsidP="00165037">
      <w:pPr>
        <w:spacing w:after="0" w:line="360" w:lineRule="auto"/>
        <w:jc w:val="both"/>
        <w:rPr>
          <w:rFonts w:cs="David"/>
          <w:sz w:val="28"/>
          <w:szCs w:val="28"/>
        </w:rPr>
      </w:pPr>
      <w:r>
        <w:rPr>
          <w:rFonts w:cs="David" w:hint="cs"/>
          <w:sz w:val="28"/>
          <w:szCs w:val="28"/>
          <w:rtl/>
        </w:rPr>
        <w:t xml:space="preserve">לצידם של השיקולים הללו הוזכרו שיקולים נוספים שיש לקחת בחשבון ובהם החליפיות בין מספר </w:t>
      </w:r>
      <w:r w:rsidR="0074404A">
        <w:rPr>
          <w:rFonts w:cs="David" w:hint="cs"/>
          <w:sz w:val="28"/>
          <w:szCs w:val="28"/>
          <w:rtl/>
        </w:rPr>
        <w:t>ועדות</w:t>
      </w:r>
      <w:r>
        <w:rPr>
          <w:rFonts w:cs="David" w:hint="cs"/>
          <w:sz w:val="28"/>
          <w:szCs w:val="28"/>
          <w:rtl/>
        </w:rPr>
        <w:t xml:space="preserve"> שיכול</w:t>
      </w:r>
      <w:r w:rsidR="00165037">
        <w:rPr>
          <w:rFonts w:cs="David" w:hint="cs"/>
          <w:sz w:val="28"/>
          <w:szCs w:val="28"/>
          <w:rtl/>
        </w:rPr>
        <w:t>ות</w:t>
      </w:r>
      <w:r>
        <w:rPr>
          <w:rFonts w:cs="David" w:hint="cs"/>
          <w:sz w:val="28"/>
          <w:szCs w:val="28"/>
          <w:rtl/>
        </w:rPr>
        <w:t xml:space="preserve"> לבחון את הסוגיה שבנדון; ה</w:t>
      </w:r>
      <w:r w:rsidR="00D44503" w:rsidRPr="00D44503">
        <w:rPr>
          <w:rFonts w:cs="David" w:hint="cs"/>
          <w:sz w:val="28"/>
          <w:szCs w:val="28"/>
          <w:rtl/>
        </w:rPr>
        <w:t>מומחיות</w:t>
      </w:r>
      <w:r w:rsidR="00D44503" w:rsidRPr="00D44503">
        <w:rPr>
          <w:rFonts w:cs="David"/>
          <w:sz w:val="28"/>
          <w:szCs w:val="28"/>
          <w:rtl/>
        </w:rPr>
        <w:t xml:space="preserve"> </w:t>
      </w:r>
      <w:r w:rsidR="00D44503" w:rsidRPr="00D44503">
        <w:rPr>
          <w:rFonts w:cs="David" w:hint="cs"/>
          <w:sz w:val="28"/>
          <w:szCs w:val="28"/>
          <w:rtl/>
        </w:rPr>
        <w:t>הרלוונטית</w:t>
      </w:r>
      <w:r w:rsidR="00D44503" w:rsidRPr="00D44503">
        <w:rPr>
          <w:rFonts w:cs="David"/>
          <w:sz w:val="28"/>
          <w:szCs w:val="28"/>
          <w:rtl/>
        </w:rPr>
        <w:t xml:space="preserve"> </w:t>
      </w:r>
      <w:r w:rsidR="00D44503" w:rsidRPr="00D44503">
        <w:rPr>
          <w:rFonts w:cs="David" w:hint="cs"/>
          <w:sz w:val="28"/>
          <w:szCs w:val="28"/>
          <w:rtl/>
        </w:rPr>
        <w:t>הנדרשת</w:t>
      </w:r>
      <w:r w:rsidR="00D44503" w:rsidRPr="00D44503">
        <w:rPr>
          <w:rFonts w:cs="David"/>
          <w:sz w:val="28"/>
          <w:szCs w:val="28"/>
          <w:rtl/>
        </w:rPr>
        <w:t xml:space="preserve"> </w:t>
      </w:r>
      <w:r w:rsidR="00D44503" w:rsidRPr="00D44503">
        <w:rPr>
          <w:rFonts w:cs="David" w:hint="cs"/>
          <w:sz w:val="28"/>
          <w:szCs w:val="28"/>
          <w:rtl/>
        </w:rPr>
        <w:t>מחברי</w:t>
      </w:r>
      <w:r w:rsidR="00D44503" w:rsidRPr="00D44503">
        <w:rPr>
          <w:rFonts w:cs="David"/>
          <w:sz w:val="28"/>
          <w:szCs w:val="28"/>
          <w:rtl/>
        </w:rPr>
        <w:t xml:space="preserve"> </w:t>
      </w:r>
      <w:r w:rsidR="001165FD">
        <w:rPr>
          <w:rFonts w:cs="David" w:hint="cs"/>
          <w:sz w:val="28"/>
          <w:szCs w:val="28"/>
          <w:rtl/>
        </w:rPr>
        <w:t>הוועדה</w:t>
      </w:r>
      <w:r w:rsidR="00D44503" w:rsidRPr="00D44503">
        <w:rPr>
          <w:rFonts w:cs="David"/>
          <w:sz w:val="28"/>
          <w:szCs w:val="28"/>
          <w:rtl/>
        </w:rPr>
        <w:t>;</w:t>
      </w:r>
      <w:r>
        <w:rPr>
          <w:rFonts w:cs="David" w:hint="cs"/>
          <w:b/>
          <w:bCs/>
          <w:sz w:val="28"/>
          <w:szCs w:val="28"/>
          <w:rtl/>
        </w:rPr>
        <w:t xml:space="preserve"> </w:t>
      </w:r>
      <w:r>
        <w:rPr>
          <w:rFonts w:cs="David" w:hint="cs"/>
          <w:sz w:val="28"/>
          <w:szCs w:val="28"/>
          <w:rtl/>
        </w:rPr>
        <w:t xml:space="preserve">הרכב המזכירות והצוות של </w:t>
      </w:r>
      <w:r w:rsidR="001165FD">
        <w:rPr>
          <w:rFonts w:cs="David" w:hint="cs"/>
          <w:sz w:val="28"/>
          <w:szCs w:val="28"/>
          <w:rtl/>
        </w:rPr>
        <w:t>הוועדה</w:t>
      </w:r>
      <w:r>
        <w:rPr>
          <w:rFonts w:cs="David" w:hint="cs"/>
          <w:sz w:val="28"/>
          <w:szCs w:val="28"/>
          <w:rtl/>
        </w:rPr>
        <w:t xml:space="preserve">; היקף האירוע שייבחן על ידי </w:t>
      </w:r>
      <w:r w:rsidR="001165FD">
        <w:rPr>
          <w:rFonts w:cs="David" w:hint="cs"/>
          <w:sz w:val="28"/>
          <w:szCs w:val="28"/>
          <w:rtl/>
        </w:rPr>
        <w:t>הוועדה</w:t>
      </w:r>
      <w:r>
        <w:rPr>
          <w:rFonts w:cs="David" w:hint="cs"/>
          <w:sz w:val="28"/>
          <w:szCs w:val="28"/>
          <w:rtl/>
        </w:rPr>
        <w:t>; המצב המדיני בו נתונה המדינה בעת קבלת ההחלטה</w:t>
      </w:r>
      <w:r w:rsidR="00277B0D">
        <w:rPr>
          <w:rFonts w:cs="David" w:hint="cs"/>
          <w:sz w:val="28"/>
          <w:szCs w:val="28"/>
          <w:rtl/>
        </w:rPr>
        <w:t>; ה</w:t>
      </w:r>
      <w:r w:rsidR="00767B29">
        <w:rPr>
          <w:rFonts w:cs="David" w:hint="cs"/>
          <w:sz w:val="28"/>
          <w:szCs w:val="28"/>
          <w:rtl/>
        </w:rPr>
        <w:t>נושא שהתבקש</w:t>
      </w:r>
      <w:r w:rsidR="00165037">
        <w:rPr>
          <w:rFonts w:cs="David" w:hint="cs"/>
          <w:sz w:val="28"/>
          <w:szCs w:val="28"/>
          <w:rtl/>
        </w:rPr>
        <w:t>ה</w:t>
      </w:r>
      <w:r w:rsidR="00767B29">
        <w:rPr>
          <w:rFonts w:cs="David" w:hint="cs"/>
          <w:sz w:val="28"/>
          <w:szCs w:val="28"/>
          <w:rtl/>
        </w:rPr>
        <w:t xml:space="preserve"> </w:t>
      </w:r>
      <w:r w:rsidR="009C039C">
        <w:rPr>
          <w:rFonts w:cs="David" w:hint="cs"/>
          <w:sz w:val="28"/>
          <w:szCs w:val="28"/>
          <w:rtl/>
        </w:rPr>
        <w:t>ועדת החקירה</w:t>
      </w:r>
      <w:r w:rsidR="00767B29">
        <w:rPr>
          <w:rFonts w:cs="David" w:hint="cs"/>
          <w:sz w:val="28"/>
          <w:szCs w:val="28"/>
          <w:rtl/>
        </w:rPr>
        <w:t xml:space="preserve"> לבחון ומידת יכולת ההשפעה והשכנוע של מדינת ישראל לגביו. </w:t>
      </w:r>
    </w:p>
    <w:p w:rsidR="00767B29" w:rsidRDefault="00767B29" w:rsidP="008B316C">
      <w:pPr>
        <w:spacing w:after="0" w:line="360" w:lineRule="auto"/>
        <w:jc w:val="both"/>
        <w:rPr>
          <w:rFonts w:cs="David"/>
          <w:sz w:val="28"/>
          <w:szCs w:val="28"/>
          <w:rtl/>
        </w:rPr>
      </w:pPr>
    </w:p>
    <w:p w:rsidR="00767B29" w:rsidRDefault="00767B29" w:rsidP="00165037">
      <w:pPr>
        <w:spacing w:after="0" w:line="360" w:lineRule="auto"/>
        <w:jc w:val="both"/>
        <w:rPr>
          <w:rFonts w:cs="David"/>
          <w:sz w:val="28"/>
          <w:szCs w:val="28"/>
          <w:rtl/>
        </w:rPr>
      </w:pPr>
      <w:r>
        <w:rPr>
          <w:rFonts w:cs="David" w:hint="cs"/>
          <w:sz w:val="28"/>
          <w:szCs w:val="28"/>
          <w:rtl/>
        </w:rPr>
        <w:t xml:space="preserve">ניתן לראות, אם כן, שההחלטה האם לשתף פעולה עם </w:t>
      </w:r>
      <w:r w:rsidR="009C039C">
        <w:rPr>
          <w:rFonts w:cs="David" w:hint="cs"/>
          <w:sz w:val="28"/>
          <w:szCs w:val="28"/>
          <w:rtl/>
        </w:rPr>
        <w:t>ועדת חקירה בינלאומית</w:t>
      </w:r>
      <w:r>
        <w:rPr>
          <w:rFonts w:cs="David" w:hint="cs"/>
          <w:sz w:val="28"/>
          <w:szCs w:val="28"/>
          <w:rtl/>
        </w:rPr>
        <w:t xml:space="preserve"> היא תמיד תלוית הקשר ונסיבות. השיקולים קשורים לעיתים </w:t>
      </w:r>
      <w:r w:rsidR="00014821">
        <w:rPr>
          <w:rFonts w:cs="David" w:hint="cs"/>
          <w:sz w:val="28"/>
          <w:szCs w:val="28"/>
          <w:rtl/>
        </w:rPr>
        <w:t>לוועדה</w:t>
      </w:r>
      <w:r>
        <w:rPr>
          <w:rFonts w:cs="David" w:hint="cs"/>
          <w:sz w:val="28"/>
          <w:szCs w:val="28"/>
          <w:rtl/>
        </w:rPr>
        <w:t xml:space="preserve"> עצמ</w:t>
      </w:r>
      <w:r w:rsidR="00165037">
        <w:rPr>
          <w:rFonts w:cs="David" w:hint="cs"/>
          <w:sz w:val="28"/>
          <w:szCs w:val="28"/>
          <w:rtl/>
        </w:rPr>
        <w:t>ה</w:t>
      </w:r>
      <w:r>
        <w:rPr>
          <w:rFonts w:cs="David" w:hint="cs"/>
          <w:sz w:val="28"/>
          <w:szCs w:val="28"/>
          <w:rtl/>
        </w:rPr>
        <w:t>, ולעיתים הם שיקולים חיצוניים. שיקולים חיצוניים מעין אלה יכולים להיות המצב הביטחוני, מצב התהליך המדיני, הממשלה שבשלטון ויחסה לסוגיית שיתוף הפעולה (הגם כי דומה שמדובר בגישה אישית של ממלאי התפקידים בממשלה ולאו דווקא בעמדה הנגזרת מו</w:t>
      </w:r>
      <w:r w:rsidR="00165037">
        <w:rPr>
          <w:rFonts w:cs="David" w:hint="cs"/>
          <w:sz w:val="28"/>
          <w:szCs w:val="28"/>
          <w:rtl/>
        </w:rPr>
        <w:t>ּ</w:t>
      </w:r>
      <w:r>
        <w:rPr>
          <w:rFonts w:cs="David" w:hint="cs"/>
          <w:sz w:val="28"/>
          <w:szCs w:val="28"/>
          <w:rtl/>
        </w:rPr>
        <w:t>כ</w:t>
      </w:r>
      <w:r w:rsidR="00165037">
        <w:rPr>
          <w:rFonts w:cs="David" w:hint="cs"/>
          <w:sz w:val="28"/>
          <w:szCs w:val="28"/>
          <w:rtl/>
        </w:rPr>
        <w:t>ְ</w:t>
      </w:r>
      <w:r>
        <w:rPr>
          <w:rFonts w:cs="David" w:hint="cs"/>
          <w:sz w:val="28"/>
          <w:szCs w:val="28"/>
          <w:rtl/>
        </w:rPr>
        <w:t>נית משיוכם הפוליטי) ועוד.</w:t>
      </w:r>
    </w:p>
    <w:p w:rsidR="00767B29" w:rsidRDefault="00767B29" w:rsidP="008B316C">
      <w:pPr>
        <w:spacing w:after="0" w:line="360" w:lineRule="auto"/>
        <w:jc w:val="both"/>
        <w:rPr>
          <w:rFonts w:cs="David"/>
          <w:sz w:val="28"/>
          <w:szCs w:val="28"/>
          <w:rtl/>
        </w:rPr>
      </w:pPr>
    </w:p>
    <w:p w:rsidR="00767B29" w:rsidRDefault="00767B29" w:rsidP="00165037">
      <w:pPr>
        <w:spacing w:after="0" w:line="360" w:lineRule="auto"/>
        <w:jc w:val="both"/>
        <w:rPr>
          <w:rFonts w:cs="David"/>
          <w:sz w:val="28"/>
          <w:szCs w:val="28"/>
          <w:rtl/>
        </w:rPr>
      </w:pPr>
      <w:r>
        <w:rPr>
          <w:rFonts w:cs="David" w:hint="cs"/>
          <w:sz w:val="28"/>
          <w:szCs w:val="28"/>
          <w:rtl/>
        </w:rPr>
        <w:t>הנסיבות הפוליטיות הקשות</w:t>
      </w:r>
      <w:r w:rsidR="0067445D">
        <w:rPr>
          <w:rFonts w:cs="David" w:hint="cs"/>
          <w:sz w:val="28"/>
          <w:szCs w:val="28"/>
          <w:rtl/>
        </w:rPr>
        <w:t>,</w:t>
      </w:r>
      <w:r>
        <w:rPr>
          <w:rFonts w:cs="David" w:hint="cs"/>
          <w:sz w:val="28"/>
          <w:szCs w:val="28"/>
          <w:rtl/>
        </w:rPr>
        <w:t xml:space="preserve"> שבהן נאלצת מדינת ישראל לתפקד בזירה הבינלאומית</w:t>
      </w:r>
      <w:r w:rsidR="0067445D">
        <w:rPr>
          <w:rFonts w:cs="David" w:hint="cs"/>
          <w:sz w:val="28"/>
          <w:szCs w:val="28"/>
          <w:rtl/>
        </w:rPr>
        <w:t>,</w:t>
      </w:r>
      <w:r>
        <w:rPr>
          <w:rFonts w:cs="David" w:hint="cs"/>
          <w:sz w:val="28"/>
          <w:szCs w:val="28"/>
          <w:rtl/>
        </w:rPr>
        <w:t xml:space="preserve"> מייצרות לעיתים מצב פרדוקסאלי, שבו לעיתים עדיף מבחינתה של ישראל שייכתב דוח גרוע במיוחד, שניתן יהיה להוכיח מדוע הוא גרוע וכך לפגוע באמינותו, מדוח נוח ממנו, אך עדיין ביקורתי, שקשה יותר לפגוע במהימנותו, מטעמים שונים. לכן, לא תמיד נכון לנסות למזער את הנזק כאשר נראה שהתוצאה הסופית תהיה עדיין בלתי נסבלת מבחינתה של מדינת ישראל. נדרש כאן איזון עדין מאוד ומלאכת הערכת סיכונים לא פשוטה. בסופו של דבר, ככל שתהליך מינוי </w:t>
      </w:r>
      <w:r w:rsidR="001165FD">
        <w:rPr>
          <w:rFonts w:cs="David" w:hint="cs"/>
          <w:sz w:val="28"/>
          <w:szCs w:val="28"/>
          <w:rtl/>
        </w:rPr>
        <w:t>הוועדה</w:t>
      </w:r>
      <w:r>
        <w:rPr>
          <w:rFonts w:cs="David" w:hint="cs"/>
          <w:sz w:val="28"/>
          <w:szCs w:val="28"/>
          <w:rtl/>
        </w:rPr>
        <w:t xml:space="preserve"> יותר לקוי וגרוע, השיקול התועלתני הפרטני של ניסיון להשפיע על התהליך לחיוב נסוג מפני עמדה עקרונית נכונה שאין להשתתף בתהליך פגום שכזה. לעניין זה גם יש לזכור תמיד, ש</w:t>
      </w:r>
      <w:r w:rsidRPr="00FF644E">
        <w:rPr>
          <w:rFonts w:cs="David" w:hint="cs"/>
          <w:sz w:val="28"/>
          <w:szCs w:val="28"/>
          <w:rtl/>
        </w:rPr>
        <w:t xml:space="preserve">שיתוף הפעולה </w:t>
      </w:r>
      <w:r>
        <w:rPr>
          <w:rFonts w:cs="David" w:hint="cs"/>
          <w:sz w:val="28"/>
          <w:szCs w:val="28"/>
          <w:rtl/>
        </w:rPr>
        <w:t>יכול לה</w:t>
      </w:r>
      <w:r w:rsidRPr="00FF644E">
        <w:rPr>
          <w:rFonts w:cs="David" w:hint="cs"/>
          <w:sz w:val="28"/>
          <w:szCs w:val="28"/>
          <w:rtl/>
        </w:rPr>
        <w:t>גביר את פרופיל הליך הבדיקה באופן שיעניק תהודה רבה יותר למסקנותיו</w:t>
      </w:r>
      <w:r>
        <w:rPr>
          <w:rFonts w:cs="David" w:hint="cs"/>
          <w:sz w:val="28"/>
          <w:szCs w:val="28"/>
          <w:rtl/>
        </w:rPr>
        <w:t xml:space="preserve">, </w:t>
      </w:r>
      <w:r w:rsidR="00DF64B3">
        <w:rPr>
          <w:rFonts w:cs="David" w:hint="cs"/>
          <w:sz w:val="28"/>
          <w:szCs w:val="28"/>
          <w:rtl/>
        </w:rPr>
        <w:t>ולא ראוי</w:t>
      </w:r>
      <w:r>
        <w:rPr>
          <w:rFonts w:cs="David" w:hint="cs"/>
          <w:sz w:val="28"/>
          <w:szCs w:val="28"/>
          <w:rtl/>
        </w:rPr>
        <w:t xml:space="preserve"> להעניק תהודה כזו להליך פגום</w:t>
      </w:r>
      <w:r w:rsidRPr="00FF644E">
        <w:rPr>
          <w:rFonts w:cs="David" w:hint="cs"/>
          <w:sz w:val="28"/>
          <w:szCs w:val="28"/>
          <w:rtl/>
        </w:rPr>
        <w:t>.</w:t>
      </w:r>
    </w:p>
    <w:p w:rsidR="00767B29" w:rsidRDefault="00767B29" w:rsidP="008B316C">
      <w:pPr>
        <w:spacing w:after="0" w:line="360" w:lineRule="auto"/>
        <w:jc w:val="both"/>
        <w:rPr>
          <w:rFonts w:cs="David"/>
          <w:sz w:val="28"/>
          <w:szCs w:val="28"/>
          <w:rtl/>
        </w:rPr>
      </w:pPr>
    </w:p>
    <w:p w:rsidR="006117E6" w:rsidRDefault="00767B29" w:rsidP="008B316C">
      <w:pPr>
        <w:pStyle w:val="a9"/>
        <w:spacing w:after="0" w:line="360" w:lineRule="auto"/>
        <w:ind w:left="0"/>
        <w:jc w:val="both"/>
        <w:rPr>
          <w:rFonts w:cs="David"/>
          <w:sz w:val="28"/>
          <w:szCs w:val="28"/>
          <w:rtl/>
        </w:rPr>
      </w:pPr>
      <w:r w:rsidRPr="002E6540">
        <w:rPr>
          <w:rFonts w:cs="David" w:hint="cs"/>
          <w:sz w:val="28"/>
          <w:szCs w:val="28"/>
          <w:rtl/>
        </w:rPr>
        <w:t xml:space="preserve">במצבים כאלה, </w:t>
      </w:r>
      <w:r w:rsidRPr="00FF644E">
        <w:rPr>
          <w:rFonts w:cs="David" w:hint="cs"/>
          <w:sz w:val="28"/>
          <w:szCs w:val="28"/>
          <w:rtl/>
        </w:rPr>
        <w:t xml:space="preserve">אי שיתוף הפעולה </w:t>
      </w:r>
      <w:r>
        <w:rPr>
          <w:rFonts w:cs="David" w:hint="cs"/>
          <w:sz w:val="28"/>
          <w:szCs w:val="28"/>
          <w:rtl/>
        </w:rPr>
        <w:t xml:space="preserve">עם </w:t>
      </w:r>
      <w:r w:rsidR="001165FD">
        <w:rPr>
          <w:rFonts w:cs="David" w:hint="cs"/>
          <w:sz w:val="28"/>
          <w:szCs w:val="28"/>
          <w:rtl/>
        </w:rPr>
        <w:t>הוועדה</w:t>
      </w:r>
      <w:r>
        <w:rPr>
          <w:rFonts w:cs="David" w:hint="cs"/>
          <w:sz w:val="28"/>
          <w:szCs w:val="28"/>
          <w:rtl/>
        </w:rPr>
        <w:t xml:space="preserve"> </w:t>
      </w:r>
      <w:r w:rsidRPr="00FF644E">
        <w:rPr>
          <w:rFonts w:cs="David" w:hint="cs"/>
          <w:sz w:val="28"/>
          <w:szCs w:val="28"/>
          <w:rtl/>
        </w:rPr>
        <w:t xml:space="preserve">יכול </w:t>
      </w:r>
      <w:r>
        <w:rPr>
          <w:rFonts w:cs="David" w:hint="cs"/>
          <w:sz w:val="28"/>
          <w:szCs w:val="28"/>
          <w:rtl/>
        </w:rPr>
        <w:t xml:space="preserve">גם </w:t>
      </w:r>
      <w:r w:rsidRPr="00FF644E">
        <w:rPr>
          <w:rFonts w:cs="David" w:hint="cs"/>
          <w:sz w:val="28"/>
          <w:szCs w:val="28"/>
          <w:rtl/>
        </w:rPr>
        <w:t xml:space="preserve">לשדר מסר </w:t>
      </w:r>
      <w:r>
        <w:rPr>
          <w:rFonts w:cs="David" w:hint="cs"/>
          <w:sz w:val="28"/>
          <w:szCs w:val="28"/>
          <w:rtl/>
        </w:rPr>
        <w:t xml:space="preserve">ברור ואמין </w:t>
      </w:r>
      <w:r w:rsidRPr="00FF644E">
        <w:rPr>
          <w:rFonts w:cs="David" w:hint="cs"/>
          <w:sz w:val="28"/>
          <w:szCs w:val="28"/>
          <w:rtl/>
        </w:rPr>
        <w:t xml:space="preserve">של מורת רוח </w:t>
      </w:r>
      <w:r>
        <w:rPr>
          <w:rFonts w:cs="David" w:hint="cs"/>
          <w:sz w:val="28"/>
          <w:szCs w:val="28"/>
          <w:rtl/>
        </w:rPr>
        <w:t xml:space="preserve">מהפגמים בתהליך, </w:t>
      </w:r>
      <w:r w:rsidRPr="00FF644E">
        <w:rPr>
          <w:rFonts w:cs="David" w:hint="cs"/>
          <w:sz w:val="28"/>
          <w:szCs w:val="28"/>
          <w:rtl/>
        </w:rPr>
        <w:t>שי</w:t>
      </w:r>
      <w:r>
        <w:rPr>
          <w:rFonts w:cs="David" w:hint="cs"/>
          <w:sz w:val="28"/>
          <w:szCs w:val="28"/>
          <w:rtl/>
        </w:rPr>
        <w:t xml:space="preserve">כול להיות </w:t>
      </w:r>
      <w:r w:rsidRPr="00FF644E">
        <w:rPr>
          <w:rFonts w:cs="David" w:hint="cs"/>
          <w:sz w:val="28"/>
          <w:szCs w:val="28"/>
          <w:rtl/>
        </w:rPr>
        <w:t>לו ערך פוליטי מסוים</w:t>
      </w:r>
      <w:r>
        <w:rPr>
          <w:rFonts w:cs="David" w:hint="cs"/>
          <w:sz w:val="28"/>
          <w:szCs w:val="28"/>
          <w:rtl/>
        </w:rPr>
        <w:t xml:space="preserve"> במערכת היחסים בין מדינת ישראל ל</w:t>
      </w:r>
      <w:r w:rsidRPr="00FF644E">
        <w:rPr>
          <w:rFonts w:cs="David" w:hint="cs"/>
          <w:sz w:val="28"/>
          <w:szCs w:val="28"/>
          <w:rtl/>
        </w:rPr>
        <w:t xml:space="preserve">גופים או מדינות </w:t>
      </w:r>
      <w:r>
        <w:rPr>
          <w:rFonts w:cs="David" w:hint="cs"/>
          <w:sz w:val="28"/>
          <w:szCs w:val="28"/>
          <w:rtl/>
        </w:rPr>
        <w:t>שמבינים את העוול שנגרם לה ומבקשים למצוא דרכים</w:t>
      </w:r>
      <w:r w:rsidRPr="00FF644E">
        <w:rPr>
          <w:rFonts w:cs="David" w:hint="cs"/>
          <w:sz w:val="28"/>
          <w:szCs w:val="28"/>
          <w:rtl/>
        </w:rPr>
        <w:t xml:space="preserve"> לפצות</w:t>
      </w:r>
      <w:r>
        <w:rPr>
          <w:rFonts w:cs="David" w:hint="cs"/>
          <w:sz w:val="28"/>
          <w:szCs w:val="28"/>
          <w:rtl/>
        </w:rPr>
        <w:t>ה על כך</w:t>
      </w:r>
      <w:r w:rsidR="00165037">
        <w:rPr>
          <w:rFonts w:cs="David" w:hint="cs"/>
          <w:sz w:val="28"/>
          <w:szCs w:val="28"/>
          <w:rtl/>
        </w:rPr>
        <w:t>,</w:t>
      </w:r>
      <w:r w:rsidRPr="00FF644E">
        <w:rPr>
          <w:rFonts w:cs="David" w:hint="cs"/>
          <w:sz w:val="28"/>
          <w:szCs w:val="28"/>
          <w:rtl/>
        </w:rPr>
        <w:t xml:space="preserve"> </w:t>
      </w:r>
      <w:r>
        <w:rPr>
          <w:rFonts w:cs="David" w:hint="cs"/>
          <w:sz w:val="28"/>
          <w:szCs w:val="28"/>
          <w:rtl/>
        </w:rPr>
        <w:t xml:space="preserve">על מנת לאפשר לה </w:t>
      </w:r>
      <w:r w:rsidRPr="00FF644E">
        <w:rPr>
          <w:rFonts w:cs="David" w:hint="cs"/>
          <w:sz w:val="28"/>
          <w:szCs w:val="28"/>
          <w:rtl/>
        </w:rPr>
        <w:t>לשתף פעולה עם הגופים הבינלאומיים.</w:t>
      </w:r>
      <w:r w:rsidRPr="00FF644E">
        <w:rPr>
          <w:rFonts w:cs="David"/>
          <w:sz w:val="28"/>
          <w:szCs w:val="28"/>
          <w:rtl/>
        </w:rPr>
        <w:t xml:space="preserve"> </w:t>
      </w:r>
    </w:p>
    <w:p w:rsidR="00434DAC" w:rsidRDefault="00434DAC" w:rsidP="008B316C">
      <w:pPr>
        <w:bidi w:val="0"/>
        <w:spacing w:after="0" w:line="360" w:lineRule="auto"/>
        <w:rPr>
          <w:rFonts w:cs="David"/>
          <w:sz w:val="28"/>
          <w:szCs w:val="28"/>
        </w:rPr>
      </w:pPr>
      <w:r>
        <w:rPr>
          <w:rFonts w:cs="David"/>
          <w:sz w:val="28"/>
          <w:szCs w:val="28"/>
          <w:rtl/>
        </w:rPr>
        <w:br w:type="page"/>
      </w:r>
    </w:p>
    <w:p w:rsidR="00036692" w:rsidRPr="00C22118" w:rsidRDefault="00D44503" w:rsidP="00C22118">
      <w:pPr>
        <w:pStyle w:val="1"/>
        <w:bidi/>
        <w:spacing w:before="0" w:beforeAutospacing="0" w:after="0" w:afterAutospacing="0" w:line="360" w:lineRule="auto"/>
        <w:jc w:val="both"/>
        <w:rPr>
          <w:rFonts w:cs="David"/>
          <w:sz w:val="32"/>
          <w:szCs w:val="32"/>
          <w:rtl/>
        </w:rPr>
      </w:pPr>
      <w:bookmarkStart w:id="64" w:name="_Toc456027336"/>
      <w:r w:rsidRPr="00C22118">
        <w:rPr>
          <w:rFonts w:cs="David" w:hint="cs"/>
          <w:sz w:val="32"/>
          <w:szCs w:val="32"/>
          <w:rtl/>
        </w:rPr>
        <w:lastRenderedPageBreak/>
        <w:t>פרק</w:t>
      </w:r>
      <w:r w:rsidRPr="00C22118">
        <w:rPr>
          <w:rFonts w:cs="David"/>
          <w:sz w:val="32"/>
          <w:szCs w:val="32"/>
          <w:rtl/>
        </w:rPr>
        <w:t xml:space="preserve"> </w:t>
      </w:r>
      <w:r w:rsidR="00165037" w:rsidRPr="00C22118">
        <w:rPr>
          <w:rFonts w:cs="David" w:hint="cs"/>
          <w:sz w:val="32"/>
          <w:szCs w:val="32"/>
          <w:rtl/>
        </w:rPr>
        <w:t>ה</w:t>
      </w:r>
      <w:r w:rsidRPr="00C22118">
        <w:rPr>
          <w:rFonts w:cs="David"/>
          <w:sz w:val="32"/>
          <w:szCs w:val="32"/>
          <w:rtl/>
        </w:rPr>
        <w:t xml:space="preserve">' - </w:t>
      </w:r>
      <w:r w:rsidRPr="00C22118">
        <w:rPr>
          <w:rFonts w:cs="David" w:hint="cs"/>
          <w:sz w:val="32"/>
          <w:szCs w:val="32"/>
          <w:rtl/>
        </w:rPr>
        <w:t>הצורך</w:t>
      </w:r>
      <w:r w:rsidRPr="00C22118">
        <w:rPr>
          <w:rFonts w:cs="David"/>
          <w:sz w:val="32"/>
          <w:szCs w:val="32"/>
          <w:rtl/>
        </w:rPr>
        <w:t xml:space="preserve"> </w:t>
      </w:r>
      <w:r w:rsidRPr="00C22118">
        <w:rPr>
          <w:rFonts w:cs="David" w:hint="cs"/>
          <w:sz w:val="32"/>
          <w:szCs w:val="32"/>
          <w:rtl/>
        </w:rPr>
        <w:t>בהסדרת</w:t>
      </w:r>
      <w:r w:rsidRPr="00C22118">
        <w:rPr>
          <w:rFonts w:cs="David"/>
          <w:sz w:val="32"/>
          <w:szCs w:val="32"/>
          <w:rtl/>
        </w:rPr>
        <w:t xml:space="preserve"> </w:t>
      </w:r>
      <w:r w:rsidRPr="00C22118">
        <w:rPr>
          <w:rFonts w:cs="David" w:hint="cs"/>
          <w:sz w:val="32"/>
          <w:szCs w:val="32"/>
          <w:rtl/>
        </w:rPr>
        <w:t>כללי</w:t>
      </w:r>
      <w:r w:rsidRPr="00C22118">
        <w:rPr>
          <w:rFonts w:cs="David"/>
          <w:sz w:val="32"/>
          <w:szCs w:val="32"/>
          <w:rtl/>
        </w:rPr>
        <w:t xml:space="preserve"> </w:t>
      </w:r>
      <w:r w:rsidRPr="00C22118">
        <w:rPr>
          <w:rFonts w:cs="David" w:hint="cs"/>
          <w:sz w:val="32"/>
          <w:szCs w:val="32"/>
          <w:rtl/>
        </w:rPr>
        <w:t>הפרוצדורה</w:t>
      </w:r>
      <w:r w:rsidRPr="00C22118">
        <w:rPr>
          <w:rFonts w:cs="David"/>
          <w:sz w:val="32"/>
          <w:szCs w:val="32"/>
          <w:rtl/>
        </w:rPr>
        <w:t xml:space="preserve"> </w:t>
      </w:r>
      <w:r w:rsidRPr="00C22118">
        <w:rPr>
          <w:rFonts w:cs="David" w:hint="cs"/>
          <w:sz w:val="32"/>
          <w:szCs w:val="32"/>
          <w:rtl/>
        </w:rPr>
        <w:t>המחייבים</w:t>
      </w:r>
      <w:r w:rsidRPr="00C22118">
        <w:rPr>
          <w:rFonts w:cs="David"/>
          <w:sz w:val="32"/>
          <w:szCs w:val="32"/>
          <w:rtl/>
        </w:rPr>
        <w:t xml:space="preserve"> </w:t>
      </w:r>
      <w:r w:rsidRPr="00C22118">
        <w:rPr>
          <w:rFonts w:cs="David" w:hint="cs"/>
          <w:sz w:val="32"/>
          <w:szCs w:val="32"/>
          <w:rtl/>
        </w:rPr>
        <w:t>בפעולת</w:t>
      </w:r>
      <w:r w:rsidR="00165037" w:rsidRPr="00C22118">
        <w:rPr>
          <w:rFonts w:cs="David" w:hint="cs"/>
          <w:sz w:val="32"/>
          <w:szCs w:val="32"/>
          <w:rtl/>
        </w:rPr>
        <w:t>ן</w:t>
      </w:r>
      <w:r w:rsidRPr="00C22118">
        <w:rPr>
          <w:rFonts w:cs="David"/>
          <w:sz w:val="32"/>
          <w:szCs w:val="32"/>
          <w:rtl/>
        </w:rPr>
        <w:t xml:space="preserve"> </w:t>
      </w:r>
      <w:r w:rsidRPr="00C22118">
        <w:rPr>
          <w:rFonts w:cs="David" w:hint="cs"/>
          <w:sz w:val="32"/>
          <w:szCs w:val="32"/>
          <w:rtl/>
        </w:rPr>
        <w:t>של</w:t>
      </w:r>
      <w:r w:rsidRPr="00C22118">
        <w:rPr>
          <w:rFonts w:cs="David"/>
          <w:sz w:val="32"/>
          <w:szCs w:val="32"/>
          <w:rtl/>
        </w:rPr>
        <w:t xml:space="preserve"> </w:t>
      </w:r>
      <w:r w:rsidR="009C039C" w:rsidRPr="00C22118">
        <w:rPr>
          <w:rFonts w:cs="David" w:hint="cs"/>
          <w:sz w:val="32"/>
          <w:szCs w:val="32"/>
          <w:rtl/>
        </w:rPr>
        <w:t>ועדות חקירה בינלאומיות</w:t>
      </w:r>
      <w:bookmarkEnd w:id="64"/>
    </w:p>
    <w:p w:rsidR="00036692" w:rsidRDefault="00036692" w:rsidP="008B316C">
      <w:pPr>
        <w:spacing w:after="0" w:line="360" w:lineRule="auto"/>
        <w:jc w:val="both"/>
        <w:rPr>
          <w:rFonts w:cs="David"/>
          <w:sz w:val="28"/>
          <w:szCs w:val="28"/>
          <w:rtl/>
        </w:rPr>
      </w:pPr>
    </w:p>
    <w:p w:rsidR="00C22118" w:rsidRPr="00C22118" w:rsidRDefault="00C22118" w:rsidP="00C22118">
      <w:pPr>
        <w:pStyle w:val="a9"/>
        <w:numPr>
          <w:ilvl w:val="0"/>
          <w:numId w:val="26"/>
        </w:numPr>
        <w:spacing w:after="0" w:line="360" w:lineRule="auto"/>
        <w:jc w:val="both"/>
        <w:outlineLvl w:val="1"/>
        <w:rPr>
          <w:rFonts w:cs="David"/>
          <w:b/>
          <w:bCs/>
          <w:sz w:val="28"/>
          <w:szCs w:val="28"/>
          <w:rtl/>
        </w:rPr>
      </w:pPr>
      <w:bookmarkStart w:id="65" w:name="_Toc456027337"/>
      <w:r w:rsidRPr="00C22118">
        <w:rPr>
          <w:rFonts w:cs="David" w:hint="cs"/>
          <w:b/>
          <w:bCs/>
          <w:sz w:val="28"/>
          <w:szCs w:val="28"/>
          <w:rtl/>
        </w:rPr>
        <w:t>כללי פרוצדורה לוועדות חקירה בינלאומיות</w:t>
      </w:r>
      <w:bookmarkEnd w:id="65"/>
    </w:p>
    <w:p w:rsidR="00C22118" w:rsidRDefault="00C22118" w:rsidP="008B316C">
      <w:pPr>
        <w:spacing w:after="0" w:line="360" w:lineRule="auto"/>
        <w:jc w:val="both"/>
        <w:rPr>
          <w:rFonts w:cs="David"/>
          <w:sz w:val="28"/>
          <w:szCs w:val="28"/>
          <w:rtl/>
        </w:rPr>
      </w:pPr>
    </w:p>
    <w:p w:rsidR="00036692" w:rsidRDefault="00036692" w:rsidP="00165037">
      <w:pPr>
        <w:spacing w:after="0" w:line="360" w:lineRule="auto"/>
        <w:jc w:val="both"/>
        <w:rPr>
          <w:rFonts w:cs="David"/>
          <w:sz w:val="28"/>
          <w:szCs w:val="28"/>
          <w:rtl/>
        </w:rPr>
      </w:pPr>
      <w:r>
        <w:rPr>
          <w:rFonts w:cs="David" w:hint="cs"/>
          <w:sz w:val="28"/>
          <w:szCs w:val="28"/>
          <w:rtl/>
        </w:rPr>
        <w:t>בפרק שלהלן נעסוק בצורך בהסדרת כללי הפרוצדורה שלפיה</w:t>
      </w:r>
      <w:r w:rsidR="00165037">
        <w:rPr>
          <w:rFonts w:cs="David" w:hint="cs"/>
          <w:sz w:val="28"/>
          <w:szCs w:val="28"/>
          <w:rtl/>
        </w:rPr>
        <w:t>ן</w:t>
      </w:r>
      <w:r>
        <w:rPr>
          <w:rFonts w:cs="David" w:hint="cs"/>
          <w:sz w:val="28"/>
          <w:szCs w:val="28"/>
          <w:rtl/>
        </w:rPr>
        <w:t xml:space="preserve"> פועל</w:t>
      </w:r>
      <w:r w:rsidR="00165037">
        <w:rPr>
          <w:rFonts w:cs="David" w:hint="cs"/>
          <w:sz w:val="28"/>
          <w:szCs w:val="28"/>
          <w:rtl/>
        </w:rPr>
        <w:t>ות</w:t>
      </w:r>
      <w:r>
        <w:rPr>
          <w:rFonts w:cs="David" w:hint="cs"/>
          <w:sz w:val="28"/>
          <w:szCs w:val="28"/>
          <w:rtl/>
        </w:rPr>
        <w:t xml:space="preserve"> </w:t>
      </w:r>
      <w:r w:rsidR="009C039C">
        <w:rPr>
          <w:rFonts w:cs="David" w:hint="cs"/>
          <w:sz w:val="28"/>
          <w:szCs w:val="28"/>
          <w:rtl/>
        </w:rPr>
        <w:t>ועדות חקירה בינלאומיות</w:t>
      </w:r>
      <w:r>
        <w:rPr>
          <w:rFonts w:cs="David" w:hint="cs"/>
          <w:sz w:val="28"/>
          <w:szCs w:val="28"/>
          <w:rtl/>
        </w:rPr>
        <w:t>. העיסוק בעניין יהיה כללי ולא ייכנס לכללי הפרוצדורה הפרטניים שצריכים לחול, מפני שעיסוק רציני בסוגיה זו יצריך העמקה שחורגת הרבה מעבר לגדריה של עבודה זו.</w:t>
      </w:r>
    </w:p>
    <w:p w:rsidR="00036692" w:rsidRDefault="00036692" w:rsidP="008B316C">
      <w:pPr>
        <w:spacing w:after="0" w:line="360" w:lineRule="auto"/>
        <w:jc w:val="both"/>
        <w:rPr>
          <w:rFonts w:cs="David"/>
          <w:sz w:val="28"/>
          <w:szCs w:val="28"/>
          <w:rtl/>
        </w:rPr>
      </w:pPr>
    </w:p>
    <w:p w:rsidR="00036692" w:rsidRPr="00FB2A31" w:rsidRDefault="00036692" w:rsidP="00165037">
      <w:pPr>
        <w:spacing w:after="0" w:line="360" w:lineRule="auto"/>
        <w:jc w:val="both"/>
        <w:rPr>
          <w:rFonts w:cs="David"/>
          <w:sz w:val="28"/>
          <w:szCs w:val="28"/>
          <w:rtl/>
        </w:rPr>
      </w:pPr>
      <w:r>
        <w:rPr>
          <w:rFonts w:cs="David" w:hint="cs"/>
          <w:sz w:val="28"/>
          <w:szCs w:val="28"/>
          <w:rtl/>
        </w:rPr>
        <w:t>כאמירה כללית יצוין, שאין כללי פרוצדורה מחייבים לפעולת</w:t>
      </w:r>
      <w:r w:rsidR="00165037">
        <w:rPr>
          <w:rFonts w:cs="David" w:hint="cs"/>
          <w:sz w:val="28"/>
          <w:szCs w:val="28"/>
          <w:rtl/>
        </w:rPr>
        <w:t>ן</w:t>
      </w:r>
      <w:r>
        <w:rPr>
          <w:rFonts w:cs="David" w:hint="cs"/>
          <w:sz w:val="28"/>
          <w:szCs w:val="28"/>
          <w:rtl/>
        </w:rPr>
        <w:t xml:space="preserve"> של </w:t>
      </w:r>
      <w:r w:rsidR="009C039C">
        <w:rPr>
          <w:rFonts w:cs="David" w:hint="cs"/>
          <w:sz w:val="28"/>
          <w:szCs w:val="28"/>
          <w:rtl/>
        </w:rPr>
        <w:t>ועדות החקירה</w:t>
      </w:r>
      <w:r>
        <w:rPr>
          <w:rFonts w:cs="David" w:hint="cs"/>
          <w:sz w:val="28"/>
          <w:szCs w:val="28"/>
          <w:rtl/>
        </w:rPr>
        <w:t xml:space="preserve"> השונ</w:t>
      </w:r>
      <w:r w:rsidR="00165037">
        <w:rPr>
          <w:rFonts w:cs="David" w:hint="cs"/>
          <w:sz w:val="28"/>
          <w:szCs w:val="28"/>
          <w:rtl/>
        </w:rPr>
        <w:t>ות</w:t>
      </w:r>
      <w:r>
        <w:rPr>
          <w:rFonts w:cs="David" w:hint="cs"/>
          <w:sz w:val="28"/>
          <w:szCs w:val="28"/>
          <w:rtl/>
        </w:rPr>
        <w:t>. הביקורת על כך היא רבת שנים. פרופסור תומאס פראנק מעיר על כך כבר במאמרו משנת 1980</w:t>
      </w:r>
      <w:r>
        <w:rPr>
          <w:rStyle w:val="a7"/>
          <w:rFonts w:cs="David"/>
          <w:sz w:val="28"/>
          <w:szCs w:val="28"/>
          <w:rtl/>
        </w:rPr>
        <w:footnoteReference w:id="236"/>
      </w:r>
      <w:r>
        <w:rPr>
          <w:rFonts w:cs="David" w:hint="cs"/>
          <w:sz w:val="28"/>
          <w:szCs w:val="28"/>
          <w:rtl/>
        </w:rPr>
        <w:t>. שם הוא מציין כי פרוצדורות הוגנות לחקירה נדרשות על מנת להוכיח את אמינותן של ועדות החקירה ועל מנת להבטיח את שיתוף הפעולה של המדינה הנחקרת. ועדת החקירה צריכה להבחין בין מידע אובייקטיבי למידע מוטה שסופק על מנת לתמוך באחד הצדדים לחקירה. המצב הזה בולט במיוחד כאשר המדינה הנוגעת בדבר מסרבת לשתף פעולה, מפני שרוב המידע הדרוש בדרך כלל נמצא בחזקתה. כך נוצר מצב שה"עובדות" שהוועדה מגיעה אליהן בדרך כלל מופרכות</w:t>
      </w:r>
      <w:r w:rsidR="00692192">
        <w:rPr>
          <w:rFonts w:cs="David" w:hint="cs"/>
          <w:sz w:val="28"/>
          <w:szCs w:val="28"/>
          <w:rtl/>
        </w:rPr>
        <w:t xml:space="preserve"> על ידי </w:t>
      </w:r>
      <w:r>
        <w:rPr>
          <w:rFonts w:cs="David" w:hint="cs"/>
          <w:sz w:val="28"/>
          <w:szCs w:val="28"/>
          <w:rtl/>
        </w:rPr>
        <w:t>המדינה לאחר שהוועדה מפרסמת את הדוח שלה. זה גורם לכולם להיראות רע: לוועדת החקירה, לגוף שמינה אותה, לגוף שסיפק לוועדה מידע מוטה ומוטעה, ולמדינה שסירבה לשתף פעולה ולמנוע את פרסום הדוח השגוי. רק הבטחת פרוצדורות ראויות לחקירה תוכל למנוע מצבים כאלה. פרופסור פראנק מציג את תמונת המצב העגומה הרווחת בו</w:t>
      </w:r>
      <w:r w:rsidR="009F6ED1">
        <w:rPr>
          <w:rFonts w:cs="David" w:hint="cs"/>
          <w:sz w:val="28"/>
          <w:szCs w:val="28"/>
          <w:rtl/>
        </w:rPr>
        <w:t xml:space="preserve">ועדות חקירה </w:t>
      </w:r>
      <w:r>
        <w:rPr>
          <w:rFonts w:cs="David" w:hint="cs"/>
          <w:sz w:val="28"/>
          <w:szCs w:val="28"/>
          <w:rtl/>
        </w:rPr>
        <w:t>שונות, וכמודל מוצלח רצוי להשוואה הוא מתייחס לחקירות בתחום זכויות האדם של ארגון העבודה הבינלאומי (</w:t>
      </w:r>
      <w:r w:rsidRPr="00FB2A31">
        <w:rPr>
          <w:rFonts w:cs="David"/>
          <w:sz w:val="28"/>
          <w:szCs w:val="28"/>
        </w:rPr>
        <w:t>International Labour Organization – ILO</w:t>
      </w:r>
      <w:r w:rsidRPr="00FB2A31">
        <w:rPr>
          <w:rFonts w:cs="David" w:hint="cs"/>
          <w:sz w:val="28"/>
          <w:szCs w:val="28"/>
          <w:rtl/>
        </w:rPr>
        <w:t>).</w:t>
      </w:r>
    </w:p>
    <w:p w:rsidR="00036692" w:rsidRDefault="00036692" w:rsidP="008B316C">
      <w:pPr>
        <w:spacing w:after="0" w:line="360" w:lineRule="auto"/>
        <w:jc w:val="both"/>
        <w:rPr>
          <w:rFonts w:cs="David"/>
          <w:sz w:val="28"/>
          <w:szCs w:val="28"/>
          <w:rtl/>
        </w:rPr>
      </w:pPr>
    </w:p>
    <w:p w:rsidR="00036692" w:rsidRDefault="00036692" w:rsidP="00165037">
      <w:pPr>
        <w:spacing w:after="0" w:line="360" w:lineRule="auto"/>
        <w:jc w:val="both"/>
        <w:rPr>
          <w:rFonts w:cs="David"/>
          <w:sz w:val="28"/>
          <w:szCs w:val="28"/>
          <w:rtl/>
        </w:rPr>
      </w:pPr>
      <w:r>
        <w:rPr>
          <w:rFonts w:cs="David" w:hint="cs"/>
          <w:sz w:val="28"/>
          <w:szCs w:val="28"/>
          <w:rtl/>
        </w:rPr>
        <w:t>גם פרופסור שריף בסיוני</w:t>
      </w:r>
      <w:r w:rsidR="00F9050B">
        <w:rPr>
          <w:rFonts w:cs="David" w:hint="cs"/>
          <w:sz w:val="28"/>
          <w:szCs w:val="28"/>
          <w:rtl/>
        </w:rPr>
        <w:t xml:space="preserve"> </w:t>
      </w:r>
      <w:r>
        <w:rPr>
          <w:rFonts w:cs="David" w:hint="cs"/>
          <w:sz w:val="28"/>
          <w:szCs w:val="28"/>
          <w:rtl/>
        </w:rPr>
        <w:t xml:space="preserve">מעיר על כך שלאחר </w:t>
      </w:r>
      <w:r w:rsidR="00165037">
        <w:rPr>
          <w:rFonts w:cs="David" w:hint="cs"/>
          <w:sz w:val="28"/>
          <w:szCs w:val="28"/>
          <w:rtl/>
        </w:rPr>
        <w:t>חמישים</w:t>
      </w:r>
      <w:r>
        <w:rPr>
          <w:rFonts w:cs="David" w:hint="cs"/>
          <w:sz w:val="28"/>
          <w:szCs w:val="28"/>
          <w:rtl/>
        </w:rPr>
        <w:t xml:space="preserve"> שנה שבהן מתמנות ועדות לבירור עובדות, עדיין אין נוהל או מדריך שמסדיר את פעולתן של הוועדות או הדרך שבה הן אוספות את המידע</w:t>
      </w:r>
      <w:r>
        <w:rPr>
          <w:rStyle w:val="a7"/>
          <w:rFonts w:cs="David"/>
          <w:sz w:val="28"/>
          <w:szCs w:val="28"/>
          <w:rtl/>
        </w:rPr>
        <w:footnoteReference w:id="237"/>
      </w:r>
      <w:r>
        <w:rPr>
          <w:rFonts w:cs="David" w:hint="cs"/>
          <w:sz w:val="28"/>
          <w:szCs w:val="28"/>
          <w:rtl/>
        </w:rPr>
        <w:t xml:space="preserve">. במצב כזה, הוא כותב, כל ועדה צריכה "להמציא מחדש את הגלגל" ובמונחים ארגוניים "להמציא מחדש את עצמה כוועדה". </w:t>
      </w:r>
      <w:r>
        <w:rPr>
          <w:rFonts w:cs="David" w:hint="cs"/>
          <w:sz w:val="28"/>
          <w:szCs w:val="28"/>
          <w:rtl/>
        </w:rPr>
        <w:lastRenderedPageBreak/>
        <w:t>התוצאה היא בדרך כלל עלובה או בינונית, למעט מקרים בודדים בהם מתמנים אנשים מוכשרים במיוחד לראשות הוועדות, ואז ההצלחה היא בעיקר שלהם. מאחר שגם אין עקביות באשר לשיטות ולתוצרים של הוועדות, אין גם דרך להשוות את תוצאותיהן של ועדות בעלות אופי דומה. לפעמים בעיית חוסר העקביות בדיווח, כותב בסיוני, מתגלה אפילו בעבודתה של ועדה אחת ספציפית שמפרסמת מספר דוחות.</w:t>
      </w:r>
    </w:p>
    <w:p w:rsidR="00036692" w:rsidRDefault="00036692" w:rsidP="008B316C">
      <w:pPr>
        <w:spacing w:after="0" w:line="360" w:lineRule="auto"/>
        <w:jc w:val="both"/>
        <w:rPr>
          <w:rFonts w:cs="David"/>
          <w:sz w:val="28"/>
          <w:szCs w:val="28"/>
          <w:rtl/>
        </w:rPr>
      </w:pPr>
    </w:p>
    <w:p w:rsidR="00036692" w:rsidRDefault="00036692" w:rsidP="008B316C">
      <w:pPr>
        <w:spacing w:after="0" w:line="360" w:lineRule="auto"/>
        <w:jc w:val="both"/>
        <w:rPr>
          <w:rFonts w:cs="David"/>
          <w:sz w:val="28"/>
          <w:szCs w:val="28"/>
          <w:rtl/>
        </w:rPr>
      </w:pPr>
      <w:r>
        <w:rPr>
          <w:rFonts w:cs="David" w:hint="cs"/>
          <w:sz w:val="28"/>
          <w:szCs w:val="28"/>
          <w:rtl/>
        </w:rPr>
        <w:t xml:space="preserve">בסיוני ממשיך וכותב, שבהיעדר שיטות ותקנים לבדיקה, במיוחד באשר למחקר אמפירי וחקירות שדה, אין בסיס לבחון את תקפות המחקר על מנת להעריך את סבירות התוצאות שלו. אין אף מתודולוגיה מדעית מחקרית שלא תתייחס לסוג כזה של מחקר כמחקר סלקטיבי, לא מספק, לא אמין ולכל היותר אנקדוטאלי. </w:t>
      </w:r>
    </w:p>
    <w:p w:rsidR="00036692" w:rsidRDefault="00036692" w:rsidP="008B316C">
      <w:pPr>
        <w:spacing w:after="0" w:line="360" w:lineRule="auto"/>
        <w:jc w:val="both"/>
        <w:rPr>
          <w:rFonts w:cs="David"/>
          <w:sz w:val="28"/>
          <w:szCs w:val="28"/>
          <w:rtl/>
        </w:rPr>
      </w:pPr>
    </w:p>
    <w:p w:rsidR="00036692" w:rsidRDefault="00036692" w:rsidP="00165037">
      <w:pPr>
        <w:spacing w:after="0" w:line="360" w:lineRule="auto"/>
        <w:jc w:val="both"/>
        <w:rPr>
          <w:rFonts w:cs="David"/>
          <w:sz w:val="28"/>
          <w:szCs w:val="28"/>
          <w:rtl/>
        </w:rPr>
      </w:pPr>
      <w:r>
        <w:rPr>
          <w:rFonts w:cs="David" w:hint="cs"/>
          <w:sz w:val="28"/>
          <w:szCs w:val="28"/>
          <w:rtl/>
        </w:rPr>
        <w:t>גם כנגד הוועדות שחקרו את ישראל נמתחה ביקורת רבה באשר לדרך שבה ניהלו את חקירותיהן. כך, לדוגמה, נטען לגבי דוח גולדסטון כי הוא נשען במידה רבה מאוד על ממצאים של ארגונים לא ממשלתיים (</w:t>
      </w:r>
      <w:r>
        <w:rPr>
          <w:rFonts w:cs="David"/>
          <w:sz w:val="28"/>
          <w:szCs w:val="28"/>
        </w:rPr>
        <w:t>NGOs</w:t>
      </w:r>
      <w:r>
        <w:rPr>
          <w:rFonts w:cs="David" w:hint="cs"/>
          <w:sz w:val="28"/>
          <w:szCs w:val="28"/>
          <w:rtl/>
        </w:rPr>
        <w:t>), ישראליים, פלסטיניים ובינלאומיים</w:t>
      </w:r>
      <w:r>
        <w:rPr>
          <w:rStyle w:val="a7"/>
          <w:rFonts w:cs="David"/>
          <w:sz w:val="28"/>
          <w:szCs w:val="28"/>
          <w:rtl/>
        </w:rPr>
        <w:footnoteReference w:id="238"/>
      </w:r>
      <w:r>
        <w:rPr>
          <w:rFonts w:cs="David" w:hint="cs"/>
          <w:sz w:val="28"/>
          <w:szCs w:val="28"/>
          <w:rtl/>
        </w:rPr>
        <w:t>. היו אלה אותם ארגונים שהוציאו הצהרות שמלכתחילה קראו להקמת ועדת גולדסטון וגם אותם הארגונים שפעלו רבות על מנת לעודד את הקהילה הבינלאומית לקבל את הדוח ולנקוט צעדים בעקבותיו. מאחר שהדוח הסתמך במידה רבה על המידע שסופק לוועדה</w:t>
      </w:r>
      <w:r w:rsidR="00692192">
        <w:rPr>
          <w:rFonts w:cs="David" w:hint="cs"/>
          <w:sz w:val="28"/>
          <w:szCs w:val="28"/>
          <w:rtl/>
        </w:rPr>
        <w:t xml:space="preserve"> על ידי </w:t>
      </w:r>
      <w:r>
        <w:rPr>
          <w:rFonts w:cs="David" w:hint="cs"/>
          <w:sz w:val="28"/>
          <w:szCs w:val="28"/>
          <w:rtl/>
        </w:rPr>
        <w:t xml:space="preserve">אותם ארגונים, נטען כי הארגונים היו בעלי אינטרס ברור לקדם את הדוח כדי להוכיח את אמינות עבודתם שלהם. לדוגמה, נטען כי </w:t>
      </w:r>
      <w:r w:rsidR="00165037">
        <w:rPr>
          <w:rFonts w:cs="David" w:hint="cs"/>
          <w:sz w:val="28"/>
          <w:szCs w:val="28"/>
          <w:rtl/>
        </w:rPr>
        <w:t>שלושים ושישה</w:t>
      </w:r>
      <w:r>
        <w:rPr>
          <w:rFonts w:cs="David" w:hint="cs"/>
          <w:sz w:val="28"/>
          <w:szCs w:val="28"/>
          <w:rtl/>
        </w:rPr>
        <w:t xml:space="preserve"> המקרים שגולדסטון בדק בחקירתו הם למעשה מקרים שהועברו לו</w:t>
      </w:r>
      <w:r w:rsidR="00692192">
        <w:rPr>
          <w:rFonts w:cs="David" w:hint="cs"/>
          <w:sz w:val="28"/>
          <w:szCs w:val="28"/>
          <w:rtl/>
        </w:rPr>
        <w:t xml:space="preserve"> על ידי </w:t>
      </w:r>
      <w:r>
        <w:rPr>
          <w:rFonts w:cs="David" w:hint="cs"/>
          <w:sz w:val="28"/>
          <w:szCs w:val="28"/>
          <w:rtl/>
        </w:rPr>
        <w:t>ארגון אמנסטי אינטרנשיונאל. ניתן להדגים את הקשר שבין הארגונים הל</w:t>
      </w:r>
      <w:r w:rsidR="00BC5059">
        <w:rPr>
          <w:rFonts w:cs="David" w:hint="cs"/>
          <w:sz w:val="28"/>
          <w:szCs w:val="28"/>
          <w:rtl/>
        </w:rPr>
        <w:t>א</w:t>
      </w:r>
      <w:r>
        <w:rPr>
          <w:rFonts w:cs="David" w:hint="cs"/>
          <w:sz w:val="28"/>
          <w:szCs w:val="28"/>
          <w:rtl/>
        </w:rPr>
        <w:t xml:space="preserve"> ממשלתיים למנגנוני החקירה השונים בעוד דוגמאות רבות.</w:t>
      </w:r>
      <w:r w:rsidR="00433F90">
        <w:rPr>
          <w:rFonts w:cs="David" w:hint="cs"/>
          <w:sz w:val="28"/>
          <w:szCs w:val="28"/>
          <w:rtl/>
        </w:rPr>
        <w:t xml:space="preserve"> פרופסור בסיוני אף טוען שהדוחות הנכתבים</w:t>
      </w:r>
      <w:r w:rsidR="00692192">
        <w:rPr>
          <w:rFonts w:cs="David" w:hint="cs"/>
          <w:sz w:val="28"/>
          <w:szCs w:val="28"/>
          <w:rtl/>
        </w:rPr>
        <w:t xml:space="preserve"> על ידי </w:t>
      </w:r>
      <w:r w:rsidR="009F6ED1">
        <w:rPr>
          <w:rFonts w:cs="David" w:hint="cs"/>
          <w:sz w:val="28"/>
          <w:szCs w:val="28"/>
          <w:rtl/>
        </w:rPr>
        <w:t xml:space="preserve">ועדות חקירה </w:t>
      </w:r>
      <w:r w:rsidR="00433F90">
        <w:rPr>
          <w:rFonts w:cs="David" w:hint="cs"/>
          <w:sz w:val="28"/>
          <w:szCs w:val="28"/>
          <w:rtl/>
        </w:rPr>
        <w:t>נועדו לא אחת לְרַצּוֹת את הקהילה המשפיעה של הארגונים הלא ממשלתיים בג'נבה ומספר ממשלות מערביות</w:t>
      </w:r>
      <w:r w:rsidR="00433F90">
        <w:rPr>
          <w:rStyle w:val="a7"/>
          <w:rFonts w:cs="David"/>
          <w:sz w:val="28"/>
          <w:szCs w:val="28"/>
          <w:rtl/>
        </w:rPr>
        <w:footnoteReference w:id="239"/>
      </w:r>
      <w:r w:rsidR="00433F90">
        <w:rPr>
          <w:rFonts w:cs="David" w:hint="cs"/>
          <w:sz w:val="28"/>
          <w:szCs w:val="28"/>
          <w:rtl/>
        </w:rPr>
        <w:t xml:space="preserve">. עוד הוא טוען, כי לעיתים רחוקות יש </w:t>
      </w:r>
      <w:r w:rsidR="00014821">
        <w:rPr>
          <w:rFonts w:cs="David" w:hint="cs"/>
          <w:sz w:val="28"/>
          <w:szCs w:val="28"/>
          <w:rtl/>
        </w:rPr>
        <w:t>לוועדות</w:t>
      </w:r>
      <w:r w:rsidR="009C039C">
        <w:rPr>
          <w:rFonts w:cs="David" w:hint="cs"/>
          <w:sz w:val="28"/>
          <w:szCs w:val="28"/>
          <w:rtl/>
        </w:rPr>
        <w:t xml:space="preserve"> החקירה</w:t>
      </w:r>
      <w:r w:rsidR="00433F90">
        <w:rPr>
          <w:rFonts w:cs="David" w:hint="cs"/>
          <w:sz w:val="28"/>
          <w:szCs w:val="28"/>
          <w:rtl/>
        </w:rPr>
        <w:t xml:space="preserve"> את המשאבים או את היכולת לבצע עבודת שטח יעילה או מחקר אמפירי. לפיכך, ה</w:t>
      </w:r>
      <w:r w:rsidR="00165037">
        <w:rPr>
          <w:rFonts w:cs="David" w:hint="cs"/>
          <w:sz w:val="28"/>
          <w:szCs w:val="28"/>
          <w:rtl/>
        </w:rPr>
        <w:t>ן</w:t>
      </w:r>
      <w:r w:rsidR="00433F90">
        <w:rPr>
          <w:rFonts w:cs="David" w:hint="cs"/>
          <w:sz w:val="28"/>
          <w:szCs w:val="28"/>
          <w:rtl/>
        </w:rPr>
        <w:t xml:space="preserve"> </w:t>
      </w:r>
      <w:r w:rsidR="00433F90">
        <w:rPr>
          <w:rFonts w:cs="David" w:hint="cs"/>
          <w:sz w:val="28"/>
          <w:szCs w:val="28"/>
          <w:rtl/>
        </w:rPr>
        <w:lastRenderedPageBreak/>
        <w:t>מתבסס</w:t>
      </w:r>
      <w:r w:rsidR="00165037">
        <w:rPr>
          <w:rFonts w:cs="David" w:hint="cs"/>
          <w:sz w:val="28"/>
          <w:szCs w:val="28"/>
          <w:rtl/>
        </w:rPr>
        <w:t>ות</w:t>
      </w:r>
      <w:r w:rsidR="00433F90">
        <w:rPr>
          <w:rFonts w:cs="David" w:hint="cs"/>
          <w:sz w:val="28"/>
          <w:szCs w:val="28"/>
          <w:rtl/>
        </w:rPr>
        <w:t xml:space="preserve"> </w:t>
      </w:r>
      <w:r w:rsidR="002E3AFA">
        <w:rPr>
          <w:rFonts w:cs="David" w:hint="cs"/>
          <w:sz w:val="28"/>
          <w:szCs w:val="28"/>
          <w:rtl/>
        </w:rPr>
        <w:t>באופן רחב על ארגונים לא ממשלתיים, על דוחות ממשלתיים ועל התקשורת</w:t>
      </w:r>
      <w:r w:rsidR="002E3AFA">
        <w:rPr>
          <w:rStyle w:val="a7"/>
          <w:rFonts w:cs="David"/>
          <w:sz w:val="28"/>
          <w:szCs w:val="28"/>
          <w:rtl/>
        </w:rPr>
        <w:footnoteReference w:id="240"/>
      </w:r>
      <w:r w:rsidR="002E3AFA">
        <w:rPr>
          <w:rFonts w:cs="David" w:hint="cs"/>
          <w:sz w:val="28"/>
          <w:szCs w:val="28"/>
          <w:rtl/>
        </w:rPr>
        <w:t>.</w:t>
      </w:r>
    </w:p>
    <w:p w:rsidR="00036692" w:rsidRDefault="00036692" w:rsidP="008B316C">
      <w:pPr>
        <w:spacing w:after="0" w:line="360" w:lineRule="auto"/>
        <w:jc w:val="both"/>
        <w:rPr>
          <w:rFonts w:cs="David"/>
          <w:sz w:val="28"/>
          <w:szCs w:val="28"/>
          <w:rtl/>
        </w:rPr>
      </w:pPr>
    </w:p>
    <w:p w:rsidR="00036692" w:rsidRDefault="00036692" w:rsidP="00165037">
      <w:pPr>
        <w:spacing w:after="0" w:line="360" w:lineRule="auto"/>
        <w:jc w:val="both"/>
        <w:rPr>
          <w:rFonts w:cs="David"/>
          <w:sz w:val="28"/>
          <w:szCs w:val="28"/>
          <w:rtl/>
        </w:rPr>
      </w:pPr>
      <w:r>
        <w:rPr>
          <w:rFonts w:cs="David" w:hint="cs"/>
          <w:sz w:val="28"/>
          <w:szCs w:val="28"/>
          <w:rtl/>
        </w:rPr>
        <w:t>אם כן, נראה כי יש קשר רב בין עבודתם של ארגונים לא ממשלתיים לעבודת</w:t>
      </w:r>
      <w:r w:rsidR="00165037">
        <w:rPr>
          <w:rFonts w:cs="David" w:hint="cs"/>
          <w:sz w:val="28"/>
          <w:szCs w:val="28"/>
          <w:rtl/>
        </w:rPr>
        <w:t>ן</w:t>
      </w:r>
      <w:r>
        <w:rPr>
          <w:rFonts w:cs="David" w:hint="cs"/>
          <w:sz w:val="28"/>
          <w:szCs w:val="28"/>
          <w:rtl/>
        </w:rPr>
        <w:t xml:space="preserve"> של </w:t>
      </w:r>
      <w:r w:rsidR="009C039C">
        <w:rPr>
          <w:rFonts w:cs="David" w:hint="cs"/>
          <w:sz w:val="28"/>
          <w:szCs w:val="28"/>
          <w:rtl/>
        </w:rPr>
        <w:t>ועדות חקירה בינלאומיות</w:t>
      </w:r>
      <w:r>
        <w:rPr>
          <w:rFonts w:cs="David" w:hint="cs"/>
          <w:sz w:val="28"/>
          <w:szCs w:val="28"/>
          <w:rtl/>
        </w:rPr>
        <w:t xml:space="preserve">. אך אין מדובר רק בקשר שנוגע להעברת מידע אובייקטיבי שנועד להקל על עבודת </w:t>
      </w:r>
      <w:r w:rsidR="001165FD">
        <w:rPr>
          <w:rFonts w:cs="David" w:hint="cs"/>
          <w:sz w:val="28"/>
          <w:szCs w:val="28"/>
          <w:rtl/>
        </w:rPr>
        <w:t>הוועדות</w:t>
      </w:r>
      <w:r>
        <w:rPr>
          <w:rFonts w:cs="David" w:hint="cs"/>
          <w:sz w:val="28"/>
          <w:szCs w:val="28"/>
          <w:rtl/>
        </w:rPr>
        <w:t xml:space="preserve">. נראה כי במידה רבה מתאימים אותם ארגונים את פעולתם כך שתתאים ללוחות הזמנים שנקצבו לפרסום הדוחות של </w:t>
      </w:r>
      <w:r w:rsidR="009C039C">
        <w:rPr>
          <w:rFonts w:cs="David" w:hint="cs"/>
          <w:sz w:val="28"/>
          <w:szCs w:val="28"/>
          <w:rtl/>
        </w:rPr>
        <w:t>ועדות החקירה</w:t>
      </w:r>
      <w:r>
        <w:rPr>
          <w:rFonts w:cs="David" w:hint="cs"/>
          <w:sz w:val="28"/>
          <w:szCs w:val="28"/>
          <w:rtl/>
        </w:rPr>
        <w:t xml:space="preserve"> ועושים זאת באופן מניפולטיבי שיטה את הכף לרעת ישראל. כך לדוגמה, </w:t>
      </w:r>
      <w:r w:rsidR="00692E16">
        <w:rPr>
          <w:rFonts w:cs="David" w:hint="cs"/>
          <w:sz w:val="28"/>
          <w:szCs w:val="28"/>
          <w:rtl/>
        </w:rPr>
        <w:t>הסב אחד המרואיינים את תשומת הלב לכך ש</w:t>
      </w:r>
      <w:r>
        <w:rPr>
          <w:rFonts w:cs="David" w:hint="cs"/>
          <w:sz w:val="28"/>
          <w:szCs w:val="28"/>
          <w:rtl/>
        </w:rPr>
        <w:t xml:space="preserve">ארגון אמנסטי אינטרנשיונאל </w:t>
      </w:r>
      <w:r w:rsidR="00692E16">
        <w:rPr>
          <w:rFonts w:cs="David" w:hint="cs"/>
          <w:sz w:val="28"/>
          <w:szCs w:val="28"/>
          <w:rtl/>
        </w:rPr>
        <w:t xml:space="preserve">פרסם </w:t>
      </w:r>
      <w:r>
        <w:rPr>
          <w:rFonts w:cs="David" w:hint="cs"/>
          <w:sz w:val="28"/>
          <w:szCs w:val="28"/>
          <w:rtl/>
        </w:rPr>
        <w:t>שני דוחות על פעילות ישראל במבצע "צוק איתן", ביום 05.11.14</w:t>
      </w:r>
      <w:r>
        <w:rPr>
          <w:rStyle w:val="a7"/>
          <w:rFonts w:cs="David"/>
          <w:sz w:val="28"/>
          <w:szCs w:val="28"/>
          <w:rtl/>
        </w:rPr>
        <w:footnoteReference w:id="241"/>
      </w:r>
      <w:r>
        <w:rPr>
          <w:rFonts w:cs="David" w:hint="cs"/>
          <w:sz w:val="28"/>
          <w:szCs w:val="28"/>
          <w:rtl/>
        </w:rPr>
        <w:t xml:space="preserve"> וביום 09.12.14</w:t>
      </w:r>
      <w:r>
        <w:rPr>
          <w:rStyle w:val="a7"/>
          <w:rFonts w:cs="David"/>
          <w:sz w:val="28"/>
          <w:szCs w:val="28"/>
          <w:rtl/>
        </w:rPr>
        <w:footnoteReference w:id="242"/>
      </w:r>
      <w:r>
        <w:rPr>
          <w:rFonts w:cs="David" w:hint="cs"/>
          <w:sz w:val="28"/>
          <w:szCs w:val="28"/>
          <w:rtl/>
        </w:rPr>
        <w:t>, לפני המועד המקורי לפרסום דוח ועדת צוק איתן (הוועדה הייתה אמורה להציג את הדוח שלה במושב מרץ של מועצת זכויות האדם, שהיה קבוע לתאריכים 02-27.03.15). שני הדוחות הללו זכו לאזכור במסגרת הדוח של ועדת החקירה. לעומת זאת, שני הדוחות הנוגעים לפעולות החמאס במהלך מבצע "צוק איתן" שפרסם הארגון, ביום 26.03.15</w:t>
      </w:r>
      <w:r>
        <w:rPr>
          <w:rStyle w:val="a7"/>
          <w:rFonts w:cs="David"/>
          <w:sz w:val="28"/>
          <w:szCs w:val="28"/>
          <w:rtl/>
        </w:rPr>
        <w:footnoteReference w:id="243"/>
      </w:r>
      <w:r>
        <w:rPr>
          <w:rFonts w:cs="David" w:hint="cs"/>
          <w:sz w:val="28"/>
          <w:szCs w:val="28"/>
          <w:rtl/>
        </w:rPr>
        <w:t xml:space="preserve"> וביום 27.05.15</w:t>
      </w:r>
      <w:r>
        <w:rPr>
          <w:rStyle w:val="a7"/>
          <w:rFonts w:cs="David"/>
          <w:sz w:val="28"/>
          <w:szCs w:val="28"/>
          <w:rtl/>
        </w:rPr>
        <w:footnoteReference w:id="244"/>
      </w:r>
      <w:r>
        <w:rPr>
          <w:rFonts w:cs="David" w:hint="cs"/>
          <w:sz w:val="28"/>
          <w:szCs w:val="28"/>
          <w:rtl/>
        </w:rPr>
        <w:t xml:space="preserve">, פורסמו למעשה רק לאחר המועד המקורי לפרסום דוח ועדת צוק איתן. קשה להעלות על הדעת שיש בכך מקריות ונראה שיש כאן מחשבה תחילה בעיתוי הפרסומים על חמאס, רק לאחר פרסום הדוחות על ישראל ובמועד שנועד מלכתחילה להיות גם לאחר מועד פרסום הדוח של ועדת החקירה. </w:t>
      </w:r>
    </w:p>
    <w:p w:rsidR="00036692" w:rsidRDefault="00036692" w:rsidP="008B316C">
      <w:pPr>
        <w:spacing w:after="0" w:line="360" w:lineRule="auto"/>
        <w:jc w:val="both"/>
        <w:rPr>
          <w:rFonts w:cs="David"/>
          <w:sz w:val="28"/>
          <w:szCs w:val="28"/>
          <w:rtl/>
        </w:rPr>
      </w:pPr>
    </w:p>
    <w:p w:rsidR="00036692" w:rsidRPr="004154F0" w:rsidRDefault="00036692" w:rsidP="00D74448">
      <w:pPr>
        <w:spacing w:after="0" w:line="360" w:lineRule="auto"/>
        <w:jc w:val="both"/>
        <w:rPr>
          <w:rFonts w:cs="David"/>
          <w:sz w:val="28"/>
          <w:szCs w:val="28"/>
          <w:rtl/>
        </w:rPr>
      </w:pPr>
      <w:r>
        <w:rPr>
          <w:rFonts w:cs="David" w:hint="cs"/>
          <w:sz w:val="28"/>
          <w:szCs w:val="28"/>
          <w:rtl/>
        </w:rPr>
        <w:t>יצוין, כי רבים בקהילה הבינלאומית תופסים את הארגונים הלא ממשלתיים כאובייקטיביים ונטולי פניות ולכן גם כראויים לאמון רב יותר מאשר ממשלות</w:t>
      </w:r>
      <w:r>
        <w:rPr>
          <w:rStyle w:val="a7"/>
          <w:rFonts w:cs="David"/>
          <w:sz w:val="28"/>
          <w:szCs w:val="28"/>
          <w:rtl/>
        </w:rPr>
        <w:footnoteReference w:id="245"/>
      </w:r>
      <w:r>
        <w:rPr>
          <w:rFonts w:cs="David" w:hint="cs"/>
          <w:sz w:val="28"/>
          <w:szCs w:val="28"/>
          <w:rtl/>
        </w:rPr>
        <w:t>. אולם גם לארגונים הללו אין סטנדרטים ברורים לקיום חקירותיהם. בעבר נעשתה עבודה מקיפה בעניין</w:t>
      </w:r>
      <w:r w:rsidR="00692192">
        <w:rPr>
          <w:rFonts w:cs="David" w:hint="cs"/>
          <w:sz w:val="28"/>
          <w:szCs w:val="28"/>
          <w:rtl/>
        </w:rPr>
        <w:t xml:space="preserve"> על ידי </w:t>
      </w:r>
      <w:r>
        <w:rPr>
          <w:rFonts w:cs="David" w:hint="cs"/>
          <w:sz w:val="28"/>
          <w:szCs w:val="28"/>
          <w:rtl/>
        </w:rPr>
        <w:t>התאחדות עורכי הדין הבינלאומית (</w:t>
      </w:r>
      <w:r>
        <w:rPr>
          <w:rFonts w:cs="David"/>
          <w:sz w:val="28"/>
          <w:szCs w:val="28"/>
        </w:rPr>
        <w:t xml:space="preserve">International Bar </w:t>
      </w:r>
      <w:r>
        <w:rPr>
          <w:rFonts w:cs="David"/>
          <w:sz w:val="28"/>
          <w:szCs w:val="28"/>
        </w:rPr>
        <w:lastRenderedPageBreak/>
        <w:t>Association</w:t>
      </w:r>
      <w:r>
        <w:rPr>
          <w:rFonts w:cs="David" w:hint="cs"/>
          <w:sz w:val="28"/>
          <w:szCs w:val="28"/>
          <w:rtl/>
        </w:rPr>
        <w:t>), ביוזמתו של אלן סטיבנס</w:t>
      </w:r>
      <w:r>
        <w:rPr>
          <w:rStyle w:val="a7"/>
          <w:rFonts w:cs="David"/>
          <w:sz w:val="28"/>
          <w:szCs w:val="28"/>
          <w:rtl/>
        </w:rPr>
        <w:footnoteReference w:id="246"/>
      </w:r>
      <w:r>
        <w:rPr>
          <w:rFonts w:cs="David" w:hint="cs"/>
          <w:sz w:val="28"/>
          <w:szCs w:val="28"/>
          <w:rtl/>
        </w:rPr>
        <w:t xml:space="preserve">. בסיומה של העבודה פורסמו כללים שזכו לשם </w:t>
      </w:r>
      <w:r>
        <w:rPr>
          <w:rFonts w:cs="David"/>
          <w:sz w:val="28"/>
          <w:szCs w:val="28"/>
        </w:rPr>
        <w:t>The Lund-London Guidelines</w:t>
      </w:r>
      <w:r w:rsidR="009F6ED1">
        <w:rPr>
          <w:rFonts w:cs="David"/>
          <w:sz w:val="28"/>
          <w:szCs w:val="28"/>
          <w:rtl/>
        </w:rPr>
        <w:t xml:space="preserve"> </w:t>
      </w:r>
      <w:r>
        <w:rPr>
          <w:rFonts w:cs="David" w:hint="cs"/>
          <w:sz w:val="28"/>
          <w:szCs w:val="28"/>
          <w:rtl/>
        </w:rPr>
        <w:t>(</w:t>
      </w:r>
      <w:r w:rsidRPr="004154F0">
        <w:rPr>
          <w:rFonts w:cs="David"/>
          <w:sz w:val="28"/>
          <w:szCs w:val="28"/>
        </w:rPr>
        <w:t>Guidelines on International Human Rights Fact-Finding Visits and Reports by Non-Governmental Organisations</w:t>
      </w:r>
      <w:r>
        <w:rPr>
          <w:rFonts w:cs="David" w:hint="cs"/>
          <w:sz w:val="28"/>
          <w:szCs w:val="28"/>
          <w:rtl/>
        </w:rPr>
        <w:t>)</w:t>
      </w:r>
      <w:r>
        <w:rPr>
          <w:rStyle w:val="a7"/>
          <w:rFonts w:cs="David"/>
          <w:sz w:val="28"/>
          <w:szCs w:val="28"/>
          <w:rtl/>
        </w:rPr>
        <w:footnoteReference w:id="247"/>
      </w:r>
      <w:r>
        <w:rPr>
          <w:rFonts w:cs="David" w:hint="cs"/>
          <w:sz w:val="28"/>
          <w:szCs w:val="28"/>
          <w:rtl/>
        </w:rPr>
        <w:t>. כללים דומים הוצעו גם</w:t>
      </w:r>
      <w:r w:rsidR="00692192">
        <w:rPr>
          <w:rFonts w:cs="David" w:hint="cs"/>
          <w:sz w:val="28"/>
          <w:szCs w:val="28"/>
          <w:rtl/>
        </w:rPr>
        <w:t xml:space="preserve"> על ידי </w:t>
      </w:r>
      <w:r>
        <w:rPr>
          <w:rFonts w:cs="David" w:hint="cs"/>
          <w:sz w:val="28"/>
          <w:szCs w:val="28"/>
          <w:rtl/>
        </w:rPr>
        <w:t>כותבים אחרים</w:t>
      </w:r>
      <w:r>
        <w:rPr>
          <w:rStyle w:val="a7"/>
          <w:rFonts w:cs="David"/>
          <w:sz w:val="28"/>
          <w:szCs w:val="28"/>
          <w:rtl/>
        </w:rPr>
        <w:footnoteReference w:id="248"/>
      </w:r>
      <w:r>
        <w:rPr>
          <w:rFonts w:cs="David" w:hint="cs"/>
          <w:sz w:val="28"/>
          <w:szCs w:val="28"/>
          <w:rtl/>
        </w:rPr>
        <w:t xml:space="preserve">. בשנת 2005 גם נחתמה </w:t>
      </w:r>
      <w:r w:rsidR="00D74448">
        <w:rPr>
          <w:rFonts w:cs="David" w:hint="cs"/>
          <w:sz w:val="28"/>
          <w:szCs w:val="28"/>
          <w:rtl/>
        </w:rPr>
        <w:t>"</w:t>
      </w:r>
      <w:r>
        <w:rPr>
          <w:rFonts w:cs="David" w:hint="cs"/>
          <w:sz w:val="28"/>
          <w:szCs w:val="28"/>
          <w:rtl/>
        </w:rPr>
        <w:t>אמנה</w:t>
      </w:r>
      <w:r w:rsidR="00D74448">
        <w:rPr>
          <w:rFonts w:cs="David" w:hint="cs"/>
          <w:sz w:val="28"/>
          <w:szCs w:val="28"/>
          <w:rtl/>
        </w:rPr>
        <w:t>"</w:t>
      </w:r>
      <w:r>
        <w:rPr>
          <w:rFonts w:cs="David" w:hint="cs"/>
          <w:sz w:val="28"/>
          <w:szCs w:val="28"/>
          <w:rtl/>
        </w:rPr>
        <w:t xml:space="preserve"> בין כמה ארגונים לא ממשלתיים שלקחו על עצמם לפעול </w:t>
      </w:r>
      <w:r w:rsidR="00B31BC3">
        <w:rPr>
          <w:rFonts w:cs="David" w:hint="cs"/>
          <w:sz w:val="28"/>
          <w:szCs w:val="28"/>
          <w:rtl/>
        </w:rPr>
        <w:t>על פי</w:t>
      </w:r>
      <w:r>
        <w:rPr>
          <w:rFonts w:cs="David" w:hint="cs"/>
          <w:sz w:val="28"/>
          <w:szCs w:val="28"/>
          <w:rtl/>
        </w:rPr>
        <w:t xml:space="preserve"> כללי אחריותיות מחייבים</w:t>
      </w:r>
      <w:r>
        <w:rPr>
          <w:rStyle w:val="a7"/>
          <w:rFonts w:cs="David"/>
          <w:sz w:val="28"/>
          <w:szCs w:val="28"/>
          <w:rtl/>
        </w:rPr>
        <w:footnoteReference w:id="249"/>
      </w:r>
      <w:r>
        <w:rPr>
          <w:rFonts w:cs="David" w:hint="cs"/>
          <w:sz w:val="28"/>
          <w:szCs w:val="28"/>
          <w:rtl/>
        </w:rPr>
        <w:t>. נראה שקידום השימוש בכללים מעין אלה</w:t>
      </w:r>
      <w:r w:rsidR="00692192">
        <w:rPr>
          <w:rFonts w:cs="David" w:hint="cs"/>
          <w:sz w:val="28"/>
          <w:szCs w:val="28"/>
          <w:rtl/>
        </w:rPr>
        <w:t xml:space="preserve"> על ידי </w:t>
      </w:r>
      <w:r>
        <w:rPr>
          <w:rFonts w:cs="David" w:hint="cs"/>
          <w:sz w:val="28"/>
          <w:szCs w:val="28"/>
          <w:rtl/>
        </w:rPr>
        <w:t>ארגונים לא ממשלתיים, העוסקים בבירור עובדות ובפרסומן בדוחות, יכול להוסיף למידת המהימנות של דוחות אלה וליכולת להסתמך עליהם. דרישה זו צריכה לבוא בראש ובראשונה מצד</w:t>
      </w:r>
      <w:r w:rsidR="00D74448">
        <w:rPr>
          <w:rFonts w:cs="David" w:hint="cs"/>
          <w:sz w:val="28"/>
          <w:szCs w:val="28"/>
          <w:rtl/>
        </w:rPr>
        <w:t>ן</w:t>
      </w:r>
      <w:r>
        <w:rPr>
          <w:rFonts w:cs="David" w:hint="cs"/>
          <w:sz w:val="28"/>
          <w:szCs w:val="28"/>
          <w:rtl/>
        </w:rPr>
        <w:t xml:space="preserve"> של </w:t>
      </w:r>
      <w:r w:rsidR="00310D3D">
        <w:rPr>
          <w:rFonts w:cs="David" w:hint="cs"/>
          <w:sz w:val="28"/>
          <w:szCs w:val="28"/>
          <w:rtl/>
        </w:rPr>
        <w:t>ועדות החקירה הבינלאומיות</w:t>
      </w:r>
      <w:r>
        <w:rPr>
          <w:rFonts w:cs="David" w:hint="cs"/>
          <w:sz w:val="28"/>
          <w:szCs w:val="28"/>
          <w:rtl/>
        </w:rPr>
        <w:t xml:space="preserve"> שעוש</w:t>
      </w:r>
      <w:r w:rsidR="00D74448">
        <w:rPr>
          <w:rFonts w:cs="David" w:hint="cs"/>
          <w:sz w:val="28"/>
          <w:szCs w:val="28"/>
          <w:rtl/>
        </w:rPr>
        <w:t>ות</w:t>
      </w:r>
      <w:r>
        <w:rPr>
          <w:rFonts w:cs="David" w:hint="cs"/>
          <w:sz w:val="28"/>
          <w:szCs w:val="28"/>
          <w:rtl/>
        </w:rPr>
        <w:t xml:space="preserve"> שימוש בדוחות של אותם ארגונים.</w:t>
      </w:r>
    </w:p>
    <w:p w:rsidR="00036692" w:rsidRDefault="00036692" w:rsidP="008B316C">
      <w:pPr>
        <w:spacing w:after="0" w:line="360" w:lineRule="auto"/>
        <w:jc w:val="both"/>
        <w:rPr>
          <w:rFonts w:cs="David"/>
          <w:sz w:val="28"/>
          <w:szCs w:val="28"/>
          <w:rtl/>
        </w:rPr>
      </w:pPr>
    </w:p>
    <w:p w:rsidR="00036692" w:rsidRDefault="00036692" w:rsidP="008B316C">
      <w:pPr>
        <w:spacing w:after="0" w:line="360" w:lineRule="auto"/>
        <w:jc w:val="both"/>
        <w:rPr>
          <w:rFonts w:cs="David"/>
          <w:sz w:val="28"/>
          <w:szCs w:val="28"/>
          <w:rtl/>
        </w:rPr>
      </w:pPr>
      <w:r>
        <w:rPr>
          <w:rFonts w:cs="David" w:hint="cs"/>
          <w:sz w:val="28"/>
          <w:szCs w:val="28"/>
          <w:rtl/>
        </w:rPr>
        <w:t>טענה אחרת שהועלתה כלפי דרך עבודתה של ועדת גולדסטון נגעה לקיומם של "שימועים פומביים"</w:t>
      </w:r>
      <w:r w:rsidR="00692192">
        <w:rPr>
          <w:rFonts w:cs="David" w:hint="cs"/>
          <w:sz w:val="28"/>
          <w:szCs w:val="28"/>
          <w:rtl/>
        </w:rPr>
        <w:t xml:space="preserve"> על ידי </w:t>
      </w:r>
      <w:r>
        <w:rPr>
          <w:rFonts w:cs="David" w:hint="cs"/>
          <w:sz w:val="28"/>
          <w:szCs w:val="28"/>
          <w:rtl/>
        </w:rPr>
        <w:t>הוועדה, הן בעזה והן בג'נבה</w:t>
      </w:r>
      <w:r>
        <w:rPr>
          <w:rStyle w:val="a7"/>
          <w:rFonts w:cs="David"/>
          <w:sz w:val="28"/>
          <w:szCs w:val="28"/>
          <w:rtl/>
        </w:rPr>
        <w:footnoteReference w:id="250"/>
      </w:r>
      <w:r>
        <w:rPr>
          <w:rFonts w:cs="David" w:hint="cs"/>
          <w:sz w:val="28"/>
          <w:szCs w:val="28"/>
          <w:rtl/>
        </w:rPr>
        <w:t xml:space="preserve">. מדובר במעין "טריבונאל" </w:t>
      </w:r>
      <w:r w:rsidR="00E873DA">
        <w:rPr>
          <w:rFonts w:cs="David" w:hint="cs"/>
          <w:sz w:val="28"/>
          <w:szCs w:val="28"/>
          <w:rtl/>
        </w:rPr>
        <w:t xml:space="preserve">או "הליך שיפוטי" </w:t>
      </w:r>
      <w:r>
        <w:rPr>
          <w:rFonts w:cs="David" w:hint="cs"/>
          <w:sz w:val="28"/>
          <w:szCs w:val="28"/>
          <w:rtl/>
        </w:rPr>
        <w:t>פתוח מצולם ומשודר בזמן אמת, שבו הזמינה הוועדה עדים להעיד, בהליך סודי, ושידרה את עדויותיהם עוד לפני פרסום הדוח שלה. מדינת ישראל התלוננה על שיטת הפעולה הזו וטענה שהוועדה צריכה לאסוף נתונים, למיינם ולהעריכם לפני שהיא נותנת במה לפרסומם.</w:t>
      </w:r>
    </w:p>
    <w:p w:rsidR="00036692" w:rsidRDefault="00036692" w:rsidP="008B316C">
      <w:pPr>
        <w:spacing w:after="0" w:line="360" w:lineRule="auto"/>
        <w:jc w:val="both"/>
        <w:rPr>
          <w:rFonts w:cs="David"/>
          <w:sz w:val="28"/>
          <w:szCs w:val="28"/>
          <w:rtl/>
        </w:rPr>
      </w:pPr>
    </w:p>
    <w:p w:rsidR="00036692" w:rsidRPr="00074AC7" w:rsidRDefault="00036692" w:rsidP="006D633D">
      <w:pPr>
        <w:spacing w:after="0" w:line="360" w:lineRule="auto"/>
        <w:jc w:val="both"/>
        <w:rPr>
          <w:rFonts w:cs="David"/>
          <w:sz w:val="28"/>
          <w:szCs w:val="28"/>
          <w:rtl/>
        </w:rPr>
      </w:pPr>
      <w:r>
        <w:rPr>
          <w:rFonts w:cs="David" w:hint="cs"/>
          <w:sz w:val="28"/>
          <w:szCs w:val="28"/>
          <w:rtl/>
        </w:rPr>
        <w:t xml:space="preserve">ישנן עוד ביקורות רבות שהושמעו ביחס לעבודתן של </w:t>
      </w:r>
      <w:r w:rsidR="009F6ED1">
        <w:rPr>
          <w:rFonts w:cs="David" w:hint="cs"/>
          <w:sz w:val="28"/>
          <w:szCs w:val="28"/>
          <w:rtl/>
        </w:rPr>
        <w:t xml:space="preserve">ועדות חקירה </w:t>
      </w:r>
      <w:r>
        <w:rPr>
          <w:rFonts w:cs="David" w:hint="cs"/>
          <w:sz w:val="28"/>
          <w:szCs w:val="28"/>
          <w:rtl/>
        </w:rPr>
        <w:t xml:space="preserve">בינלאומיות, אך כאמור בפתח הדברים, לא ניתן להיכנס במסגרת עבודה זו לאספקטים השונים הנוגעים לפרוצדורה לא ראויה בעבודת הוועדות, אלא רק בעצם הצורך להסדירה, על מנת למנוע ליקויים בעבודת הוועדות בעתיד. מכל מקום, נראה שכללים המציעים דרכים להסדרת עבודתן של הוועדות לא חסרים. הצהרת העצרת בדבר </w:t>
      </w:r>
      <w:r>
        <w:rPr>
          <w:rFonts w:cs="David" w:hint="cs"/>
          <w:sz w:val="28"/>
          <w:szCs w:val="28"/>
          <w:rtl/>
        </w:rPr>
        <w:lastRenderedPageBreak/>
        <w:t>בירור עובדות משנת 1991 קובעת כמה כללים בסיסיים לעבודת הוועדות. קדמו להצהרה הזו כללים שנקבעו בשנת 1974</w:t>
      </w:r>
      <w:r w:rsidR="00692192">
        <w:rPr>
          <w:rFonts w:cs="David" w:hint="cs"/>
          <w:sz w:val="28"/>
          <w:szCs w:val="28"/>
          <w:rtl/>
        </w:rPr>
        <w:t xml:space="preserve"> על ידי </w:t>
      </w:r>
      <w:r>
        <w:rPr>
          <w:rFonts w:cs="David" w:hint="cs"/>
          <w:sz w:val="28"/>
          <w:szCs w:val="28"/>
          <w:rtl/>
        </w:rPr>
        <w:t>המועצה הכלכלית והחברתית של האו"ם</w:t>
      </w:r>
      <w:r>
        <w:rPr>
          <w:rStyle w:val="a7"/>
          <w:rFonts w:cs="David"/>
          <w:sz w:val="28"/>
          <w:szCs w:val="28"/>
          <w:rtl/>
        </w:rPr>
        <w:footnoteReference w:id="251"/>
      </w:r>
      <w:r>
        <w:rPr>
          <w:rFonts w:cs="David" w:hint="cs"/>
          <w:sz w:val="28"/>
          <w:szCs w:val="28"/>
          <w:rtl/>
        </w:rPr>
        <w:t>. בשנת 1980 נקבעו כללים נוספים</w:t>
      </w:r>
      <w:r w:rsidR="00692192">
        <w:rPr>
          <w:rFonts w:cs="David" w:hint="cs"/>
          <w:sz w:val="28"/>
          <w:szCs w:val="28"/>
          <w:rtl/>
        </w:rPr>
        <w:t xml:space="preserve"> על ידי </w:t>
      </w:r>
      <w:r>
        <w:rPr>
          <w:rFonts w:cs="David" w:hint="cs"/>
          <w:sz w:val="28"/>
          <w:szCs w:val="28"/>
          <w:rtl/>
        </w:rPr>
        <w:t>ועדה בראשות פרופסור תומאס פראנק, שנקראו הכללים המינימאליים של בלגרד לפרוצדורה עבור משלחות בינלאומיות לבירור עובדות בתחום זכויות האדם</w:t>
      </w:r>
      <w:r>
        <w:rPr>
          <w:rStyle w:val="a7"/>
          <w:rFonts w:cs="David"/>
          <w:sz w:val="28"/>
          <w:szCs w:val="28"/>
          <w:rtl/>
        </w:rPr>
        <w:footnoteReference w:id="252"/>
      </w:r>
      <w:r>
        <w:rPr>
          <w:rFonts w:cs="David" w:hint="cs"/>
          <w:sz w:val="28"/>
          <w:szCs w:val="28"/>
          <w:rtl/>
        </w:rPr>
        <w:t xml:space="preserve">. לעבודת </w:t>
      </w:r>
      <w:r w:rsidRPr="0004711E">
        <w:rPr>
          <w:rFonts w:cs="David" w:hint="cs"/>
          <w:sz w:val="28"/>
          <w:szCs w:val="28"/>
          <w:rtl/>
        </w:rPr>
        <w:t>הוועדה הבינלאומית לבירור עובדות (</w:t>
      </w:r>
      <w:r w:rsidRPr="0004711E">
        <w:rPr>
          <w:rFonts w:cs="David"/>
          <w:sz w:val="28"/>
          <w:szCs w:val="28"/>
        </w:rPr>
        <w:t>International Humanitarian Fact Finding Commission – IHFFC</w:t>
      </w:r>
      <w:r w:rsidRPr="0004711E">
        <w:rPr>
          <w:rFonts w:cs="David" w:hint="cs"/>
          <w:sz w:val="28"/>
          <w:szCs w:val="28"/>
          <w:rtl/>
        </w:rPr>
        <w:t>) שהוקמה לפי סעיף 90 לפרוטוקול הנוסף לאמנות ג'נבה</w:t>
      </w:r>
      <w:r>
        <w:rPr>
          <w:rFonts w:cs="David" w:hint="cs"/>
          <w:sz w:val="28"/>
          <w:szCs w:val="28"/>
          <w:rtl/>
        </w:rPr>
        <w:t xml:space="preserve"> נקבעו גם כן כללי פעולה בשנת 1992</w:t>
      </w:r>
      <w:r>
        <w:rPr>
          <w:rStyle w:val="a7"/>
          <w:rFonts w:cs="David"/>
          <w:sz w:val="28"/>
          <w:szCs w:val="28"/>
          <w:rtl/>
        </w:rPr>
        <w:footnoteReference w:id="253"/>
      </w:r>
      <w:r>
        <w:rPr>
          <w:rFonts w:cs="David" w:hint="cs"/>
          <w:sz w:val="28"/>
          <w:szCs w:val="28"/>
          <w:rtl/>
        </w:rPr>
        <w:t>.</w:t>
      </w:r>
      <w:r w:rsidRPr="0004711E">
        <w:rPr>
          <w:rFonts w:cs="David" w:hint="cs"/>
          <w:sz w:val="28"/>
          <w:szCs w:val="28"/>
          <w:rtl/>
        </w:rPr>
        <w:t xml:space="preserve"> </w:t>
      </w:r>
      <w:r>
        <w:rPr>
          <w:rFonts w:cs="David" w:hint="cs"/>
          <w:sz w:val="28"/>
          <w:szCs w:val="28"/>
          <w:rtl/>
        </w:rPr>
        <w:t>בשנת 1995 קבע האו"ם כללים לביצוע חקירות או"ם על טענות למעשי טבח</w:t>
      </w:r>
      <w:r>
        <w:rPr>
          <w:rStyle w:val="a7"/>
          <w:rFonts w:cs="David"/>
          <w:sz w:val="28"/>
          <w:szCs w:val="28"/>
          <w:rtl/>
        </w:rPr>
        <w:footnoteReference w:id="254"/>
      </w:r>
      <w:r>
        <w:rPr>
          <w:rFonts w:cs="David" w:hint="cs"/>
          <w:sz w:val="28"/>
          <w:szCs w:val="28"/>
          <w:rtl/>
        </w:rPr>
        <w:t xml:space="preserve">. עבודה בשיתופם של 80 מומחים הובילו ליצירת </w:t>
      </w:r>
      <w:r w:rsidRPr="00BA2111">
        <w:rPr>
          <w:rFonts w:cs="David"/>
          <w:sz w:val="28"/>
          <w:szCs w:val="28"/>
        </w:rPr>
        <w:t>Siracusa Guidelines for International, Regional and National Fact-Finding Bodies</w:t>
      </w:r>
      <w:r>
        <w:rPr>
          <w:rStyle w:val="a7"/>
          <w:rFonts w:cs="David"/>
          <w:sz w:val="28"/>
          <w:szCs w:val="28"/>
          <w:rtl/>
        </w:rPr>
        <w:footnoteReference w:id="255"/>
      </w:r>
      <w:r>
        <w:rPr>
          <w:rFonts w:cs="David" w:hint="cs"/>
          <w:sz w:val="28"/>
          <w:szCs w:val="28"/>
          <w:rtl/>
        </w:rPr>
        <w:t xml:space="preserve">. גם </w:t>
      </w:r>
      <w:r>
        <w:rPr>
          <w:rFonts w:cs="David" w:hint="cs"/>
          <w:sz w:val="28"/>
          <w:szCs w:val="28"/>
        </w:rPr>
        <w:t>HPCR</w:t>
      </w:r>
      <w:r>
        <w:rPr>
          <w:rFonts w:cs="David" w:hint="cs"/>
          <w:sz w:val="28"/>
          <w:szCs w:val="28"/>
          <w:rtl/>
        </w:rPr>
        <w:t xml:space="preserve"> של אוניברסיטת הרווארד פרסמו בשנת 2015 מדריך מתקדם לו</w:t>
      </w:r>
      <w:r w:rsidR="009F6ED1">
        <w:rPr>
          <w:rFonts w:cs="David" w:hint="cs"/>
          <w:sz w:val="28"/>
          <w:szCs w:val="28"/>
          <w:rtl/>
        </w:rPr>
        <w:t>ועדות חקירה</w:t>
      </w:r>
      <w:r>
        <w:rPr>
          <w:rStyle w:val="a7"/>
          <w:rFonts w:cs="David"/>
          <w:sz w:val="28"/>
          <w:szCs w:val="28"/>
          <w:rtl/>
        </w:rPr>
        <w:footnoteReference w:id="256"/>
      </w:r>
      <w:r>
        <w:rPr>
          <w:rFonts w:cs="David" w:hint="cs"/>
          <w:sz w:val="28"/>
          <w:szCs w:val="28"/>
          <w:rtl/>
        </w:rPr>
        <w:t>. וגם מדריך הנציבות</w:t>
      </w:r>
      <w:r>
        <w:rPr>
          <w:rStyle w:val="a7"/>
          <w:rFonts w:cs="David"/>
          <w:sz w:val="28"/>
          <w:szCs w:val="28"/>
          <w:rtl/>
        </w:rPr>
        <w:footnoteReference w:id="257"/>
      </w:r>
      <w:r>
        <w:rPr>
          <w:rFonts w:cs="David" w:hint="cs"/>
          <w:sz w:val="28"/>
          <w:szCs w:val="28"/>
          <w:rtl/>
        </w:rPr>
        <w:t xml:space="preserve"> קובע כללים ופרקטיקות ראויות לעבודתן של </w:t>
      </w:r>
      <w:r w:rsidR="009F6ED1">
        <w:rPr>
          <w:rFonts w:cs="David" w:hint="cs"/>
          <w:sz w:val="28"/>
          <w:szCs w:val="28"/>
          <w:rtl/>
        </w:rPr>
        <w:t xml:space="preserve">ועדות חקירה </w:t>
      </w:r>
      <w:r>
        <w:rPr>
          <w:rFonts w:cs="David" w:hint="cs"/>
          <w:sz w:val="28"/>
          <w:szCs w:val="28"/>
          <w:rtl/>
        </w:rPr>
        <w:t>.</w:t>
      </w:r>
    </w:p>
    <w:p w:rsidR="00036692" w:rsidRDefault="00036692" w:rsidP="008B316C">
      <w:pPr>
        <w:spacing w:after="0" w:line="360" w:lineRule="auto"/>
        <w:jc w:val="both"/>
        <w:rPr>
          <w:rFonts w:cs="David"/>
          <w:sz w:val="28"/>
          <w:szCs w:val="28"/>
          <w:rtl/>
        </w:rPr>
      </w:pPr>
    </w:p>
    <w:p w:rsidR="00036692" w:rsidRDefault="00036692" w:rsidP="00D74448">
      <w:pPr>
        <w:spacing w:after="0" w:line="360" w:lineRule="auto"/>
        <w:jc w:val="both"/>
        <w:rPr>
          <w:rFonts w:cs="David"/>
          <w:sz w:val="28"/>
          <w:szCs w:val="28"/>
          <w:rtl/>
        </w:rPr>
      </w:pPr>
      <w:r>
        <w:rPr>
          <w:rFonts w:cs="David" w:hint="cs"/>
          <w:sz w:val="28"/>
          <w:szCs w:val="28"/>
          <w:rtl/>
        </w:rPr>
        <w:t xml:space="preserve">אם כן, נראה כי הצעד שנדרש הוא נטילת יוזמה שתחייב את </w:t>
      </w:r>
      <w:r w:rsidR="00310D3D">
        <w:rPr>
          <w:rFonts w:cs="David" w:hint="cs"/>
          <w:sz w:val="28"/>
          <w:szCs w:val="28"/>
          <w:rtl/>
        </w:rPr>
        <w:t>ועדות החקירה הבינלאומיות</w:t>
      </w:r>
      <w:r>
        <w:rPr>
          <w:rFonts w:cs="David" w:hint="cs"/>
          <w:sz w:val="28"/>
          <w:szCs w:val="28"/>
          <w:rtl/>
        </w:rPr>
        <w:t>, במיוחד אלה של מועצת זכויות האדם, לפעול לפי סטנדרטים מקובלים. יש לשאוף לקבוע עקרונות זהב (</w:t>
      </w:r>
      <w:r>
        <w:rPr>
          <w:rFonts w:cs="David"/>
          <w:sz w:val="28"/>
          <w:szCs w:val="28"/>
        </w:rPr>
        <w:t>golden principles</w:t>
      </w:r>
      <w:r>
        <w:rPr>
          <w:rFonts w:cs="David" w:hint="cs"/>
          <w:sz w:val="28"/>
          <w:szCs w:val="28"/>
          <w:rtl/>
        </w:rPr>
        <w:t xml:space="preserve">) לעבודתם של </w:t>
      </w:r>
      <w:r w:rsidR="009C039C">
        <w:rPr>
          <w:rFonts w:cs="David" w:hint="cs"/>
          <w:sz w:val="28"/>
          <w:szCs w:val="28"/>
          <w:rtl/>
        </w:rPr>
        <w:t>ועדות חקירה בינלאומיות</w:t>
      </w:r>
      <w:r>
        <w:rPr>
          <w:rFonts w:cs="David" w:hint="cs"/>
          <w:sz w:val="28"/>
          <w:szCs w:val="28"/>
          <w:rtl/>
        </w:rPr>
        <w:t>, שיאפשרו לבחון את אמינות הדוחות שלהם. כך נעשה בעבר, לדוגמה, בתחום סמכות השיפוט האוניברסאלית, כאשר נקבעו עקרונות פרינסטון</w:t>
      </w:r>
      <w:r>
        <w:rPr>
          <w:rStyle w:val="a7"/>
          <w:rFonts w:cs="David"/>
          <w:sz w:val="28"/>
          <w:szCs w:val="28"/>
          <w:rtl/>
        </w:rPr>
        <w:footnoteReference w:id="258"/>
      </w:r>
      <w:r>
        <w:rPr>
          <w:rFonts w:cs="David" w:hint="cs"/>
          <w:sz w:val="28"/>
          <w:szCs w:val="28"/>
          <w:rtl/>
        </w:rPr>
        <w:t xml:space="preserve">. כפי שראינו, עבודה רבה כבר נעשתה בעניין בעבר ויש לעשות בה שימוש. ניתן גם לשאוב השראה מכללי האתיקה העיתונאית שדורשים כי מידע </w:t>
      </w:r>
      <w:r>
        <w:rPr>
          <w:rFonts w:cs="David" w:hint="cs"/>
          <w:sz w:val="28"/>
          <w:szCs w:val="28"/>
          <w:rtl/>
        </w:rPr>
        <w:lastRenderedPageBreak/>
        <w:t>יפורסם רק לאחר וידוא עובדות והצלבתן, לדוגמה</w:t>
      </w:r>
      <w:r w:rsidR="00BC5059">
        <w:rPr>
          <w:rStyle w:val="a7"/>
          <w:rFonts w:cs="David"/>
          <w:sz w:val="28"/>
          <w:szCs w:val="28"/>
          <w:rtl/>
        </w:rPr>
        <w:footnoteReference w:id="259"/>
      </w:r>
      <w:r>
        <w:rPr>
          <w:rFonts w:cs="David" w:hint="cs"/>
          <w:sz w:val="28"/>
          <w:szCs w:val="28"/>
          <w:rtl/>
        </w:rPr>
        <w:t xml:space="preserve">. יש לוודא כי הכללים שנקבעים מתאימים בין המנדט והמשאבים הניתנים בידי </w:t>
      </w:r>
      <w:r w:rsidR="001165FD">
        <w:rPr>
          <w:rFonts w:cs="David" w:hint="cs"/>
          <w:sz w:val="28"/>
          <w:szCs w:val="28"/>
          <w:rtl/>
        </w:rPr>
        <w:t>הוועדות</w:t>
      </w:r>
      <w:r w:rsidR="00D74448">
        <w:rPr>
          <w:rFonts w:cs="David" w:hint="cs"/>
          <w:sz w:val="28"/>
          <w:szCs w:val="28"/>
          <w:rtl/>
        </w:rPr>
        <w:t xml:space="preserve"> לתוצר שהן מפיקות</w:t>
      </w:r>
      <w:r w:rsidR="00BC5059">
        <w:rPr>
          <w:rFonts w:cs="David" w:hint="cs"/>
          <w:sz w:val="28"/>
          <w:szCs w:val="28"/>
          <w:rtl/>
        </w:rPr>
        <w:t xml:space="preserve">, על מנת שלא לדחוק את </w:t>
      </w:r>
      <w:r w:rsidR="001165FD">
        <w:rPr>
          <w:rFonts w:cs="David" w:hint="cs"/>
          <w:sz w:val="28"/>
          <w:szCs w:val="28"/>
          <w:rtl/>
        </w:rPr>
        <w:t>הוועדות</w:t>
      </w:r>
      <w:r w:rsidR="00BC5059">
        <w:rPr>
          <w:rFonts w:cs="David" w:hint="cs"/>
          <w:sz w:val="28"/>
          <w:szCs w:val="28"/>
          <w:rtl/>
        </w:rPr>
        <w:t xml:space="preserve"> לפעול באופן חפוז או רשלני</w:t>
      </w:r>
      <w:r>
        <w:rPr>
          <w:rFonts w:cs="David" w:hint="cs"/>
          <w:sz w:val="28"/>
          <w:szCs w:val="28"/>
          <w:rtl/>
        </w:rPr>
        <w:t>. כן יש לתת את הדעת לסטנדרט ההוכחה הנדרש מ</w:t>
      </w:r>
      <w:r w:rsidR="0074404A">
        <w:rPr>
          <w:rFonts w:cs="David" w:hint="cs"/>
          <w:sz w:val="28"/>
          <w:szCs w:val="28"/>
          <w:rtl/>
        </w:rPr>
        <w:t>ועדות</w:t>
      </w:r>
      <w:r w:rsidR="00D74448">
        <w:rPr>
          <w:rFonts w:cs="David" w:hint="cs"/>
          <w:sz w:val="28"/>
          <w:szCs w:val="28"/>
          <w:rtl/>
        </w:rPr>
        <w:t xml:space="preserve"> שקובעות</w:t>
      </w:r>
      <w:r>
        <w:rPr>
          <w:rFonts w:cs="David" w:hint="cs"/>
          <w:sz w:val="28"/>
          <w:szCs w:val="28"/>
          <w:rtl/>
        </w:rPr>
        <w:t xml:space="preserve"> עובדות ומסקנות שעלולות להיות להן השלכות פליליות, והאם אין זה ראוי כי יפעלו </w:t>
      </w:r>
      <w:r w:rsidR="00B31BC3">
        <w:rPr>
          <w:rFonts w:cs="David" w:hint="cs"/>
          <w:sz w:val="28"/>
          <w:szCs w:val="28"/>
          <w:rtl/>
        </w:rPr>
        <w:t>על פי</w:t>
      </w:r>
      <w:r>
        <w:rPr>
          <w:rFonts w:cs="David" w:hint="cs"/>
          <w:sz w:val="28"/>
          <w:szCs w:val="28"/>
          <w:rtl/>
        </w:rPr>
        <w:t xml:space="preserve"> אמות מידה של </w:t>
      </w:r>
      <w:r w:rsidR="00D74448">
        <w:rPr>
          <w:rFonts w:cs="David" w:hint="cs"/>
          <w:sz w:val="28"/>
          <w:szCs w:val="28"/>
          <w:rtl/>
        </w:rPr>
        <w:t>מנגנון</w:t>
      </w:r>
      <w:r>
        <w:rPr>
          <w:rFonts w:cs="David" w:hint="cs"/>
          <w:sz w:val="28"/>
          <w:szCs w:val="28"/>
          <w:rtl/>
        </w:rPr>
        <w:t xml:space="preserve"> פלילי. </w:t>
      </w:r>
    </w:p>
    <w:p w:rsidR="00036692" w:rsidRDefault="00036692" w:rsidP="008B316C">
      <w:pPr>
        <w:spacing w:after="0" w:line="360" w:lineRule="auto"/>
        <w:jc w:val="both"/>
        <w:rPr>
          <w:rFonts w:cs="David"/>
          <w:sz w:val="28"/>
          <w:szCs w:val="28"/>
          <w:rtl/>
        </w:rPr>
      </w:pPr>
    </w:p>
    <w:p w:rsidR="00036692" w:rsidRDefault="00036692" w:rsidP="00AE7AED">
      <w:pPr>
        <w:spacing w:after="0" w:line="360" w:lineRule="auto"/>
        <w:jc w:val="both"/>
        <w:rPr>
          <w:rFonts w:cs="David"/>
          <w:sz w:val="28"/>
          <w:szCs w:val="28"/>
          <w:rtl/>
        </w:rPr>
      </w:pPr>
      <w:r>
        <w:rPr>
          <w:rFonts w:cs="David" w:hint="cs"/>
          <w:sz w:val="28"/>
          <w:szCs w:val="28"/>
          <w:rtl/>
        </w:rPr>
        <w:t xml:space="preserve">קידומם של הכללים הללו יכול להיעשות באמצעות המחלקה המשפטית של האו"ם, דרך חברות </w:t>
      </w:r>
      <w:r>
        <w:rPr>
          <w:rFonts w:cs="David" w:hint="cs"/>
          <w:sz w:val="28"/>
          <w:szCs w:val="28"/>
        </w:rPr>
        <w:t>WEOG</w:t>
      </w:r>
      <w:r>
        <w:rPr>
          <w:rFonts w:cs="David" w:hint="cs"/>
          <w:sz w:val="28"/>
          <w:szCs w:val="28"/>
          <w:rtl/>
        </w:rPr>
        <w:t xml:space="preserve"> במועצת זכויות האדם, דרך גוף אקדמי שיהיה מקובל על האו"ם, או בכל דרך אחרת שתביא לקידום העניין החשוב הזה. בשל ההשלכות הפוליטיות הברורות של מהלך כזה, נראה כי מדינת ישראל לא תוכל להוביל את המהלך בעצמה, וכי תידרש לשם כך קואליציה בינלאומית רחבה וחזקה. </w:t>
      </w:r>
      <w:r w:rsidR="00AE7AED">
        <w:rPr>
          <w:rFonts w:cs="David" w:hint="cs"/>
          <w:sz w:val="28"/>
          <w:szCs w:val="28"/>
          <w:rtl/>
        </w:rPr>
        <w:t>יצוין, כי צעד ראשון בעניין כבר נעשה על ידי משרד הנציב העליון לזכויות אדם של האו"ם, אשר פרסם את מדריך הנציבות לוועדות החקירה</w:t>
      </w:r>
      <w:r w:rsidR="00AE7AED">
        <w:rPr>
          <w:rStyle w:val="a7"/>
          <w:rFonts w:cs="David"/>
          <w:sz w:val="28"/>
          <w:szCs w:val="28"/>
          <w:rtl/>
        </w:rPr>
        <w:footnoteReference w:id="260"/>
      </w:r>
      <w:r w:rsidR="00AE7AED">
        <w:rPr>
          <w:rFonts w:cs="David" w:hint="cs"/>
          <w:sz w:val="28"/>
          <w:szCs w:val="28"/>
          <w:rtl/>
        </w:rPr>
        <w:t>. יחד עם זאת, נדרשת בחינה דקדקנית של הסטנדרטים הקבועים במדריך ביחס לסטנדרטים המצוינים במקורות האחרים שנזכרו לעיל ונדרשת גם הטמעה של העקרונות הכלולים בו והקפדה על מילויים על ידי ועדות החקירה. לעניין זה, אפשר ו</w:t>
      </w:r>
      <w:r>
        <w:rPr>
          <w:rFonts w:cs="David" w:hint="cs"/>
          <w:sz w:val="28"/>
          <w:szCs w:val="28"/>
          <w:rtl/>
        </w:rPr>
        <w:t>חשוב גם לקבוע גוף חיצוני (אפילו ארגון לא ממשלתי או מוסד מחקר שיהיה מקובלים לעניין זה), שיהיה אחראי על בקרת הדוחות של הוועדות בהתאם לכללי הפרוצדורה הברורים שייקבעו.</w:t>
      </w:r>
    </w:p>
    <w:p w:rsidR="00E92CA4" w:rsidRDefault="00E92CA4" w:rsidP="008B316C">
      <w:pPr>
        <w:spacing w:after="0" w:line="360" w:lineRule="auto"/>
        <w:jc w:val="both"/>
        <w:rPr>
          <w:rFonts w:cs="David"/>
          <w:sz w:val="28"/>
          <w:szCs w:val="28"/>
          <w:rtl/>
        </w:rPr>
      </w:pPr>
    </w:p>
    <w:p w:rsidR="0088770C" w:rsidRPr="00C22118" w:rsidRDefault="00560E10" w:rsidP="00C22118">
      <w:pPr>
        <w:pStyle w:val="a9"/>
        <w:numPr>
          <w:ilvl w:val="0"/>
          <w:numId w:val="26"/>
        </w:numPr>
        <w:spacing w:after="0" w:line="360" w:lineRule="auto"/>
        <w:jc w:val="both"/>
        <w:outlineLvl w:val="1"/>
        <w:rPr>
          <w:rFonts w:cs="David"/>
          <w:sz w:val="28"/>
          <w:szCs w:val="28"/>
          <w:rtl/>
        </w:rPr>
      </w:pPr>
      <w:bookmarkStart w:id="66" w:name="_Toc456027338"/>
      <w:r w:rsidRPr="00C22118">
        <w:rPr>
          <w:rFonts w:cs="David" w:hint="cs"/>
          <w:b/>
          <w:bCs/>
          <w:sz w:val="28"/>
          <w:szCs w:val="28"/>
          <w:rtl/>
        </w:rPr>
        <w:t>מתודולוגיה מיוחדת לבחינת מבצעים צבאיים</w:t>
      </w:r>
      <w:bookmarkEnd w:id="66"/>
    </w:p>
    <w:p w:rsidR="0088770C" w:rsidRDefault="0088770C" w:rsidP="008B316C">
      <w:pPr>
        <w:spacing w:after="0" w:line="360" w:lineRule="auto"/>
        <w:jc w:val="both"/>
        <w:rPr>
          <w:rFonts w:cs="David"/>
          <w:sz w:val="28"/>
          <w:szCs w:val="28"/>
          <w:rtl/>
        </w:rPr>
      </w:pPr>
    </w:p>
    <w:p w:rsidR="00E92CA4" w:rsidRDefault="00E92CA4" w:rsidP="008B316C">
      <w:pPr>
        <w:spacing w:after="0" w:line="360" w:lineRule="auto"/>
        <w:jc w:val="both"/>
        <w:rPr>
          <w:rFonts w:cs="David"/>
          <w:sz w:val="28"/>
          <w:szCs w:val="28"/>
          <w:rtl/>
        </w:rPr>
      </w:pPr>
      <w:r>
        <w:rPr>
          <w:rFonts w:cs="David" w:hint="cs"/>
          <w:sz w:val="28"/>
          <w:szCs w:val="28"/>
          <w:rtl/>
        </w:rPr>
        <w:t xml:space="preserve">כמו כן, מן הראוי כי יפותחו </w:t>
      </w:r>
      <w:r w:rsidRPr="007419E4">
        <w:rPr>
          <w:rFonts w:cs="David" w:hint="cs"/>
          <w:b/>
          <w:bCs/>
          <w:sz w:val="28"/>
          <w:szCs w:val="28"/>
          <w:rtl/>
        </w:rPr>
        <w:t>מתודולוגיות מיוחדות לבחינתם של מבצעים צבאיים</w:t>
      </w:r>
      <w:r>
        <w:rPr>
          <w:rFonts w:cs="David" w:hint="cs"/>
          <w:sz w:val="28"/>
          <w:szCs w:val="28"/>
          <w:rtl/>
        </w:rPr>
        <w:t>. הדוחות שפורסמו בשנים האחרונות לגבי המבצעים הצבאיים של מדינת ישראל ממחישים את הפער העצום שבין הדרך שבה תופסת מדינת ישראל את הערכים ההומניטאריים הגבוהים של צה"ל בלחימה לדרך שבה תופסות אות</w:t>
      </w:r>
      <w:r w:rsidR="00F90E27">
        <w:rPr>
          <w:rFonts w:cs="David" w:hint="cs"/>
          <w:sz w:val="28"/>
          <w:szCs w:val="28"/>
          <w:rtl/>
        </w:rPr>
        <w:t>ם</w:t>
      </w:r>
      <w:r>
        <w:rPr>
          <w:rFonts w:cs="David" w:hint="cs"/>
          <w:sz w:val="28"/>
          <w:szCs w:val="28"/>
          <w:rtl/>
        </w:rPr>
        <w:t xml:space="preserve"> ועדות החקירה. כפי שראינו לעיל, גם מומחים מצבאות אחרים סבורים שיש פער לא סביר בין הדרך שבה ראוי לצבא לקחת בחשבון שיקולים הומניטאריים בעת לחימה לדרך שבה עושות זאת ועדות החקירה</w:t>
      </w:r>
      <w:r>
        <w:rPr>
          <w:rStyle w:val="a7"/>
          <w:rFonts w:cs="David"/>
          <w:sz w:val="28"/>
          <w:szCs w:val="28"/>
          <w:rtl/>
        </w:rPr>
        <w:footnoteReference w:id="261"/>
      </w:r>
      <w:r>
        <w:rPr>
          <w:rFonts w:cs="David" w:hint="cs"/>
          <w:sz w:val="28"/>
          <w:szCs w:val="28"/>
          <w:rtl/>
        </w:rPr>
        <w:t>.</w:t>
      </w:r>
    </w:p>
    <w:p w:rsidR="00E92CA4" w:rsidRDefault="00E92CA4" w:rsidP="008B316C">
      <w:pPr>
        <w:spacing w:after="0" w:line="360" w:lineRule="auto"/>
        <w:jc w:val="both"/>
        <w:rPr>
          <w:rFonts w:cs="David"/>
          <w:sz w:val="28"/>
          <w:szCs w:val="28"/>
          <w:rtl/>
        </w:rPr>
      </w:pPr>
    </w:p>
    <w:p w:rsidR="00E92CA4" w:rsidRDefault="00E92CA4" w:rsidP="008B316C">
      <w:pPr>
        <w:spacing w:after="0" w:line="360" w:lineRule="auto"/>
        <w:jc w:val="both"/>
        <w:rPr>
          <w:rFonts w:cs="David"/>
          <w:sz w:val="28"/>
          <w:szCs w:val="28"/>
          <w:rtl/>
        </w:rPr>
      </w:pPr>
      <w:r>
        <w:rPr>
          <w:rFonts w:cs="David" w:hint="cs"/>
          <w:sz w:val="28"/>
          <w:szCs w:val="28"/>
          <w:rtl/>
        </w:rPr>
        <w:lastRenderedPageBreak/>
        <w:t>למעשה, לעיתים נדמה שבמצב הנוכחי, בכל מקרה שישראל מפעילה כוח, הדוח שיבחן זאת יהיה רע, משתי סיבות עיקריות:</w:t>
      </w:r>
    </w:p>
    <w:p w:rsidR="00E92CA4" w:rsidRDefault="00E92CA4" w:rsidP="008B316C">
      <w:pPr>
        <w:pStyle w:val="a9"/>
        <w:numPr>
          <w:ilvl w:val="0"/>
          <w:numId w:val="16"/>
        </w:numPr>
        <w:spacing w:after="0" w:line="360" w:lineRule="auto"/>
        <w:jc w:val="both"/>
        <w:rPr>
          <w:rFonts w:cs="David"/>
          <w:sz w:val="28"/>
          <w:szCs w:val="28"/>
        </w:rPr>
      </w:pPr>
      <w:r>
        <w:rPr>
          <w:rFonts w:cs="David" w:hint="cs"/>
          <w:sz w:val="28"/>
          <w:szCs w:val="28"/>
          <w:rtl/>
        </w:rPr>
        <w:t>נסיבות הפעולה של צה"ל ייחודיות וקשה לרוב העולם</w:t>
      </w:r>
      <w:r w:rsidR="007419E4">
        <w:rPr>
          <w:rFonts w:cs="David" w:hint="cs"/>
          <w:sz w:val="28"/>
          <w:szCs w:val="28"/>
          <w:rtl/>
        </w:rPr>
        <w:t>, ובוודאי לקהילת זכויות האדם העולמית</w:t>
      </w:r>
      <w:r w:rsidR="00F90E27">
        <w:rPr>
          <w:rFonts w:cs="David" w:hint="cs"/>
          <w:sz w:val="28"/>
          <w:szCs w:val="28"/>
          <w:rtl/>
        </w:rPr>
        <w:t xml:space="preserve"> שממנה מגיעים רוב חברי </w:t>
      </w:r>
      <w:r w:rsidR="009C039C">
        <w:rPr>
          <w:rFonts w:cs="David" w:hint="cs"/>
          <w:sz w:val="28"/>
          <w:szCs w:val="28"/>
          <w:rtl/>
        </w:rPr>
        <w:t>ועדות החקירה</w:t>
      </w:r>
      <w:r w:rsidR="007419E4">
        <w:rPr>
          <w:rFonts w:cs="David" w:hint="cs"/>
          <w:sz w:val="28"/>
          <w:szCs w:val="28"/>
          <w:rtl/>
        </w:rPr>
        <w:t>,</w:t>
      </w:r>
      <w:r>
        <w:rPr>
          <w:rFonts w:cs="David" w:hint="cs"/>
          <w:sz w:val="28"/>
          <w:szCs w:val="28"/>
          <w:rtl/>
        </w:rPr>
        <w:t xml:space="preserve"> להבין אותן לעומקן:</w:t>
      </w:r>
    </w:p>
    <w:p w:rsidR="00E92CA4" w:rsidRDefault="007419E4" w:rsidP="008B316C">
      <w:pPr>
        <w:pStyle w:val="a9"/>
        <w:numPr>
          <w:ilvl w:val="1"/>
          <w:numId w:val="16"/>
        </w:numPr>
        <w:spacing w:after="0" w:line="360" w:lineRule="auto"/>
        <w:jc w:val="both"/>
        <w:rPr>
          <w:rFonts w:cs="David"/>
          <w:sz w:val="28"/>
          <w:szCs w:val="28"/>
        </w:rPr>
      </w:pPr>
      <w:r>
        <w:rPr>
          <w:rFonts w:cs="David" w:hint="cs"/>
          <w:sz w:val="28"/>
          <w:szCs w:val="28"/>
          <w:rtl/>
        </w:rPr>
        <w:t>צה"ל פועל באחד ה</w:t>
      </w:r>
      <w:r w:rsidR="00E92CA4">
        <w:rPr>
          <w:rFonts w:cs="David" w:hint="cs"/>
          <w:sz w:val="28"/>
          <w:szCs w:val="28"/>
          <w:rtl/>
        </w:rPr>
        <w:t>שטח</w:t>
      </w:r>
      <w:r>
        <w:rPr>
          <w:rFonts w:cs="David" w:hint="cs"/>
          <w:sz w:val="28"/>
          <w:szCs w:val="28"/>
          <w:rtl/>
        </w:rPr>
        <w:t>ים הכי</w:t>
      </w:r>
      <w:r w:rsidR="00E92CA4">
        <w:rPr>
          <w:rFonts w:cs="David" w:hint="cs"/>
          <w:sz w:val="28"/>
          <w:szCs w:val="28"/>
          <w:rtl/>
        </w:rPr>
        <w:t xml:space="preserve"> רווי</w:t>
      </w:r>
      <w:r>
        <w:rPr>
          <w:rFonts w:cs="David" w:hint="cs"/>
          <w:sz w:val="28"/>
          <w:szCs w:val="28"/>
          <w:rtl/>
        </w:rPr>
        <w:t>י</w:t>
      </w:r>
      <w:r w:rsidR="00E92CA4">
        <w:rPr>
          <w:rFonts w:cs="David" w:hint="cs"/>
          <w:sz w:val="28"/>
          <w:szCs w:val="28"/>
          <w:rtl/>
        </w:rPr>
        <w:t xml:space="preserve"> אוכלוסייה בעולם.</w:t>
      </w:r>
      <w:r>
        <w:rPr>
          <w:rFonts w:cs="David" w:hint="cs"/>
          <w:sz w:val="28"/>
          <w:szCs w:val="28"/>
          <w:rtl/>
        </w:rPr>
        <w:t xml:space="preserve"> לאור המודוס אופרנדי של היריבים של צה"ל, הפועלים מתוך האוכלוסייה ובחסותה, יש לכך גם השלכה ישירה על כמות הנפגעים האזרחים במבצעים שצה"ל מנהל;</w:t>
      </w:r>
    </w:p>
    <w:p w:rsidR="007419E4" w:rsidRDefault="007419E4" w:rsidP="008B316C">
      <w:pPr>
        <w:pStyle w:val="a9"/>
        <w:numPr>
          <w:ilvl w:val="1"/>
          <w:numId w:val="16"/>
        </w:numPr>
        <w:spacing w:after="0" w:line="360" w:lineRule="auto"/>
        <w:jc w:val="both"/>
        <w:rPr>
          <w:rFonts w:cs="David"/>
          <w:sz w:val="28"/>
          <w:szCs w:val="28"/>
        </w:rPr>
      </w:pPr>
      <w:r>
        <w:rPr>
          <w:rFonts w:cs="David" w:hint="cs"/>
          <w:sz w:val="28"/>
          <w:szCs w:val="28"/>
          <w:rtl/>
        </w:rPr>
        <w:t>השטח בו נלחם צה"ל קטן וצפוף, וכמעט שלא ניתן לתמרן בו בשטחים פתוחים ולא מאוכלסים;</w:t>
      </w:r>
    </w:p>
    <w:p w:rsidR="00E92CA4" w:rsidRDefault="007419E4" w:rsidP="008B316C">
      <w:pPr>
        <w:pStyle w:val="a9"/>
        <w:numPr>
          <w:ilvl w:val="1"/>
          <w:numId w:val="16"/>
        </w:numPr>
        <w:spacing w:after="0" w:line="360" w:lineRule="auto"/>
        <w:jc w:val="both"/>
        <w:rPr>
          <w:rFonts w:cs="David"/>
          <w:sz w:val="28"/>
          <w:szCs w:val="28"/>
        </w:rPr>
      </w:pPr>
      <w:r>
        <w:rPr>
          <w:rFonts w:cs="David" w:hint="cs"/>
          <w:sz w:val="28"/>
          <w:szCs w:val="28"/>
          <w:rtl/>
        </w:rPr>
        <w:t xml:space="preserve">עצימות </w:t>
      </w:r>
      <w:r w:rsidR="00E92CA4">
        <w:rPr>
          <w:rFonts w:cs="David" w:hint="cs"/>
          <w:sz w:val="28"/>
          <w:szCs w:val="28"/>
          <w:rtl/>
        </w:rPr>
        <w:t xml:space="preserve">העימות </w:t>
      </w:r>
      <w:r>
        <w:rPr>
          <w:rFonts w:cs="David" w:hint="cs"/>
          <w:sz w:val="28"/>
          <w:szCs w:val="28"/>
          <w:rtl/>
        </w:rPr>
        <w:t>גבוהה מאוד ב</w:t>
      </w:r>
      <w:r w:rsidR="00E92CA4">
        <w:rPr>
          <w:rFonts w:cs="David" w:hint="cs"/>
          <w:sz w:val="28"/>
          <w:szCs w:val="28"/>
          <w:rtl/>
        </w:rPr>
        <w:t xml:space="preserve">שני הצדדים </w:t>
      </w:r>
      <w:r>
        <w:rPr>
          <w:rFonts w:cs="David" w:hint="cs"/>
          <w:sz w:val="28"/>
          <w:szCs w:val="28"/>
          <w:rtl/>
        </w:rPr>
        <w:t>הלוחמים ומתבטאת בפגיעה ב</w:t>
      </w:r>
      <w:r w:rsidR="00E92CA4">
        <w:rPr>
          <w:rFonts w:cs="David" w:hint="cs"/>
          <w:sz w:val="28"/>
          <w:szCs w:val="28"/>
          <w:rtl/>
        </w:rPr>
        <w:t xml:space="preserve">אוכלוסיות </w:t>
      </w:r>
      <w:r>
        <w:rPr>
          <w:rFonts w:cs="David" w:hint="cs"/>
          <w:sz w:val="28"/>
          <w:szCs w:val="28"/>
          <w:rtl/>
        </w:rPr>
        <w:t xml:space="preserve">האזרחיות </w:t>
      </w:r>
      <w:r w:rsidR="00E92CA4">
        <w:rPr>
          <w:rFonts w:cs="David" w:hint="cs"/>
          <w:sz w:val="28"/>
          <w:szCs w:val="28"/>
          <w:rtl/>
        </w:rPr>
        <w:t>בשני הצדדים</w:t>
      </w:r>
      <w:r>
        <w:rPr>
          <w:rFonts w:cs="David" w:hint="cs"/>
          <w:sz w:val="28"/>
          <w:szCs w:val="28"/>
          <w:rtl/>
        </w:rPr>
        <w:t>;</w:t>
      </w:r>
      <w:r w:rsidR="00E92CA4">
        <w:rPr>
          <w:rFonts w:cs="David" w:hint="cs"/>
          <w:sz w:val="28"/>
          <w:szCs w:val="28"/>
          <w:rtl/>
        </w:rPr>
        <w:t xml:space="preserve"> </w:t>
      </w:r>
    </w:p>
    <w:p w:rsidR="00E92CA4" w:rsidRPr="000445CD" w:rsidRDefault="007419E4" w:rsidP="00D74448">
      <w:pPr>
        <w:pStyle w:val="a9"/>
        <w:numPr>
          <w:ilvl w:val="0"/>
          <w:numId w:val="16"/>
        </w:numPr>
        <w:spacing w:after="0" w:line="360" w:lineRule="auto"/>
        <w:jc w:val="both"/>
        <w:rPr>
          <w:rFonts w:cs="David"/>
          <w:sz w:val="28"/>
          <w:szCs w:val="28"/>
          <w:rtl/>
        </w:rPr>
      </w:pPr>
      <w:r>
        <w:rPr>
          <w:rFonts w:cs="David" w:hint="cs"/>
          <w:sz w:val="28"/>
          <w:szCs w:val="28"/>
          <w:rtl/>
        </w:rPr>
        <w:t>מאחר ש</w:t>
      </w:r>
      <w:r w:rsidR="00014821">
        <w:rPr>
          <w:rFonts w:cs="David" w:hint="cs"/>
          <w:sz w:val="28"/>
          <w:szCs w:val="28"/>
          <w:rtl/>
        </w:rPr>
        <w:t>לוועדות</w:t>
      </w:r>
      <w:r w:rsidR="009C039C">
        <w:rPr>
          <w:rFonts w:cs="David" w:hint="cs"/>
          <w:sz w:val="28"/>
          <w:szCs w:val="28"/>
          <w:rtl/>
        </w:rPr>
        <w:t xml:space="preserve"> החקירה</w:t>
      </w:r>
      <w:r>
        <w:rPr>
          <w:rFonts w:cs="David" w:hint="cs"/>
          <w:sz w:val="28"/>
          <w:szCs w:val="28"/>
          <w:rtl/>
        </w:rPr>
        <w:t xml:space="preserve"> אין שיטה לבחינת מבצעים צבאיים, ה</w:t>
      </w:r>
      <w:r w:rsidR="00D74448">
        <w:rPr>
          <w:rFonts w:cs="David" w:hint="cs"/>
          <w:sz w:val="28"/>
          <w:szCs w:val="28"/>
          <w:rtl/>
        </w:rPr>
        <w:t>ן</w:t>
      </w:r>
      <w:r>
        <w:rPr>
          <w:rFonts w:cs="David" w:hint="cs"/>
          <w:sz w:val="28"/>
          <w:szCs w:val="28"/>
          <w:rtl/>
        </w:rPr>
        <w:t xml:space="preserve"> </w:t>
      </w:r>
      <w:r w:rsidR="00E92CA4">
        <w:rPr>
          <w:rFonts w:cs="David" w:hint="cs"/>
          <w:sz w:val="28"/>
          <w:szCs w:val="28"/>
          <w:rtl/>
        </w:rPr>
        <w:t xml:space="preserve">בדרך כלל </w:t>
      </w:r>
      <w:r w:rsidR="00D74448">
        <w:rPr>
          <w:rFonts w:cs="David" w:hint="cs"/>
          <w:sz w:val="28"/>
          <w:szCs w:val="28"/>
          <w:rtl/>
        </w:rPr>
        <w:t>בוחרות</w:t>
      </w:r>
      <w:r>
        <w:rPr>
          <w:rFonts w:cs="David" w:hint="cs"/>
          <w:sz w:val="28"/>
          <w:szCs w:val="28"/>
          <w:rtl/>
        </w:rPr>
        <w:t xml:space="preserve"> אירועים ספורים מתוך אלפי אירועים במבצע ו</w:t>
      </w:r>
      <w:r w:rsidR="00E92CA4">
        <w:rPr>
          <w:rFonts w:cs="David" w:hint="cs"/>
          <w:sz w:val="28"/>
          <w:szCs w:val="28"/>
          <w:rtl/>
        </w:rPr>
        <w:t>מנס</w:t>
      </w:r>
      <w:r w:rsidR="00D74448">
        <w:rPr>
          <w:rFonts w:cs="David" w:hint="cs"/>
          <w:sz w:val="28"/>
          <w:szCs w:val="28"/>
          <w:rtl/>
        </w:rPr>
        <w:t>ות</w:t>
      </w:r>
      <w:r w:rsidR="00E92CA4">
        <w:rPr>
          <w:rFonts w:cs="David" w:hint="cs"/>
          <w:sz w:val="28"/>
          <w:szCs w:val="28"/>
          <w:rtl/>
        </w:rPr>
        <w:t xml:space="preserve"> ללמוד </w:t>
      </w:r>
      <w:r w:rsidR="00F90E27">
        <w:rPr>
          <w:rFonts w:cs="David" w:hint="cs"/>
          <w:sz w:val="28"/>
          <w:szCs w:val="28"/>
          <w:rtl/>
        </w:rPr>
        <w:t xml:space="preserve">ממה שקרה בהם </w:t>
      </w:r>
      <w:r w:rsidR="00E92CA4">
        <w:rPr>
          <w:rFonts w:cs="David" w:hint="cs"/>
          <w:sz w:val="28"/>
          <w:szCs w:val="28"/>
          <w:rtl/>
        </w:rPr>
        <w:t xml:space="preserve">על </w:t>
      </w:r>
      <w:r w:rsidR="00F90E27">
        <w:rPr>
          <w:rFonts w:cs="David" w:hint="cs"/>
          <w:sz w:val="28"/>
          <w:szCs w:val="28"/>
          <w:rtl/>
        </w:rPr>
        <w:t>דוקטרינות ותפיסות צבאיות רחבות יותר</w:t>
      </w:r>
      <w:r w:rsidR="00E92CA4">
        <w:rPr>
          <w:rFonts w:cs="David" w:hint="cs"/>
          <w:sz w:val="28"/>
          <w:szCs w:val="28"/>
          <w:rtl/>
        </w:rPr>
        <w:t xml:space="preserve">. </w:t>
      </w:r>
      <w:r w:rsidR="00F90E27">
        <w:rPr>
          <w:rFonts w:cs="David" w:hint="cs"/>
          <w:sz w:val="28"/>
          <w:szCs w:val="28"/>
          <w:rtl/>
        </w:rPr>
        <w:t xml:space="preserve">יש בכך כדי ליצור עיוות מובנה. אם במבצע "צוק איתן" תקף צה"ל למעלה מ-6,000 מטרות מן האוויר, בעוד שוועדת צוק איתן בחרה לבחון רק </w:t>
      </w:r>
      <w:r w:rsidR="00D74448">
        <w:rPr>
          <w:rFonts w:cs="David" w:hint="cs"/>
          <w:sz w:val="28"/>
          <w:szCs w:val="28"/>
          <w:rtl/>
        </w:rPr>
        <w:t>חמש עשרה</w:t>
      </w:r>
      <w:r w:rsidR="00F90E27">
        <w:rPr>
          <w:rFonts w:cs="David" w:hint="cs"/>
          <w:sz w:val="28"/>
          <w:szCs w:val="28"/>
          <w:rtl/>
        </w:rPr>
        <w:t xml:space="preserve"> מתוכן, בדרך כלל לפי כמות ההרוגים, ברור שיש בכך כדי להוביל למסקנות שגויות לגבי הדרך שבה צה"ל בוחר את מטרותיו ותוקף אותן.</w:t>
      </w:r>
    </w:p>
    <w:p w:rsidR="00E92CA4" w:rsidRDefault="00E92CA4" w:rsidP="008B316C">
      <w:pPr>
        <w:spacing w:after="0" w:line="360" w:lineRule="auto"/>
        <w:jc w:val="both"/>
        <w:rPr>
          <w:rFonts w:cs="David"/>
          <w:sz w:val="28"/>
          <w:szCs w:val="28"/>
          <w:rtl/>
        </w:rPr>
      </w:pPr>
    </w:p>
    <w:p w:rsidR="00F90E27" w:rsidRDefault="00F90E27" w:rsidP="008B316C">
      <w:pPr>
        <w:spacing w:after="0" w:line="360" w:lineRule="auto"/>
        <w:jc w:val="both"/>
        <w:rPr>
          <w:rFonts w:cs="David"/>
          <w:sz w:val="28"/>
          <w:szCs w:val="28"/>
          <w:rtl/>
        </w:rPr>
      </w:pPr>
      <w:r>
        <w:rPr>
          <w:rFonts w:cs="David" w:hint="cs"/>
          <w:sz w:val="28"/>
          <w:szCs w:val="28"/>
          <w:rtl/>
        </w:rPr>
        <w:t xml:space="preserve">פיתרון אפשרי לבעיה זו הוצע בנספח לדוח </w:t>
      </w:r>
      <w:r>
        <w:rPr>
          <w:rFonts w:cs="David" w:hint="cs"/>
          <w:sz w:val="28"/>
          <w:szCs w:val="28"/>
        </w:rPr>
        <w:t>HLMG</w:t>
      </w:r>
      <w:r>
        <w:rPr>
          <w:rFonts w:cs="David" w:hint="cs"/>
          <w:sz w:val="28"/>
          <w:szCs w:val="28"/>
          <w:rtl/>
        </w:rPr>
        <w:t>, אשר נכתב</w:t>
      </w:r>
      <w:r w:rsidR="00692192">
        <w:rPr>
          <w:rFonts w:cs="David" w:hint="cs"/>
          <w:sz w:val="28"/>
          <w:szCs w:val="28"/>
          <w:rtl/>
        </w:rPr>
        <w:t xml:space="preserve"> על ידי </w:t>
      </w:r>
      <w:r>
        <w:rPr>
          <w:rFonts w:cs="David" w:hint="cs"/>
          <w:sz w:val="28"/>
          <w:szCs w:val="28"/>
          <w:rtl/>
        </w:rPr>
        <w:t>צוות מומחים בהובלת אלוף (מיל') גיורא איילנד</w:t>
      </w:r>
      <w:r>
        <w:rPr>
          <w:rStyle w:val="a7"/>
          <w:rFonts w:cs="David"/>
          <w:sz w:val="28"/>
          <w:szCs w:val="28"/>
          <w:rtl/>
        </w:rPr>
        <w:footnoteReference w:id="262"/>
      </w:r>
      <w:r>
        <w:rPr>
          <w:rFonts w:cs="David" w:hint="cs"/>
          <w:sz w:val="28"/>
          <w:szCs w:val="28"/>
          <w:rtl/>
        </w:rPr>
        <w:t>. צוות זה הציע שיטה לבחינת הדרך שבה מתחשבים צבאות בשיקולים הומניטאריים בעת לחימה, בהתבסס על פרמטרים קבועים בשורה ארוכה של עניינים. בסך הכול הציע הצוות 55 פרמטרים לבחינה. בחינה לפי שיטה זו יכולה לסייע בהשוואה בין צבאות שונים, שפועלים במתארי לחימה שונים ואילוצים מגוונים, ולספק הערכה מושכלת באשר למידת הכבוד שהם רוחשים לחיי אזרחים.</w:t>
      </w:r>
    </w:p>
    <w:p w:rsidR="00F90E27" w:rsidRDefault="00F90E27" w:rsidP="008B316C">
      <w:pPr>
        <w:spacing w:after="0" w:line="360" w:lineRule="auto"/>
        <w:jc w:val="both"/>
        <w:rPr>
          <w:rFonts w:cs="David"/>
          <w:sz w:val="28"/>
          <w:szCs w:val="28"/>
          <w:rtl/>
        </w:rPr>
      </w:pPr>
    </w:p>
    <w:p w:rsidR="00BC5059" w:rsidRDefault="00F90E27" w:rsidP="00631DE1">
      <w:pPr>
        <w:spacing w:after="0" w:line="360" w:lineRule="auto"/>
        <w:jc w:val="both"/>
        <w:rPr>
          <w:rFonts w:cs="David"/>
          <w:sz w:val="28"/>
          <w:szCs w:val="28"/>
        </w:rPr>
      </w:pPr>
      <w:r>
        <w:rPr>
          <w:rFonts w:cs="David" w:hint="cs"/>
          <w:sz w:val="28"/>
          <w:szCs w:val="28"/>
          <w:rtl/>
        </w:rPr>
        <w:t>נראה</w:t>
      </w:r>
      <w:r w:rsidR="00631DE1">
        <w:rPr>
          <w:rFonts w:cs="David" w:hint="cs"/>
          <w:sz w:val="28"/>
          <w:szCs w:val="28"/>
          <w:rtl/>
        </w:rPr>
        <w:t>,</w:t>
      </w:r>
      <w:r>
        <w:rPr>
          <w:rFonts w:cs="David" w:hint="cs"/>
          <w:sz w:val="28"/>
          <w:szCs w:val="28"/>
          <w:rtl/>
        </w:rPr>
        <w:t xml:space="preserve"> כי יש ערך רב בקידום מאמצים לאימוצה של מתודולוגיה זו, שתסייע בידי </w:t>
      </w:r>
      <w:r w:rsidR="009F6ED1">
        <w:rPr>
          <w:rFonts w:cs="David" w:hint="cs"/>
          <w:sz w:val="28"/>
          <w:szCs w:val="28"/>
          <w:rtl/>
        </w:rPr>
        <w:t xml:space="preserve">ועדות חקירה </w:t>
      </w:r>
      <w:r>
        <w:rPr>
          <w:rFonts w:cs="David" w:hint="cs"/>
          <w:sz w:val="28"/>
          <w:szCs w:val="28"/>
          <w:rtl/>
        </w:rPr>
        <w:t xml:space="preserve">לבחון מבצעים צבאיים </w:t>
      </w:r>
      <w:r w:rsidR="00B31BC3">
        <w:rPr>
          <w:rFonts w:cs="David" w:hint="cs"/>
          <w:sz w:val="28"/>
          <w:szCs w:val="28"/>
          <w:rtl/>
        </w:rPr>
        <w:t>על פי</w:t>
      </w:r>
      <w:r>
        <w:rPr>
          <w:rFonts w:cs="David" w:hint="cs"/>
          <w:sz w:val="28"/>
          <w:szCs w:val="28"/>
          <w:rtl/>
        </w:rPr>
        <w:t xml:space="preserve"> סטנדרטים ברורים ואחידים בעתיד. </w:t>
      </w:r>
      <w:r w:rsidR="00BC5059">
        <w:rPr>
          <w:rFonts w:cs="David"/>
          <w:sz w:val="28"/>
          <w:szCs w:val="28"/>
          <w:rtl/>
        </w:rPr>
        <w:br w:type="page"/>
      </w:r>
    </w:p>
    <w:p w:rsidR="007011D0" w:rsidRPr="00C22118" w:rsidRDefault="00D44503" w:rsidP="00C22118">
      <w:pPr>
        <w:pStyle w:val="1"/>
        <w:bidi/>
        <w:spacing w:before="0" w:beforeAutospacing="0" w:after="0" w:afterAutospacing="0" w:line="360" w:lineRule="auto"/>
        <w:jc w:val="both"/>
        <w:rPr>
          <w:rFonts w:cs="David"/>
          <w:sz w:val="32"/>
          <w:szCs w:val="32"/>
          <w:rtl/>
        </w:rPr>
      </w:pPr>
      <w:bookmarkStart w:id="67" w:name="_Toc456027339"/>
      <w:r w:rsidRPr="00C22118">
        <w:rPr>
          <w:rFonts w:cs="David" w:hint="cs"/>
          <w:sz w:val="32"/>
          <w:szCs w:val="32"/>
          <w:rtl/>
        </w:rPr>
        <w:lastRenderedPageBreak/>
        <w:t>פרק</w:t>
      </w:r>
      <w:r w:rsidRPr="00C22118">
        <w:rPr>
          <w:rFonts w:cs="David"/>
          <w:sz w:val="32"/>
          <w:szCs w:val="32"/>
          <w:rtl/>
        </w:rPr>
        <w:t xml:space="preserve"> </w:t>
      </w:r>
      <w:r w:rsidR="00D74448" w:rsidRPr="00C22118">
        <w:rPr>
          <w:rFonts w:cs="David" w:hint="cs"/>
          <w:sz w:val="32"/>
          <w:szCs w:val="32"/>
          <w:rtl/>
        </w:rPr>
        <w:t>ו</w:t>
      </w:r>
      <w:r w:rsidRPr="00C22118">
        <w:rPr>
          <w:rFonts w:cs="David"/>
          <w:sz w:val="32"/>
          <w:szCs w:val="32"/>
          <w:rtl/>
        </w:rPr>
        <w:t xml:space="preserve">' - </w:t>
      </w:r>
      <w:r w:rsidRPr="00C22118">
        <w:rPr>
          <w:rFonts w:cs="David" w:hint="cs"/>
          <w:sz w:val="32"/>
          <w:szCs w:val="32"/>
          <w:rtl/>
        </w:rPr>
        <w:t>מנעד</w:t>
      </w:r>
      <w:r w:rsidRPr="00C22118">
        <w:rPr>
          <w:rFonts w:cs="David"/>
          <w:sz w:val="32"/>
          <w:szCs w:val="32"/>
          <w:rtl/>
        </w:rPr>
        <w:t xml:space="preserve"> </w:t>
      </w:r>
      <w:r w:rsidRPr="00C22118">
        <w:rPr>
          <w:rFonts w:cs="David" w:hint="cs"/>
          <w:sz w:val="32"/>
          <w:szCs w:val="32"/>
          <w:rtl/>
        </w:rPr>
        <w:t>האפשרויות</w:t>
      </w:r>
      <w:r w:rsidRPr="00C22118">
        <w:rPr>
          <w:rFonts w:cs="David"/>
          <w:sz w:val="32"/>
          <w:szCs w:val="32"/>
          <w:rtl/>
        </w:rPr>
        <w:t xml:space="preserve"> </w:t>
      </w:r>
      <w:r w:rsidRPr="00C22118">
        <w:rPr>
          <w:rFonts w:cs="David" w:hint="cs"/>
          <w:sz w:val="32"/>
          <w:szCs w:val="32"/>
          <w:rtl/>
        </w:rPr>
        <w:t>לשיתוף</w:t>
      </w:r>
      <w:r w:rsidRPr="00C22118">
        <w:rPr>
          <w:rFonts w:cs="David"/>
          <w:sz w:val="32"/>
          <w:szCs w:val="32"/>
          <w:rtl/>
        </w:rPr>
        <w:t xml:space="preserve"> </w:t>
      </w:r>
      <w:r w:rsidRPr="00C22118">
        <w:rPr>
          <w:rFonts w:cs="David" w:hint="cs"/>
          <w:sz w:val="32"/>
          <w:szCs w:val="32"/>
          <w:rtl/>
        </w:rPr>
        <w:t>פעולה</w:t>
      </w:r>
      <w:r w:rsidRPr="00C22118">
        <w:rPr>
          <w:rFonts w:cs="David"/>
          <w:sz w:val="32"/>
          <w:szCs w:val="32"/>
          <w:rtl/>
        </w:rPr>
        <w:t xml:space="preserve"> </w:t>
      </w:r>
      <w:r w:rsidRPr="00C22118">
        <w:rPr>
          <w:rFonts w:cs="David" w:hint="cs"/>
          <w:sz w:val="32"/>
          <w:szCs w:val="32"/>
          <w:rtl/>
        </w:rPr>
        <w:t>עם</w:t>
      </w:r>
      <w:r w:rsidRPr="00C22118">
        <w:rPr>
          <w:rFonts w:cs="David"/>
          <w:sz w:val="32"/>
          <w:szCs w:val="32"/>
          <w:rtl/>
        </w:rPr>
        <w:t xml:space="preserve"> </w:t>
      </w:r>
      <w:r w:rsidR="009C039C" w:rsidRPr="00C22118">
        <w:rPr>
          <w:rFonts w:cs="David" w:hint="cs"/>
          <w:sz w:val="32"/>
          <w:szCs w:val="32"/>
          <w:rtl/>
        </w:rPr>
        <w:t>ועדת חקירה בינלאומית</w:t>
      </w:r>
      <w:bookmarkEnd w:id="67"/>
    </w:p>
    <w:p w:rsidR="007011D0" w:rsidRDefault="007011D0" w:rsidP="008B316C">
      <w:pPr>
        <w:spacing w:after="0" w:line="360" w:lineRule="auto"/>
        <w:jc w:val="both"/>
        <w:rPr>
          <w:rFonts w:cs="David"/>
          <w:sz w:val="28"/>
          <w:szCs w:val="28"/>
          <w:rtl/>
        </w:rPr>
      </w:pPr>
    </w:p>
    <w:p w:rsidR="00152E06" w:rsidRDefault="00152E06" w:rsidP="008B316C">
      <w:pPr>
        <w:spacing w:after="0" w:line="360" w:lineRule="auto"/>
        <w:jc w:val="both"/>
        <w:rPr>
          <w:rFonts w:cs="David"/>
          <w:sz w:val="28"/>
          <w:szCs w:val="28"/>
          <w:rtl/>
        </w:rPr>
      </w:pPr>
      <w:r>
        <w:rPr>
          <w:rFonts w:cs="David" w:hint="cs"/>
          <w:sz w:val="28"/>
          <w:szCs w:val="28"/>
          <w:rtl/>
        </w:rPr>
        <w:t xml:space="preserve">בפרק זה נבחן מהו מנעד האפשרויות העומד בפני מדינת ישראל </w:t>
      </w:r>
      <w:r w:rsidR="00790BBC">
        <w:rPr>
          <w:rFonts w:cs="David" w:hint="cs"/>
          <w:sz w:val="28"/>
          <w:szCs w:val="28"/>
          <w:rtl/>
        </w:rPr>
        <w:t xml:space="preserve">לגבי אופן שיתוף הפעולה עם </w:t>
      </w:r>
      <w:r w:rsidR="009C039C">
        <w:rPr>
          <w:rFonts w:cs="David" w:hint="cs"/>
          <w:sz w:val="28"/>
          <w:szCs w:val="28"/>
          <w:rtl/>
        </w:rPr>
        <w:t>ועדת חקירה בינלאומית</w:t>
      </w:r>
      <w:r w:rsidR="00790BBC">
        <w:rPr>
          <w:rFonts w:cs="David" w:hint="cs"/>
          <w:sz w:val="28"/>
          <w:szCs w:val="28"/>
          <w:rtl/>
        </w:rPr>
        <w:t>, בהנחה שהיא בוחרת שלא להימנע לחלוטין משיתוף פעולה כזה, בהתאם לשיקולים הפרטניים שנדונו לעיל.</w:t>
      </w:r>
    </w:p>
    <w:p w:rsidR="00152E06" w:rsidRDefault="00152E06" w:rsidP="008B316C">
      <w:pPr>
        <w:spacing w:after="0" w:line="360" w:lineRule="auto"/>
        <w:jc w:val="both"/>
        <w:rPr>
          <w:rFonts w:cs="David"/>
          <w:sz w:val="28"/>
          <w:szCs w:val="28"/>
          <w:rtl/>
        </w:rPr>
      </w:pPr>
    </w:p>
    <w:p w:rsidR="00790BBC" w:rsidRPr="00C22118" w:rsidRDefault="00790BBC" w:rsidP="00C22118">
      <w:pPr>
        <w:pStyle w:val="a9"/>
        <w:numPr>
          <w:ilvl w:val="0"/>
          <w:numId w:val="27"/>
        </w:numPr>
        <w:spacing w:after="0" w:line="360" w:lineRule="auto"/>
        <w:jc w:val="both"/>
        <w:outlineLvl w:val="1"/>
        <w:rPr>
          <w:rFonts w:cs="David"/>
          <w:b/>
          <w:bCs/>
          <w:sz w:val="28"/>
          <w:szCs w:val="28"/>
          <w:rtl/>
        </w:rPr>
      </w:pPr>
      <w:bookmarkStart w:id="68" w:name="_Toc456027340"/>
      <w:r w:rsidRPr="00C22118">
        <w:rPr>
          <w:rFonts w:cs="David" w:hint="cs"/>
          <w:b/>
          <w:bCs/>
          <w:sz w:val="28"/>
          <w:szCs w:val="28"/>
          <w:rtl/>
        </w:rPr>
        <w:t xml:space="preserve">שלב </w:t>
      </w:r>
      <w:r w:rsidR="007011D0" w:rsidRPr="00C22118">
        <w:rPr>
          <w:rFonts w:cs="David" w:hint="cs"/>
          <w:b/>
          <w:bCs/>
          <w:sz w:val="28"/>
          <w:szCs w:val="28"/>
          <w:rtl/>
        </w:rPr>
        <w:t xml:space="preserve">מקדמי </w:t>
      </w:r>
      <w:r w:rsidRPr="00C22118">
        <w:rPr>
          <w:rFonts w:cs="David"/>
          <w:b/>
          <w:bCs/>
          <w:sz w:val="28"/>
          <w:szCs w:val="28"/>
          <w:rtl/>
        </w:rPr>
        <w:t>–</w:t>
      </w:r>
      <w:r w:rsidR="007011D0" w:rsidRPr="00C22118">
        <w:rPr>
          <w:rFonts w:cs="David" w:hint="cs"/>
          <w:b/>
          <w:bCs/>
          <w:sz w:val="28"/>
          <w:szCs w:val="28"/>
          <w:rtl/>
        </w:rPr>
        <w:t xml:space="preserve"> </w:t>
      </w:r>
      <w:r w:rsidRPr="00C22118">
        <w:rPr>
          <w:rFonts w:cs="David" w:hint="cs"/>
          <w:b/>
          <w:bCs/>
          <w:sz w:val="28"/>
          <w:szCs w:val="28"/>
          <w:rtl/>
        </w:rPr>
        <w:t xml:space="preserve">מעורבות בקביעת כללים לעבודת </w:t>
      </w:r>
      <w:r w:rsidR="001165FD" w:rsidRPr="00C22118">
        <w:rPr>
          <w:rFonts w:cs="David" w:hint="cs"/>
          <w:b/>
          <w:bCs/>
          <w:sz w:val="28"/>
          <w:szCs w:val="28"/>
          <w:rtl/>
        </w:rPr>
        <w:t>הוועדה</w:t>
      </w:r>
      <w:bookmarkEnd w:id="68"/>
    </w:p>
    <w:p w:rsidR="00790BBC" w:rsidRDefault="00790BBC" w:rsidP="008B316C">
      <w:pPr>
        <w:spacing w:after="0" w:line="360" w:lineRule="auto"/>
        <w:jc w:val="both"/>
        <w:rPr>
          <w:rFonts w:cs="David"/>
          <w:b/>
          <w:bCs/>
          <w:sz w:val="28"/>
          <w:szCs w:val="28"/>
          <w:rtl/>
        </w:rPr>
      </w:pPr>
    </w:p>
    <w:p w:rsidR="00790BBC" w:rsidRDefault="00790BBC" w:rsidP="00D74448">
      <w:pPr>
        <w:spacing w:after="0" w:line="360" w:lineRule="auto"/>
        <w:jc w:val="both"/>
        <w:rPr>
          <w:rFonts w:cs="David"/>
          <w:sz w:val="28"/>
          <w:szCs w:val="28"/>
          <w:rtl/>
        </w:rPr>
      </w:pPr>
      <w:r>
        <w:rPr>
          <w:rFonts w:cs="David" w:hint="cs"/>
          <w:sz w:val="28"/>
          <w:szCs w:val="28"/>
          <w:rtl/>
        </w:rPr>
        <w:t xml:space="preserve">שלב גיבוש </w:t>
      </w:r>
      <w:r w:rsidR="001165FD">
        <w:rPr>
          <w:rFonts w:cs="David" w:hint="cs"/>
          <w:sz w:val="28"/>
          <w:szCs w:val="28"/>
          <w:rtl/>
        </w:rPr>
        <w:t>הוועדה</w:t>
      </w:r>
      <w:r>
        <w:rPr>
          <w:rFonts w:cs="David" w:hint="cs"/>
          <w:sz w:val="28"/>
          <w:szCs w:val="28"/>
          <w:rtl/>
        </w:rPr>
        <w:t xml:space="preserve"> הוא שלב קריטי שיקבע אם מדינת ישראל תוכל לשתף פעולה עם </w:t>
      </w:r>
      <w:r w:rsidR="001165FD">
        <w:rPr>
          <w:rFonts w:cs="David" w:hint="cs"/>
          <w:sz w:val="28"/>
          <w:szCs w:val="28"/>
          <w:rtl/>
        </w:rPr>
        <w:t>הוועדה</w:t>
      </w:r>
      <w:r>
        <w:rPr>
          <w:rFonts w:cs="David" w:hint="cs"/>
          <w:sz w:val="28"/>
          <w:szCs w:val="28"/>
          <w:rtl/>
        </w:rPr>
        <w:t xml:space="preserve">, אם לאו. </w:t>
      </w:r>
      <w:r w:rsidR="00B665A2">
        <w:rPr>
          <w:rFonts w:cs="David" w:hint="cs"/>
          <w:sz w:val="28"/>
          <w:szCs w:val="28"/>
          <w:rtl/>
        </w:rPr>
        <w:t xml:space="preserve">מדינת ישראל צריכה לבוא בדברים עם הגוף הממנה את </w:t>
      </w:r>
      <w:r w:rsidR="001165FD">
        <w:rPr>
          <w:rFonts w:cs="David" w:hint="cs"/>
          <w:sz w:val="28"/>
          <w:szCs w:val="28"/>
          <w:rtl/>
        </w:rPr>
        <w:t>הוועדה</w:t>
      </w:r>
      <w:r w:rsidR="00B665A2">
        <w:rPr>
          <w:rFonts w:cs="David" w:hint="cs"/>
          <w:sz w:val="28"/>
          <w:szCs w:val="28"/>
          <w:rtl/>
        </w:rPr>
        <w:t xml:space="preserve"> ועם ידידותיה בעולם, על מנת לנסות להשפיע על רכיבים שונים הקשורים לעבודת </w:t>
      </w:r>
      <w:r w:rsidR="001165FD">
        <w:rPr>
          <w:rFonts w:cs="David" w:hint="cs"/>
          <w:sz w:val="28"/>
          <w:szCs w:val="28"/>
          <w:rtl/>
        </w:rPr>
        <w:t>הוועדה</w:t>
      </w:r>
      <w:r w:rsidR="00B665A2">
        <w:rPr>
          <w:rFonts w:cs="David" w:hint="cs"/>
          <w:sz w:val="28"/>
          <w:szCs w:val="28"/>
          <w:rtl/>
        </w:rPr>
        <w:t xml:space="preserve"> באופן שירכך את הסיכונים הכרוכים בשיתוף פעולה עמ</w:t>
      </w:r>
      <w:r w:rsidR="00D74448">
        <w:rPr>
          <w:rFonts w:cs="David" w:hint="cs"/>
          <w:sz w:val="28"/>
          <w:szCs w:val="28"/>
          <w:rtl/>
        </w:rPr>
        <w:t>ה</w:t>
      </w:r>
      <w:r w:rsidR="00B665A2">
        <w:rPr>
          <w:rFonts w:cs="David" w:hint="cs"/>
          <w:sz w:val="28"/>
          <w:szCs w:val="28"/>
          <w:rtl/>
        </w:rPr>
        <w:t xml:space="preserve">. כך, לדוגמה, יש מקום למעורבות בנושא הקריטי של הרכב </w:t>
      </w:r>
      <w:r w:rsidR="001165FD">
        <w:rPr>
          <w:rFonts w:cs="David" w:hint="cs"/>
          <w:sz w:val="28"/>
          <w:szCs w:val="28"/>
          <w:rtl/>
        </w:rPr>
        <w:t>הוועדה</w:t>
      </w:r>
      <w:r w:rsidR="00B665A2">
        <w:rPr>
          <w:rFonts w:cs="David" w:hint="cs"/>
          <w:sz w:val="28"/>
          <w:szCs w:val="28"/>
          <w:rtl/>
        </w:rPr>
        <w:t xml:space="preserve">, כפי שצוין לעיל. לאחר מינוי </w:t>
      </w:r>
      <w:r w:rsidR="001165FD">
        <w:rPr>
          <w:rFonts w:cs="David" w:hint="cs"/>
          <w:sz w:val="28"/>
          <w:szCs w:val="28"/>
          <w:rtl/>
        </w:rPr>
        <w:t>הוועדה</w:t>
      </w:r>
      <w:r w:rsidR="00B665A2">
        <w:rPr>
          <w:rFonts w:cs="David" w:hint="cs"/>
          <w:sz w:val="28"/>
          <w:szCs w:val="28"/>
          <w:rtl/>
        </w:rPr>
        <w:t>, יש</w:t>
      </w:r>
      <w:r w:rsidR="00D23AB2">
        <w:rPr>
          <w:rFonts w:cs="David" w:hint="cs"/>
          <w:sz w:val="28"/>
          <w:szCs w:val="28"/>
          <w:rtl/>
        </w:rPr>
        <w:t xml:space="preserve"> גם</w:t>
      </w:r>
      <w:r w:rsidR="00B665A2">
        <w:rPr>
          <w:rFonts w:cs="David" w:hint="cs"/>
          <w:sz w:val="28"/>
          <w:szCs w:val="28"/>
          <w:rtl/>
        </w:rPr>
        <w:t xml:space="preserve"> מקום לדיון באשר לדרך שבה </w:t>
      </w:r>
      <w:r w:rsidR="00D74448">
        <w:rPr>
          <w:rFonts w:cs="David" w:hint="cs"/>
          <w:sz w:val="28"/>
          <w:szCs w:val="28"/>
          <w:rtl/>
        </w:rPr>
        <w:t>ת</w:t>
      </w:r>
      <w:r w:rsidR="00B665A2">
        <w:rPr>
          <w:rFonts w:cs="David" w:hint="cs"/>
          <w:sz w:val="28"/>
          <w:szCs w:val="28"/>
          <w:rtl/>
        </w:rPr>
        <w:t xml:space="preserve">פרש </w:t>
      </w:r>
      <w:r w:rsidR="001165FD">
        <w:rPr>
          <w:rFonts w:cs="David" w:hint="cs"/>
          <w:sz w:val="28"/>
          <w:szCs w:val="28"/>
          <w:rtl/>
        </w:rPr>
        <w:t>הוועדה</w:t>
      </w:r>
      <w:r w:rsidR="00B665A2">
        <w:rPr>
          <w:rFonts w:cs="David" w:hint="cs"/>
          <w:sz w:val="28"/>
          <w:szCs w:val="28"/>
          <w:rtl/>
        </w:rPr>
        <w:t xml:space="preserve"> את המנדט שניתן בידי</w:t>
      </w:r>
      <w:r w:rsidR="00D74448">
        <w:rPr>
          <w:rFonts w:cs="David" w:hint="cs"/>
          <w:sz w:val="28"/>
          <w:szCs w:val="28"/>
          <w:rtl/>
        </w:rPr>
        <w:t>ה</w:t>
      </w:r>
      <w:r w:rsidR="00B665A2">
        <w:rPr>
          <w:rStyle w:val="a7"/>
          <w:rFonts w:cs="David"/>
          <w:sz w:val="28"/>
          <w:szCs w:val="28"/>
          <w:rtl/>
        </w:rPr>
        <w:footnoteReference w:id="263"/>
      </w:r>
      <w:r w:rsidR="00B665A2">
        <w:rPr>
          <w:rFonts w:cs="David" w:hint="cs"/>
          <w:sz w:val="28"/>
          <w:szCs w:val="28"/>
          <w:rtl/>
        </w:rPr>
        <w:t>.</w:t>
      </w:r>
    </w:p>
    <w:p w:rsidR="00790BBC" w:rsidRDefault="00790BBC" w:rsidP="008B316C">
      <w:pPr>
        <w:spacing w:after="0" w:line="360" w:lineRule="auto"/>
        <w:jc w:val="both"/>
        <w:rPr>
          <w:rFonts w:cs="David"/>
          <w:sz w:val="28"/>
          <w:szCs w:val="28"/>
          <w:rtl/>
        </w:rPr>
      </w:pPr>
    </w:p>
    <w:p w:rsidR="00D23AB2" w:rsidRDefault="00D23AB2" w:rsidP="00BE56F0">
      <w:pPr>
        <w:spacing w:after="0" w:line="360" w:lineRule="auto"/>
        <w:jc w:val="both"/>
        <w:rPr>
          <w:rFonts w:cs="David"/>
          <w:sz w:val="28"/>
          <w:szCs w:val="28"/>
          <w:rtl/>
        </w:rPr>
      </w:pPr>
      <w:r>
        <w:rPr>
          <w:rFonts w:cs="David" w:hint="cs"/>
          <w:sz w:val="28"/>
          <w:szCs w:val="28"/>
          <w:rtl/>
        </w:rPr>
        <w:t xml:space="preserve">חשוב במיוחד לדון עם </w:t>
      </w:r>
      <w:r w:rsidR="001165FD">
        <w:rPr>
          <w:rFonts w:cs="David" w:hint="cs"/>
          <w:sz w:val="28"/>
          <w:szCs w:val="28"/>
          <w:rtl/>
        </w:rPr>
        <w:t>הוועדה</w:t>
      </w:r>
      <w:r>
        <w:rPr>
          <w:rFonts w:cs="David" w:hint="cs"/>
          <w:sz w:val="28"/>
          <w:szCs w:val="28"/>
          <w:rtl/>
        </w:rPr>
        <w:t xml:space="preserve"> לגבי תחום הסמכות של</w:t>
      </w:r>
      <w:r w:rsidR="00BE56F0">
        <w:rPr>
          <w:rFonts w:cs="David" w:hint="cs"/>
          <w:sz w:val="28"/>
          <w:szCs w:val="28"/>
          <w:rtl/>
        </w:rPr>
        <w:t>ה</w:t>
      </w:r>
      <w:r>
        <w:rPr>
          <w:rFonts w:cs="David" w:hint="cs"/>
          <w:sz w:val="28"/>
          <w:szCs w:val="28"/>
          <w:rtl/>
        </w:rPr>
        <w:t xml:space="preserve"> (</w:t>
      </w:r>
      <w:r>
        <w:rPr>
          <w:rFonts w:cs="David"/>
          <w:sz w:val="28"/>
          <w:szCs w:val="28"/>
        </w:rPr>
        <w:t>Terms of Reference</w:t>
      </w:r>
      <w:r>
        <w:rPr>
          <w:rFonts w:cs="David" w:hint="cs"/>
          <w:sz w:val="28"/>
          <w:szCs w:val="28"/>
          <w:rtl/>
        </w:rPr>
        <w:t xml:space="preserve">, להלן </w:t>
      </w:r>
      <w:r>
        <w:rPr>
          <w:rFonts w:cs="David"/>
          <w:sz w:val="28"/>
          <w:szCs w:val="28"/>
          <w:rtl/>
        </w:rPr>
        <w:t>–</w:t>
      </w:r>
      <w:r>
        <w:rPr>
          <w:rFonts w:cs="David" w:hint="cs"/>
          <w:sz w:val="28"/>
          <w:szCs w:val="28"/>
          <w:rtl/>
        </w:rPr>
        <w:t xml:space="preserve"> </w:t>
      </w:r>
      <w:r>
        <w:rPr>
          <w:rFonts w:cs="David" w:hint="cs"/>
          <w:sz w:val="28"/>
          <w:szCs w:val="28"/>
        </w:rPr>
        <w:t>TOR</w:t>
      </w:r>
      <w:r>
        <w:rPr>
          <w:rFonts w:cs="David" w:hint="cs"/>
          <w:sz w:val="28"/>
          <w:szCs w:val="28"/>
          <w:rtl/>
        </w:rPr>
        <w:t>). כך, לדוגמה, ניתן לדון בשלב הזה בנושאים הבאים:</w:t>
      </w:r>
    </w:p>
    <w:p w:rsidR="00D23AB2" w:rsidRDefault="00D23AB2" w:rsidP="008B316C">
      <w:pPr>
        <w:spacing w:after="0" w:line="360" w:lineRule="auto"/>
        <w:jc w:val="both"/>
        <w:rPr>
          <w:rFonts w:cs="David"/>
          <w:sz w:val="28"/>
          <w:szCs w:val="28"/>
          <w:rtl/>
        </w:rPr>
      </w:pPr>
    </w:p>
    <w:p w:rsidR="00D23AB2" w:rsidRDefault="00D23AB2" w:rsidP="00BE56F0">
      <w:pPr>
        <w:pStyle w:val="a9"/>
        <w:numPr>
          <w:ilvl w:val="0"/>
          <w:numId w:val="15"/>
        </w:numPr>
        <w:spacing w:after="0" w:line="360" w:lineRule="auto"/>
        <w:jc w:val="both"/>
        <w:rPr>
          <w:rFonts w:cs="David"/>
          <w:sz w:val="28"/>
          <w:szCs w:val="28"/>
        </w:rPr>
      </w:pPr>
      <w:r>
        <w:rPr>
          <w:rFonts w:cs="David" w:hint="cs"/>
          <w:sz w:val="28"/>
          <w:szCs w:val="28"/>
          <w:rtl/>
        </w:rPr>
        <w:t xml:space="preserve">איזה סוג של שיתוף פעולה </w:t>
      </w:r>
      <w:r w:rsidR="00BE56F0">
        <w:rPr>
          <w:rFonts w:cs="David" w:hint="cs"/>
          <w:sz w:val="28"/>
          <w:szCs w:val="28"/>
          <w:rtl/>
        </w:rPr>
        <w:t>ת</w:t>
      </w:r>
      <w:r>
        <w:rPr>
          <w:rFonts w:cs="David" w:hint="cs"/>
          <w:sz w:val="28"/>
          <w:szCs w:val="28"/>
          <w:rtl/>
        </w:rPr>
        <w:t xml:space="preserve">קבל </w:t>
      </w:r>
      <w:r w:rsidR="001165FD">
        <w:rPr>
          <w:rFonts w:cs="David" w:hint="cs"/>
          <w:sz w:val="28"/>
          <w:szCs w:val="28"/>
          <w:rtl/>
        </w:rPr>
        <w:t>הוועדה</w:t>
      </w:r>
      <w:r>
        <w:rPr>
          <w:rFonts w:cs="David" w:hint="cs"/>
          <w:sz w:val="28"/>
          <w:szCs w:val="28"/>
          <w:rtl/>
        </w:rPr>
        <w:t xml:space="preserve"> ממדינת ישראל? האם תידרש העדתם של קצינים וחיילים?</w:t>
      </w:r>
    </w:p>
    <w:p w:rsidR="00D23AB2" w:rsidRDefault="00D23AB2" w:rsidP="008B316C">
      <w:pPr>
        <w:pStyle w:val="a9"/>
        <w:numPr>
          <w:ilvl w:val="0"/>
          <w:numId w:val="15"/>
        </w:numPr>
        <w:spacing w:after="0" w:line="360" w:lineRule="auto"/>
        <w:jc w:val="both"/>
        <w:rPr>
          <w:rFonts w:cs="David"/>
          <w:sz w:val="28"/>
          <w:szCs w:val="28"/>
        </w:rPr>
      </w:pPr>
      <w:r>
        <w:rPr>
          <w:rFonts w:cs="David" w:hint="cs"/>
          <w:sz w:val="28"/>
          <w:szCs w:val="28"/>
          <w:rtl/>
        </w:rPr>
        <w:t xml:space="preserve">באילו מקומות יבקרו חברי </w:t>
      </w:r>
      <w:r w:rsidR="001165FD">
        <w:rPr>
          <w:rFonts w:cs="David" w:hint="cs"/>
          <w:sz w:val="28"/>
          <w:szCs w:val="28"/>
          <w:rtl/>
        </w:rPr>
        <w:t>הוועדה</w:t>
      </w:r>
      <w:r>
        <w:rPr>
          <w:rFonts w:cs="David" w:hint="cs"/>
          <w:sz w:val="28"/>
          <w:szCs w:val="28"/>
          <w:rtl/>
        </w:rPr>
        <w:t>?</w:t>
      </w:r>
    </w:p>
    <w:p w:rsidR="00D23AB2" w:rsidRDefault="00D23AB2" w:rsidP="00BE56F0">
      <w:pPr>
        <w:pStyle w:val="a9"/>
        <w:numPr>
          <w:ilvl w:val="0"/>
          <w:numId w:val="15"/>
        </w:numPr>
        <w:spacing w:after="0" w:line="360" w:lineRule="auto"/>
        <w:jc w:val="both"/>
        <w:rPr>
          <w:rFonts w:cs="David"/>
          <w:sz w:val="28"/>
          <w:szCs w:val="28"/>
        </w:rPr>
      </w:pPr>
      <w:r>
        <w:rPr>
          <w:rFonts w:cs="David" w:hint="cs"/>
          <w:sz w:val="28"/>
          <w:szCs w:val="28"/>
          <w:rtl/>
        </w:rPr>
        <w:t xml:space="preserve">אילו אירועים </w:t>
      </w:r>
      <w:r w:rsidR="00BE56F0">
        <w:rPr>
          <w:rFonts w:cs="David" w:hint="cs"/>
          <w:sz w:val="28"/>
          <w:szCs w:val="28"/>
          <w:rtl/>
        </w:rPr>
        <w:t>ת</w:t>
      </w:r>
      <w:r>
        <w:rPr>
          <w:rFonts w:cs="David" w:hint="cs"/>
          <w:sz w:val="28"/>
          <w:szCs w:val="28"/>
          <w:rtl/>
        </w:rPr>
        <w:t xml:space="preserve">בחן </w:t>
      </w:r>
      <w:r w:rsidR="001165FD">
        <w:rPr>
          <w:rFonts w:cs="David" w:hint="cs"/>
          <w:sz w:val="28"/>
          <w:szCs w:val="28"/>
          <w:rtl/>
        </w:rPr>
        <w:t>הוועדה</w:t>
      </w:r>
      <w:r>
        <w:rPr>
          <w:rFonts w:cs="David" w:hint="cs"/>
          <w:sz w:val="28"/>
          <w:szCs w:val="28"/>
          <w:rtl/>
        </w:rPr>
        <w:t xml:space="preserve"> בפעולת כל אחד מהצדדים</w:t>
      </w:r>
      <w:r w:rsidR="00026A0A">
        <w:rPr>
          <w:rFonts w:cs="David" w:hint="cs"/>
          <w:sz w:val="28"/>
          <w:szCs w:val="28"/>
          <w:rtl/>
        </w:rPr>
        <w:t xml:space="preserve">, בהתחשב במגבלות הזמן והמשאבים של </w:t>
      </w:r>
      <w:r w:rsidR="001165FD">
        <w:rPr>
          <w:rFonts w:cs="David" w:hint="cs"/>
          <w:sz w:val="28"/>
          <w:szCs w:val="28"/>
          <w:rtl/>
        </w:rPr>
        <w:t>הוועדה</w:t>
      </w:r>
      <w:r>
        <w:rPr>
          <w:rFonts w:cs="David" w:hint="cs"/>
          <w:sz w:val="28"/>
          <w:szCs w:val="28"/>
          <w:rtl/>
        </w:rPr>
        <w:t>?</w:t>
      </w:r>
    </w:p>
    <w:p w:rsidR="00D23AB2" w:rsidRDefault="00D23AB2" w:rsidP="00BE56F0">
      <w:pPr>
        <w:pStyle w:val="a9"/>
        <w:numPr>
          <w:ilvl w:val="0"/>
          <w:numId w:val="15"/>
        </w:numPr>
        <w:spacing w:after="0" w:line="360" w:lineRule="auto"/>
        <w:jc w:val="both"/>
        <w:rPr>
          <w:rFonts w:cs="David"/>
          <w:sz w:val="28"/>
          <w:szCs w:val="28"/>
        </w:rPr>
      </w:pPr>
      <w:r>
        <w:rPr>
          <w:rFonts w:cs="David" w:hint="cs"/>
          <w:sz w:val="28"/>
          <w:szCs w:val="28"/>
          <w:rtl/>
        </w:rPr>
        <w:t xml:space="preserve">איך תובטח שמירת הסודיות של </w:t>
      </w:r>
      <w:r w:rsidR="001165FD">
        <w:rPr>
          <w:rFonts w:cs="David" w:hint="cs"/>
          <w:sz w:val="28"/>
          <w:szCs w:val="28"/>
          <w:rtl/>
        </w:rPr>
        <w:t>הוועדה</w:t>
      </w:r>
      <w:r>
        <w:rPr>
          <w:rFonts w:cs="David" w:hint="cs"/>
          <w:sz w:val="28"/>
          <w:szCs w:val="28"/>
          <w:rtl/>
        </w:rPr>
        <w:t>? איך יטופל חומר רגיש שמועבר לידי</w:t>
      </w:r>
      <w:r w:rsidR="00BE56F0">
        <w:rPr>
          <w:rFonts w:cs="David" w:hint="cs"/>
          <w:sz w:val="28"/>
          <w:szCs w:val="28"/>
          <w:rtl/>
        </w:rPr>
        <w:t>ה</w:t>
      </w:r>
      <w:r>
        <w:rPr>
          <w:rFonts w:cs="David" w:hint="cs"/>
          <w:sz w:val="28"/>
          <w:szCs w:val="28"/>
          <w:rtl/>
        </w:rPr>
        <w:t>?</w:t>
      </w:r>
    </w:p>
    <w:p w:rsidR="00D23AB2" w:rsidRDefault="00026A0A" w:rsidP="00BE56F0">
      <w:pPr>
        <w:pStyle w:val="a9"/>
        <w:numPr>
          <w:ilvl w:val="0"/>
          <w:numId w:val="15"/>
        </w:numPr>
        <w:spacing w:after="0" w:line="360" w:lineRule="auto"/>
        <w:jc w:val="both"/>
        <w:rPr>
          <w:rFonts w:cs="David"/>
          <w:sz w:val="28"/>
          <w:szCs w:val="28"/>
        </w:rPr>
      </w:pPr>
      <w:r>
        <w:rPr>
          <w:rFonts w:cs="David" w:hint="cs"/>
          <w:sz w:val="28"/>
          <w:szCs w:val="28"/>
          <w:rtl/>
        </w:rPr>
        <w:t>מה יהיה סטנדרט ההוכחה ש</w:t>
      </w:r>
      <w:r w:rsidR="00BE56F0">
        <w:rPr>
          <w:rFonts w:cs="David" w:hint="cs"/>
          <w:sz w:val="28"/>
          <w:szCs w:val="28"/>
          <w:rtl/>
        </w:rPr>
        <w:t>ת</w:t>
      </w:r>
      <w:r>
        <w:rPr>
          <w:rFonts w:cs="David" w:hint="cs"/>
          <w:sz w:val="28"/>
          <w:szCs w:val="28"/>
          <w:rtl/>
        </w:rPr>
        <w:t xml:space="preserve">חיל </w:t>
      </w:r>
      <w:r w:rsidR="001165FD">
        <w:rPr>
          <w:rFonts w:cs="David" w:hint="cs"/>
          <w:sz w:val="28"/>
          <w:szCs w:val="28"/>
          <w:rtl/>
        </w:rPr>
        <w:t>הוועדה</w:t>
      </w:r>
      <w:r>
        <w:rPr>
          <w:rFonts w:cs="David" w:hint="cs"/>
          <w:sz w:val="28"/>
          <w:szCs w:val="28"/>
          <w:rtl/>
        </w:rPr>
        <w:t xml:space="preserve"> על פעולת</w:t>
      </w:r>
      <w:r w:rsidR="00BE56F0">
        <w:rPr>
          <w:rFonts w:cs="David" w:hint="cs"/>
          <w:sz w:val="28"/>
          <w:szCs w:val="28"/>
          <w:rtl/>
        </w:rPr>
        <w:t>ה</w:t>
      </w:r>
      <w:r>
        <w:rPr>
          <w:rFonts w:cs="David" w:hint="cs"/>
          <w:sz w:val="28"/>
          <w:szCs w:val="28"/>
          <w:rtl/>
        </w:rPr>
        <w:t xml:space="preserve"> וכיצד זה ישפיע על אופן ניסוח הקביעות של</w:t>
      </w:r>
      <w:r w:rsidR="00BE56F0">
        <w:rPr>
          <w:rFonts w:cs="David" w:hint="cs"/>
          <w:sz w:val="28"/>
          <w:szCs w:val="28"/>
          <w:rtl/>
        </w:rPr>
        <w:t>ה</w:t>
      </w:r>
      <w:r>
        <w:rPr>
          <w:rFonts w:cs="David" w:hint="cs"/>
          <w:sz w:val="28"/>
          <w:szCs w:val="28"/>
          <w:rtl/>
        </w:rPr>
        <w:t>?</w:t>
      </w:r>
    </w:p>
    <w:p w:rsidR="00026A0A" w:rsidRDefault="00026A0A" w:rsidP="00BE56F0">
      <w:pPr>
        <w:pStyle w:val="a9"/>
        <w:numPr>
          <w:ilvl w:val="0"/>
          <w:numId w:val="15"/>
        </w:numPr>
        <w:spacing w:after="0" w:line="360" w:lineRule="auto"/>
        <w:jc w:val="both"/>
        <w:rPr>
          <w:rFonts w:cs="David"/>
          <w:sz w:val="28"/>
          <w:szCs w:val="28"/>
        </w:rPr>
      </w:pPr>
      <w:r>
        <w:rPr>
          <w:rFonts w:cs="David" w:hint="cs"/>
          <w:sz w:val="28"/>
          <w:szCs w:val="28"/>
          <w:rtl/>
        </w:rPr>
        <w:t xml:space="preserve">מאיזה תחום משפטי </w:t>
      </w:r>
      <w:r w:rsidR="00BE56F0">
        <w:rPr>
          <w:rFonts w:cs="David" w:hint="cs"/>
          <w:sz w:val="28"/>
          <w:szCs w:val="28"/>
          <w:rtl/>
        </w:rPr>
        <w:t>ת</w:t>
      </w:r>
      <w:r>
        <w:rPr>
          <w:rFonts w:cs="David" w:hint="cs"/>
          <w:sz w:val="28"/>
          <w:szCs w:val="28"/>
          <w:rtl/>
        </w:rPr>
        <w:t xml:space="preserve">שאב </w:t>
      </w:r>
      <w:r w:rsidR="001165FD">
        <w:rPr>
          <w:rFonts w:cs="David" w:hint="cs"/>
          <w:sz w:val="28"/>
          <w:szCs w:val="28"/>
          <w:rtl/>
        </w:rPr>
        <w:t>הוועדה</w:t>
      </w:r>
      <w:r>
        <w:rPr>
          <w:rFonts w:cs="David" w:hint="cs"/>
          <w:sz w:val="28"/>
          <w:szCs w:val="28"/>
          <w:rtl/>
        </w:rPr>
        <w:t xml:space="preserve"> את הנורמות שה</w:t>
      </w:r>
      <w:r w:rsidR="00BE56F0">
        <w:rPr>
          <w:rFonts w:cs="David" w:hint="cs"/>
          <w:sz w:val="28"/>
          <w:szCs w:val="28"/>
          <w:rtl/>
        </w:rPr>
        <w:t>י</w:t>
      </w:r>
      <w:r>
        <w:rPr>
          <w:rFonts w:cs="David" w:hint="cs"/>
          <w:sz w:val="28"/>
          <w:szCs w:val="28"/>
          <w:rtl/>
        </w:rPr>
        <w:t>א מחיל</w:t>
      </w:r>
      <w:r w:rsidR="00BE56F0">
        <w:rPr>
          <w:rFonts w:cs="David" w:hint="cs"/>
          <w:sz w:val="28"/>
          <w:szCs w:val="28"/>
          <w:rtl/>
        </w:rPr>
        <w:t>ה</w:t>
      </w:r>
      <w:r>
        <w:rPr>
          <w:rFonts w:cs="David" w:hint="cs"/>
          <w:sz w:val="28"/>
          <w:szCs w:val="28"/>
          <w:rtl/>
        </w:rPr>
        <w:t xml:space="preserve"> על קביעותי</w:t>
      </w:r>
      <w:r w:rsidR="00BE56F0">
        <w:rPr>
          <w:rFonts w:cs="David" w:hint="cs"/>
          <w:sz w:val="28"/>
          <w:szCs w:val="28"/>
          <w:rtl/>
        </w:rPr>
        <w:t>ה</w:t>
      </w:r>
      <w:r>
        <w:rPr>
          <w:rFonts w:cs="David" w:hint="cs"/>
          <w:sz w:val="28"/>
          <w:szCs w:val="28"/>
          <w:rtl/>
        </w:rPr>
        <w:t>?</w:t>
      </w:r>
    </w:p>
    <w:p w:rsidR="00026A0A" w:rsidRDefault="00026A0A" w:rsidP="00BE56F0">
      <w:pPr>
        <w:pStyle w:val="a9"/>
        <w:numPr>
          <w:ilvl w:val="0"/>
          <w:numId w:val="15"/>
        </w:numPr>
        <w:spacing w:after="0" w:line="360" w:lineRule="auto"/>
        <w:jc w:val="both"/>
        <w:rPr>
          <w:rFonts w:cs="David"/>
          <w:sz w:val="28"/>
          <w:szCs w:val="28"/>
        </w:rPr>
      </w:pPr>
      <w:r>
        <w:rPr>
          <w:rFonts w:cs="David" w:hint="cs"/>
          <w:sz w:val="28"/>
          <w:szCs w:val="28"/>
          <w:rtl/>
        </w:rPr>
        <w:lastRenderedPageBreak/>
        <w:t xml:space="preserve">באילו מומחים </w:t>
      </w:r>
      <w:r w:rsidR="00BE56F0">
        <w:rPr>
          <w:rFonts w:cs="David" w:hint="cs"/>
          <w:sz w:val="28"/>
          <w:szCs w:val="28"/>
          <w:rtl/>
        </w:rPr>
        <w:t>ת</w:t>
      </w:r>
      <w:r>
        <w:rPr>
          <w:rFonts w:cs="David" w:hint="cs"/>
          <w:sz w:val="28"/>
          <w:szCs w:val="28"/>
          <w:rtl/>
        </w:rPr>
        <w:t xml:space="preserve">יעזר </w:t>
      </w:r>
      <w:r w:rsidR="001165FD">
        <w:rPr>
          <w:rFonts w:cs="David" w:hint="cs"/>
          <w:sz w:val="28"/>
          <w:szCs w:val="28"/>
          <w:rtl/>
        </w:rPr>
        <w:t>הוועדה</w:t>
      </w:r>
      <w:r>
        <w:rPr>
          <w:rFonts w:cs="David" w:hint="cs"/>
          <w:sz w:val="28"/>
          <w:szCs w:val="28"/>
          <w:rtl/>
        </w:rPr>
        <w:t xml:space="preserve"> בהערכת הראיות ש</w:t>
      </w:r>
      <w:r w:rsidR="00BE56F0">
        <w:rPr>
          <w:rFonts w:cs="David" w:hint="cs"/>
          <w:sz w:val="28"/>
          <w:szCs w:val="28"/>
          <w:rtl/>
        </w:rPr>
        <w:t>ת</w:t>
      </w:r>
      <w:r>
        <w:rPr>
          <w:rFonts w:cs="David" w:hint="cs"/>
          <w:sz w:val="28"/>
          <w:szCs w:val="28"/>
          <w:rtl/>
        </w:rPr>
        <w:t>אסוף?</w:t>
      </w:r>
    </w:p>
    <w:p w:rsidR="007011D0" w:rsidRDefault="00D23AB2" w:rsidP="00BE56F0">
      <w:pPr>
        <w:pStyle w:val="a9"/>
        <w:numPr>
          <w:ilvl w:val="0"/>
          <w:numId w:val="15"/>
        </w:numPr>
        <w:spacing w:after="0" w:line="360" w:lineRule="auto"/>
        <w:jc w:val="both"/>
        <w:rPr>
          <w:rFonts w:cs="David"/>
          <w:sz w:val="28"/>
          <w:szCs w:val="28"/>
        </w:rPr>
      </w:pPr>
      <w:r w:rsidRPr="00D23AB2">
        <w:rPr>
          <w:rFonts w:cs="David" w:hint="cs"/>
          <w:sz w:val="28"/>
          <w:szCs w:val="28"/>
          <w:rtl/>
        </w:rPr>
        <w:t xml:space="preserve">מה </w:t>
      </w:r>
      <w:r w:rsidR="007011D0" w:rsidRPr="00D23AB2">
        <w:rPr>
          <w:rFonts w:cs="David" w:hint="cs"/>
          <w:sz w:val="28"/>
          <w:szCs w:val="28"/>
          <w:rtl/>
        </w:rPr>
        <w:t xml:space="preserve">המדיניות התקשורתית </w:t>
      </w:r>
      <w:r>
        <w:rPr>
          <w:rFonts w:cs="David" w:hint="cs"/>
          <w:sz w:val="28"/>
          <w:szCs w:val="28"/>
          <w:rtl/>
        </w:rPr>
        <w:t xml:space="preserve">של </w:t>
      </w:r>
      <w:r w:rsidR="001165FD">
        <w:rPr>
          <w:rFonts w:cs="David" w:hint="cs"/>
          <w:sz w:val="28"/>
          <w:szCs w:val="28"/>
          <w:rtl/>
        </w:rPr>
        <w:t>הוועדה</w:t>
      </w:r>
      <w:r>
        <w:rPr>
          <w:rFonts w:cs="David" w:hint="cs"/>
          <w:sz w:val="28"/>
          <w:szCs w:val="28"/>
          <w:rtl/>
        </w:rPr>
        <w:t>? מה אופי עדכוני הביניים שה</w:t>
      </w:r>
      <w:r w:rsidR="00BE56F0">
        <w:rPr>
          <w:rFonts w:cs="David" w:hint="cs"/>
          <w:sz w:val="28"/>
          <w:szCs w:val="28"/>
          <w:rtl/>
        </w:rPr>
        <w:t>י</w:t>
      </w:r>
      <w:r>
        <w:rPr>
          <w:rFonts w:cs="David" w:hint="cs"/>
          <w:sz w:val="28"/>
          <w:szCs w:val="28"/>
          <w:rtl/>
        </w:rPr>
        <w:t xml:space="preserve">א </w:t>
      </w:r>
      <w:r w:rsidR="00BE56F0">
        <w:rPr>
          <w:rFonts w:cs="David" w:hint="cs"/>
          <w:sz w:val="28"/>
          <w:szCs w:val="28"/>
          <w:rtl/>
        </w:rPr>
        <w:t>ת</w:t>
      </w:r>
      <w:r>
        <w:rPr>
          <w:rFonts w:cs="David" w:hint="cs"/>
          <w:sz w:val="28"/>
          <w:szCs w:val="28"/>
          <w:rtl/>
        </w:rPr>
        <w:t>וציא לתקשורת לגבי פעילות</w:t>
      </w:r>
      <w:r w:rsidR="00BE56F0">
        <w:rPr>
          <w:rFonts w:cs="David" w:hint="cs"/>
          <w:sz w:val="28"/>
          <w:szCs w:val="28"/>
          <w:rtl/>
        </w:rPr>
        <w:t>ה</w:t>
      </w:r>
      <w:r>
        <w:rPr>
          <w:rFonts w:cs="David" w:hint="cs"/>
          <w:sz w:val="28"/>
          <w:szCs w:val="28"/>
          <w:rtl/>
        </w:rPr>
        <w:t>? האם יכול</w:t>
      </w:r>
      <w:r w:rsidR="00BE56F0">
        <w:rPr>
          <w:rFonts w:cs="David" w:hint="cs"/>
          <w:sz w:val="28"/>
          <w:szCs w:val="28"/>
          <w:rtl/>
        </w:rPr>
        <w:t>ה</w:t>
      </w:r>
      <w:r>
        <w:rPr>
          <w:rFonts w:cs="David" w:hint="cs"/>
          <w:sz w:val="28"/>
          <w:szCs w:val="28"/>
          <w:rtl/>
        </w:rPr>
        <w:t xml:space="preserve"> להיות בהם </w:t>
      </w:r>
      <w:r w:rsidR="00BE56F0">
        <w:rPr>
          <w:rFonts w:cs="David" w:hint="cs"/>
          <w:sz w:val="28"/>
          <w:szCs w:val="28"/>
          <w:rtl/>
        </w:rPr>
        <w:t>נימה מאשימה</w:t>
      </w:r>
      <w:r>
        <w:rPr>
          <w:rFonts w:cs="David" w:hint="cs"/>
          <w:sz w:val="28"/>
          <w:szCs w:val="28"/>
          <w:rtl/>
        </w:rPr>
        <w:t xml:space="preserve"> עוד טרם פרסום הדוח?</w:t>
      </w:r>
    </w:p>
    <w:p w:rsidR="00D23AB2" w:rsidRDefault="00D23AB2" w:rsidP="00BE56F0">
      <w:pPr>
        <w:pStyle w:val="a9"/>
        <w:numPr>
          <w:ilvl w:val="0"/>
          <w:numId w:val="15"/>
        </w:numPr>
        <w:spacing w:after="0" w:line="360" w:lineRule="auto"/>
        <w:jc w:val="both"/>
        <w:rPr>
          <w:rFonts w:cs="David"/>
          <w:sz w:val="28"/>
          <w:szCs w:val="28"/>
        </w:rPr>
      </w:pPr>
      <w:r w:rsidRPr="00D23AB2">
        <w:rPr>
          <w:rFonts w:cs="David" w:hint="cs"/>
          <w:sz w:val="28"/>
          <w:szCs w:val="28"/>
          <w:rtl/>
        </w:rPr>
        <w:t xml:space="preserve">איזה סוג המלצות </w:t>
      </w:r>
      <w:r w:rsidR="00BE56F0">
        <w:rPr>
          <w:rFonts w:cs="David" w:hint="cs"/>
          <w:sz w:val="28"/>
          <w:szCs w:val="28"/>
          <w:rtl/>
        </w:rPr>
        <w:t>ת</w:t>
      </w:r>
      <w:r w:rsidRPr="00D23AB2">
        <w:rPr>
          <w:rFonts w:cs="David" w:hint="cs"/>
          <w:sz w:val="28"/>
          <w:szCs w:val="28"/>
          <w:rtl/>
        </w:rPr>
        <w:t xml:space="preserve">כתוב </w:t>
      </w:r>
      <w:r w:rsidR="001165FD">
        <w:rPr>
          <w:rFonts w:cs="David" w:hint="cs"/>
          <w:sz w:val="28"/>
          <w:szCs w:val="28"/>
          <w:rtl/>
        </w:rPr>
        <w:t>הוועדה</w:t>
      </w:r>
      <w:r w:rsidRPr="00D23AB2">
        <w:rPr>
          <w:rFonts w:cs="David" w:hint="cs"/>
          <w:sz w:val="28"/>
          <w:szCs w:val="28"/>
          <w:rtl/>
        </w:rPr>
        <w:t>? האם קביעותי</w:t>
      </w:r>
      <w:r w:rsidR="00BE56F0">
        <w:rPr>
          <w:rFonts w:cs="David" w:hint="cs"/>
          <w:sz w:val="28"/>
          <w:szCs w:val="28"/>
          <w:rtl/>
        </w:rPr>
        <w:t>ה</w:t>
      </w:r>
      <w:r w:rsidRPr="00D23AB2">
        <w:rPr>
          <w:rFonts w:cs="David" w:hint="cs"/>
          <w:sz w:val="28"/>
          <w:szCs w:val="28"/>
          <w:rtl/>
        </w:rPr>
        <w:t xml:space="preserve"> תהיינה בעלות אופי משפטי? האם הן יתייחסו גם לאנשים ספציפיים ויציעו "תרגום משפטי" לפעולות שביצעו</w:t>
      </w:r>
      <w:r>
        <w:rPr>
          <w:rFonts w:cs="David" w:hint="cs"/>
          <w:sz w:val="28"/>
          <w:szCs w:val="28"/>
          <w:rtl/>
        </w:rPr>
        <w:t xml:space="preserve"> ולאחריות שנובעת מהן</w:t>
      </w:r>
      <w:r w:rsidRPr="00D23AB2">
        <w:rPr>
          <w:rFonts w:cs="David" w:hint="cs"/>
          <w:sz w:val="28"/>
          <w:szCs w:val="28"/>
          <w:rtl/>
        </w:rPr>
        <w:t>?</w:t>
      </w:r>
    </w:p>
    <w:p w:rsidR="004E6E55" w:rsidRDefault="004E6E55" w:rsidP="00BE56F0">
      <w:pPr>
        <w:pStyle w:val="a9"/>
        <w:numPr>
          <w:ilvl w:val="0"/>
          <w:numId w:val="15"/>
        </w:numPr>
        <w:spacing w:after="0" w:line="360" w:lineRule="auto"/>
        <w:jc w:val="both"/>
        <w:rPr>
          <w:rFonts w:cs="David"/>
          <w:sz w:val="28"/>
          <w:szCs w:val="28"/>
        </w:rPr>
      </w:pPr>
      <w:r>
        <w:rPr>
          <w:rFonts w:cs="David" w:hint="cs"/>
          <w:sz w:val="28"/>
          <w:szCs w:val="28"/>
          <w:rtl/>
        </w:rPr>
        <w:t xml:space="preserve">האם </w:t>
      </w:r>
      <w:r w:rsidR="001165FD">
        <w:rPr>
          <w:rFonts w:cs="David" w:hint="cs"/>
          <w:sz w:val="28"/>
          <w:szCs w:val="28"/>
          <w:rtl/>
        </w:rPr>
        <w:t>הוועדה</w:t>
      </w:r>
      <w:r>
        <w:rPr>
          <w:rFonts w:cs="David" w:hint="cs"/>
          <w:sz w:val="28"/>
          <w:szCs w:val="28"/>
          <w:rtl/>
        </w:rPr>
        <w:t xml:space="preserve"> </w:t>
      </w:r>
      <w:r w:rsidR="00BE56F0">
        <w:rPr>
          <w:rFonts w:cs="David" w:hint="cs"/>
          <w:sz w:val="28"/>
          <w:szCs w:val="28"/>
          <w:rtl/>
        </w:rPr>
        <w:t>ת</w:t>
      </w:r>
      <w:r>
        <w:rPr>
          <w:rFonts w:cs="David" w:hint="cs"/>
          <w:sz w:val="28"/>
          <w:szCs w:val="28"/>
          <w:rtl/>
        </w:rPr>
        <w:t>עביר את טיוטת הדוח של</w:t>
      </w:r>
      <w:r w:rsidR="00BE56F0">
        <w:rPr>
          <w:rFonts w:cs="David" w:hint="cs"/>
          <w:sz w:val="28"/>
          <w:szCs w:val="28"/>
          <w:rtl/>
        </w:rPr>
        <w:t>ה</w:t>
      </w:r>
      <w:r>
        <w:rPr>
          <w:rFonts w:cs="David" w:hint="cs"/>
          <w:sz w:val="28"/>
          <w:szCs w:val="28"/>
          <w:rtl/>
        </w:rPr>
        <w:t xml:space="preserve"> לעיון ולהערות של מדינת ישראל? כמה זמן יינתן למדינת ישראל לשם כך? באיזה אופן ייבחנו ההערות שיועברו?</w:t>
      </w:r>
    </w:p>
    <w:p w:rsidR="007011D0" w:rsidRPr="00D23AB2" w:rsidRDefault="00D23AB2" w:rsidP="008B316C">
      <w:pPr>
        <w:pStyle w:val="a9"/>
        <w:numPr>
          <w:ilvl w:val="0"/>
          <w:numId w:val="15"/>
        </w:numPr>
        <w:spacing w:after="0" w:line="360" w:lineRule="auto"/>
        <w:jc w:val="both"/>
        <w:rPr>
          <w:rFonts w:cs="David"/>
          <w:sz w:val="28"/>
          <w:szCs w:val="28"/>
          <w:rtl/>
        </w:rPr>
      </w:pPr>
      <w:r>
        <w:rPr>
          <w:rFonts w:cs="David" w:hint="cs"/>
          <w:sz w:val="28"/>
          <w:szCs w:val="28"/>
          <w:rtl/>
        </w:rPr>
        <w:t xml:space="preserve">מהם </w:t>
      </w:r>
      <w:r w:rsidR="007011D0" w:rsidRPr="00D23AB2">
        <w:rPr>
          <w:rFonts w:cs="David" w:hint="cs"/>
          <w:sz w:val="28"/>
          <w:szCs w:val="28"/>
          <w:rtl/>
        </w:rPr>
        <w:t xml:space="preserve">מנגנוני </w:t>
      </w:r>
      <w:r>
        <w:rPr>
          <w:rFonts w:cs="David" w:hint="cs"/>
          <w:sz w:val="28"/>
          <w:szCs w:val="28"/>
          <w:rtl/>
        </w:rPr>
        <w:t>ה</w:t>
      </w:r>
      <w:r w:rsidR="007011D0" w:rsidRPr="00D23AB2">
        <w:rPr>
          <w:rFonts w:cs="David" w:hint="cs"/>
          <w:sz w:val="28"/>
          <w:szCs w:val="28"/>
          <w:rtl/>
        </w:rPr>
        <w:t xml:space="preserve">מעקב </w:t>
      </w:r>
      <w:r w:rsidR="00BE56F0">
        <w:rPr>
          <w:rFonts w:cs="David" w:hint="cs"/>
          <w:sz w:val="28"/>
          <w:szCs w:val="28"/>
          <w:rtl/>
        </w:rPr>
        <w:t>עליהם ת</w:t>
      </w:r>
      <w:r>
        <w:rPr>
          <w:rFonts w:cs="David" w:hint="cs"/>
          <w:sz w:val="28"/>
          <w:szCs w:val="28"/>
          <w:rtl/>
        </w:rPr>
        <w:t xml:space="preserve">מליץ </w:t>
      </w:r>
      <w:r w:rsidR="001165FD">
        <w:rPr>
          <w:rFonts w:cs="David" w:hint="cs"/>
          <w:sz w:val="28"/>
          <w:szCs w:val="28"/>
          <w:rtl/>
        </w:rPr>
        <w:t>הוועדה</w:t>
      </w:r>
      <w:r w:rsidR="00BE56F0">
        <w:rPr>
          <w:rFonts w:cs="David" w:hint="cs"/>
          <w:sz w:val="28"/>
          <w:szCs w:val="28"/>
          <w:rtl/>
        </w:rPr>
        <w:t xml:space="preserve"> בעקבות בדיקתה</w:t>
      </w:r>
      <w:r>
        <w:rPr>
          <w:rFonts w:cs="David" w:hint="cs"/>
          <w:sz w:val="28"/>
          <w:szCs w:val="28"/>
          <w:rtl/>
        </w:rPr>
        <w:t>?</w:t>
      </w:r>
    </w:p>
    <w:p w:rsidR="007011D0" w:rsidRDefault="007011D0" w:rsidP="008B316C">
      <w:pPr>
        <w:spacing w:after="0" w:line="360" w:lineRule="auto"/>
        <w:jc w:val="both"/>
        <w:rPr>
          <w:rFonts w:cs="David"/>
          <w:sz w:val="28"/>
          <w:szCs w:val="28"/>
          <w:rtl/>
        </w:rPr>
      </w:pPr>
    </w:p>
    <w:p w:rsidR="007011D0" w:rsidRDefault="00026A0A" w:rsidP="008B316C">
      <w:pPr>
        <w:spacing w:after="0" w:line="360" w:lineRule="auto"/>
        <w:jc w:val="both"/>
        <w:rPr>
          <w:rFonts w:cs="David"/>
          <w:sz w:val="28"/>
          <w:szCs w:val="28"/>
          <w:rtl/>
        </w:rPr>
      </w:pPr>
      <w:r>
        <w:rPr>
          <w:rFonts w:cs="David" w:hint="cs"/>
          <w:sz w:val="28"/>
          <w:szCs w:val="28"/>
          <w:rtl/>
        </w:rPr>
        <w:t xml:space="preserve">בתום השלב המקדמי ובהתאם להחלטות שהתקבלו במהלכו, יש להעריך את המצב ולקבל החלטה באשר לפורמט המתאים </w:t>
      </w:r>
      <w:r w:rsidR="004E6E55">
        <w:rPr>
          <w:rFonts w:cs="David" w:hint="cs"/>
          <w:sz w:val="28"/>
          <w:szCs w:val="28"/>
          <w:rtl/>
        </w:rPr>
        <w:t xml:space="preserve">לשיתוף הפעולה עם </w:t>
      </w:r>
      <w:r w:rsidR="001165FD">
        <w:rPr>
          <w:rFonts w:cs="David" w:hint="cs"/>
          <w:sz w:val="28"/>
          <w:szCs w:val="28"/>
          <w:rtl/>
        </w:rPr>
        <w:t>הוועדה</w:t>
      </w:r>
      <w:r w:rsidR="004E6E55">
        <w:rPr>
          <w:rFonts w:cs="David" w:hint="cs"/>
          <w:sz w:val="28"/>
          <w:szCs w:val="28"/>
          <w:rtl/>
        </w:rPr>
        <w:t>, אם בכלל.</w:t>
      </w:r>
      <w:r w:rsidR="002315FE">
        <w:rPr>
          <w:rFonts w:cs="David" w:hint="cs"/>
          <w:sz w:val="28"/>
          <w:szCs w:val="28"/>
          <w:rtl/>
        </w:rPr>
        <w:t xml:space="preserve"> נסקור להלן בקצרה כמה פורמטים אפשריים.</w:t>
      </w:r>
    </w:p>
    <w:p w:rsidR="00340957" w:rsidRDefault="00340957" w:rsidP="008B316C">
      <w:pPr>
        <w:spacing w:after="0" w:line="360" w:lineRule="auto"/>
        <w:jc w:val="both"/>
        <w:rPr>
          <w:rFonts w:cs="David"/>
          <w:sz w:val="28"/>
          <w:szCs w:val="28"/>
          <w:rtl/>
        </w:rPr>
      </w:pPr>
    </w:p>
    <w:p w:rsidR="00340957" w:rsidRDefault="00340957" w:rsidP="008B316C">
      <w:pPr>
        <w:pStyle w:val="a9"/>
        <w:spacing w:after="0" w:line="360" w:lineRule="auto"/>
        <w:ind w:left="0"/>
        <w:jc w:val="both"/>
        <w:rPr>
          <w:rFonts w:cs="David"/>
          <w:sz w:val="28"/>
          <w:szCs w:val="28"/>
          <w:rtl/>
        </w:rPr>
      </w:pPr>
      <w:r>
        <w:rPr>
          <w:rFonts w:cs="David" w:hint="cs"/>
          <w:sz w:val="28"/>
          <w:szCs w:val="28"/>
          <w:rtl/>
        </w:rPr>
        <w:t xml:space="preserve">יצוין, כי בכל מקרה, גם כאשר מחליטה המדינה שלא לשתף פעולה עם </w:t>
      </w:r>
      <w:r w:rsidR="009C039C">
        <w:rPr>
          <w:rFonts w:cs="David" w:hint="cs"/>
          <w:sz w:val="28"/>
          <w:szCs w:val="28"/>
          <w:rtl/>
        </w:rPr>
        <w:t>ועדת חקירה</w:t>
      </w:r>
      <w:r>
        <w:rPr>
          <w:rFonts w:cs="David" w:hint="cs"/>
          <w:sz w:val="28"/>
          <w:szCs w:val="28"/>
          <w:rtl/>
        </w:rPr>
        <w:t xml:space="preserve">, נראה שיש מקום, לכל הפחות, לשמירה על </w:t>
      </w:r>
      <w:r w:rsidRPr="00340957">
        <w:rPr>
          <w:rFonts w:cs="David" w:hint="cs"/>
          <w:b/>
          <w:bCs/>
          <w:sz w:val="28"/>
          <w:szCs w:val="28"/>
          <w:rtl/>
        </w:rPr>
        <w:t>קשר דיפלומטי נימוסי</w:t>
      </w:r>
      <w:r>
        <w:rPr>
          <w:rFonts w:cs="David" w:hint="cs"/>
          <w:sz w:val="28"/>
          <w:szCs w:val="28"/>
          <w:rtl/>
        </w:rPr>
        <w:t xml:space="preserve"> בין חברי </w:t>
      </w:r>
      <w:r w:rsidR="001165FD">
        <w:rPr>
          <w:rFonts w:cs="David" w:hint="cs"/>
          <w:sz w:val="28"/>
          <w:szCs w:val="28"/>
          <w:rtl/>
        </w:rPr>
        <w:t>הוועדה</w:t>
      </w:r>
      <w:r>
        <w:rPr>
          <w:rFonts w:cs="David" w:hint="cs"/>
          <w:sz w:val="28"/>
          <w:szCs w:val="28"/>
          <w:rtl/>
        </w:rPr>
        <w:t xml:space="preserve"> לבין נציג של המדינה. התנהגותה של המדינה בעניין זה לא הייתה אחידה. עם חלק מחברי </w:t>
      </w:r>
      <w:r w:rsidR="001165FD">
        <w:rPr>
          <w:rFonts w:cs="David" w:hint="cs"/>
          <w:sz w:val="28"/>
          <w:szCs w:val="28"/>
          <w:rtl/>
        </w:rPr>
        <w:t>הוועדות</w:t>
      </w:r>
      <w:r>
        <w:rPr>
          <w:rFonts w:cs="David" w:hint="cs"/>
          <w:sz w:val="28"/>
          <w:szCs w:val="28"/>
          <w:rtl/>
        </w:rPr>
        <w:t xml:space="preserve"> שמרו נציגי המדינה על קשר נימוסי כזה גם כשהוחלט שאין משתפים פעולה עמם. עם חלקם האחר לא נוהל כל קשר, גם לא באמצעות פגישת נימוסין. על פניו, לא ברורה ההצדקה להחלטה להימנעות מוחלטת מקשר עם הוועדה. קשר כזה הוא המינימום הדיפלומטי המצופה ממדינה מערבית. הוא מפחית את רמת הניכור שיוצרת ההחלטה שלא לשתף פעולה אצל חברי </w:t>
      </w:r>
      <w:r w:rsidR="001165FD">
        <w:rPr>
          <w:rFonts w:cs="David" w:hint="cs"/>
          <w:sz w:val="28"/>
          <w:szCs w:val="28"/>
          <w:rtl/>
        </w:rPr>
        <w:t>הוועדה</w:t>
      </w:r>
      <w:r>
        <w:rPr>
          <w:rFonts w:cs="David" w:hint="cs"/>
          <w:sz w:val="28"/>
          <w:szCs w:val="28"/>
          <w:rtl/>
        </w:rPr>
        <w:t xml:space="preserve">. הוא מאפשר להסביר להם את ההחלטה הזו באופן בלתי אמצעי. והוא מייצר פתח שמאפשר העברת מסרים דו-כיוונית במהלך עבודת </w:t>
      </w:r>
      <w:r w:rsidR="001165FD">
        <w:rPr>
          <w:rFonts w:cs="David" w:hint="cs"/>
          <w:sz w:val="28"/>
          <w:szCs w:val="28"/>
          <w:rtl/>
        </w:rPr>
        <w:t>הוועדה</w:t>
      </w:r>
      <w:r>
        <w:rPr>
          <w:rFonts w:cs="David" w:hint="cs"/>
          <w:sz w:val="28"/>
          <w:szCs w:val="28"/>
          <w:rtl/>
        </w:rPr>
        <w:t xml:space="preserve">, שיכולה לאפשר למדינת ישראל להיות "עם האצבע על הדופק" בעבודת </w:t>
      </w:r>
      <w:r w:rsidR="001165FD">
        <w:rPr>
          <w:rFonts w:cs="David" w:hint="cs"/>
          <w:sz w:val="28"/>
          <w:szCs w:val="28"/>
          <w:rtl/>
        </w:rPr>
        <w:t>הוועדה</w:t>
      </w:r>
      <w:r>
        <w:rPr>
          <w:rFonts w:cs="David" w:hint="cs"/>
          <w:sz w:val="28"/>
          <w:szCs w:val="28"/>
          <w:rtl/>
        </w:rPr>
        <w:t xml:space="preserve">. כל אלה תועלות בלתי מבוטלות. מנגד, ניהול קשר כזה אינו מנוגד לרציונאל של הימנעות משיתוף פעולה עם </w:t>
      </w:r>
      <w:r w:rsidR="001165FD">
        <w:rPr>
          <w:rFonts w:cs="David" w:hint="cs"/>
          <w:sz w:val="28"/>
          <w:szCs w:val="28"/>
          <w:rtl/>
        </w:rPr>
        <w:t>הוועדה</w:t>
      </w:r>
      <w:r>
        <w:rPr>
          <w:rFonts w:cs="David" w:hint="cs"/>
          <w:sz w:val="28"/>
          <w:szCs w:val="28"/>
          <w:rtl/>
        </w:rPr>
        <w:t xml:space="preserve"> ואינו שוחק אותו בשום צורה. לפיכך, מן הראוי שבכל תהליך של קבלת החלטה לגבי שיתוף פעולה, תהא תוצאתו אשר תהא, תחליט המדינה למנות איש קשר </w:t>
      </w:r>
      <w:r w:rsidR="00014821">
        <w:rPr>
          <w:rFonts w:cs="David" w:hint="cs"/>
          <w:sz w:val="28"/>
          <w:szCs w:val="28"/>
          <w:rtl/>
        </w:rPr>
        <w:t>לוועדה</w:t>
      </w:r>
      <w:r>
        <w:rPr>
          <w:rFonts w:cs="David" w:hint="cs"/>
          <w:sz w:val="28"/>
          <w:szCs w:val="28"/>
          <w:rtl/>
        </w:rPr>
        <w:t xml:space="preserve"> שיאפשר לנהל קשר מעין זה.</w:t>
      </w:r>
    </w:p>
    <w:p w:rsidR="004E6E55" w:rsidRDefault="004E6E55" w:rsidP="008B316C">
      <w:pPr>
        <w:spacing w:after="0" w:line="360" w:lineRule="auto"/>
        <w:jc w:val="both"/>
        <w:rPr>
          <w:rFonts w:cs="David"/>
          <w:sz w:val="28"/>
          <w:szCs w:val="28"/>
          <w:rtl/>
        </w:rPr>
      </w:pPr>
    </w:p>
    <w:p w:rsidR="004E6E55" w:rsidRPr="00C22118" w:rsidRDefault="007011D0" w:rsidP="00C22118">
      <w:pPr>
        <w:pStyle w:val="a9"/>
        <w:numPr>
          <w:ilvl w:val="0"/>
          <w:numId w:val="27"/>
        </w:numPr>
        <w:spacing w:after="0" w:line="360" w:lineRule="auto"/>
        <w:jc w:val="both"/>
        <w:outlineLvl w:val="1"/>
        <w:rPr>
          <w:rFonts w:cs="David"/>
          <w:sz w:val="28"/>
          <w:szCs w:val="28"/>
          <w:rtl/>
        </w:rPr>
      </w:pPr>
      <w:bookmarkStart w:id="69" w:name="_Toc456027341"/>
      <w:r w:rsidRPr="00C22118">
        <w:rPr>
          <w:rFonts w:cs="David" w:hint="cs"/>
          <w:b/>
          <w:bCs/>
          <w:sz w:val="28"/>
          <w:szCs w:val="28"/>
          <w:rtl/>
        </w:rPr>
        <w:lastRenderedPageBreak/>
        <w:t>שיתוף פעולה מלא</w:t>
      </w:r>
      <w:bookmarkEnd w:id="69"/>
      <w:r w:rsidRPr="00C22118">
        <w:rPr>
          <w:rFonts w:cs="David" w:hint="cs"/>
          <w:sz w:val="28"/>
          <w:szCs w:val="28"/>
          <w:rtl/>
        </w:rPr>
        <w:t xml:space="preserve"> </w:t>
      </w:r>
    </w:p>
    <w:p w:rsidR="004E6E55" w:rsidRDefault="004E6E55" w:rsidP="008B316C">
      <w:pPr>
        <w:spacing w:after="0" w:line="360" w:lineRule="auto"/>
        <w:jc w:val="both"/>
        <w:rPr>
          <w:rFonts w:cs="David"/>
          <w:sz w:val="28"/>
          <w:szCs w:val="28"/>
          <w:rtl/>
        </w:rPr>
      </w:pPr>
    </w:p>
    <w:p w:rsidR="007011D0" w:rsidRDefault="00F130CF" w:rsidP="00840B74">
      <w:pPr>
        <w:spacing w:after="0" w:line="360" w:lineRule="auto"/>
        <w:jc w:val="both"/>
        <w:rPr>
          <w:rFonts w:cs="David"/>
          <w:sz w:val="28"/>
          <w:szCs w:val="28"/>
          <w:rtl/>
        </w:rPr>
      </w:pPr>
      <w:r>
        <w:rPr>
          <w:rFonts w:cs="David" w:hint="cs"/>
          <w:sz w:val="28"/>
          <w:szCs w:val="28"/>
          <w:rtl/>
        </w:rPr>
        <w:t xml:space="preserve">שיתוף פעולה מלא עם </w:t>
      </w:r>
      <w:r w:rsidR="009C039C">
        <w:rPr>
          <w:rFonts w:cs="David" w:hint="cs"/>
          <w:sz w:val="28"/>
          <w:szCs w:val="28"/>
          <w:rtl/>
        </w:rPr>
        <w:t>ועדת החקירה</w:t>
      </w:r>
      <w:r>
        <w:rPr>
          <w:rFonts w:cs="David" w:hint="cs"/>
          <w:sz w:val="28"/>
          <w:szCs w:val="28"/>
          <w:rtl/>
        </w:rPr>
        <w:t xml:space="preserve"> מבטא כמובן </w:t>
      </w:r>
      <w:r w:rsidR="002315FE">
        <w:rPr>
          <w:rFonts w:cs="David" w:hint="cs"/>
          <w:sz w:val="28"/>
          <w:szCs w:val="28"/>
          <w:rtl/>
        </w:rPr>
        <w:t xml:space="preserve">הערכה </w:t>
      </w:r>
      <w:r>
        <w:rPr>
          <w:rFonts w:cs="David" w:hint="cs"/>
          <w:sz w:val="28"/>
          <w:szCs w:val="28"/>
          <w:rtl/>
        </w:rPr>
        <w:t xml:space="preserve">של המדינה </w:t>
      </w:r>
      <w:r w:rsidR="002315FE">
        <w:rPr>
          <w:rFonts w:cs="David" w:hint="cs"/>
          <w:sz w:val="28"/>
          <w:szCs w:val="28"/>
          <w:rtl/>
        </w:rPr>
        <w:t xml:space="preserve">כי לאחר שקילת כל השיקולים וסיכום כל התנאים עם </w:t>
      </w:r>
      <w:r w:rsidR="001165FD">
        <w:rPr>
          <w:rFonts w:cs="David" w:hint="cs"/>
          <w:sz w:val="28"/>
          <w:szCs w:val="28"/>
          <w:rtl/>
        </w:rPr>
        <w:t>הוועדה</w:t>
      </w:r>
      <w:r w:rsidR="002315FE">
        <w:rPr>
          <w:rFonts w:cs="David" w:hint="cs"/>
          <w:sz w:val="28"/>
          <w:szCs w:val="28"/>
          <w:rtl/>
        </w:rPr>
        <w:t xml:space="preserve">, יש תועלת </w:t>
      </w:r>
      <w:r w:rsidR="008161EB">
        <w:rPr>
          <w:rFonts w:cs="David" w:hint="cs"/>
          <w:sz w:val="28"/>
          <w:szCs w:val="28"/>
          <w:rtl/>
        </w:rPr>
        <w:t>כללית-</w:t>
      </w:r>
      <w:r w:rsidR="002315FE">
        <w:rPr>
          <w:rFonts w:cs="David" w:hint="cs"/>
          <w:sz w:val="28"/>
          <w:szCs w:val="28"/>
          <w:rtl/>
        </w:rPr>
        <w:t>רחבה ותועלת פרטנית</w:t>
      </w:r>
      <w:r w:rsidR="008161EB">
        <w:rPr>
          <w:rFonts w:cs="David" w:hint="cs"/>
          <w:sz w:val="28"/>
          <w:szCs w:val="28"/>
          <w:rtl/>
        </w:rPr>
        <w:t>-צרה</w:t>
      </w:r>
      <w:r w:rsidR="002315FE">
        <w:rPr>
          <w:rFonts w:cs="David" w:hint="cs"/>
          <w:sz w:val="28"/>
          <w:szCs w:val="28"/>
          <w:rtl/>
        </w:rPr>
        <w:t xml:space="preserve"> בשיתוף פעולה עמ</w:t>
      </w:r>
      <w:r w:rsidR="00BE56F0">
        <w:rPr>
          <w:rFonts w:cs="David" w:hint="cs"/>
          <w:sz w:val="28"/>
          <w:szCs w:val="28"/>
          <w:rtl/>
        </w:rPr>
        <w:t>ה</w:t>
      </w:r>
      <w:r w:rsidR="002315FE">
        <w:rPr>
          <w:rFonts w:cs="David" w:hint="cs"/>
          <w:sz w:val="28"/>
          <w:szCs w:val="28"/>
          <w:rtl/>
        </w:rPr>
        <w:t xml:space="preserve">. כמובן שבשיתוף פעולה מהסוג הזה מגולמים כל היתרונות הנוגעים ללגיטימציה הבינלאומית הנלווית לשיתוף הפעולה, לשיח הישיר המתאפשר עם חברי </w:t>
      </w:r>
      <w:r w:rsidR="001165FD">
        <w:rPr>
          <w:rFonts w:cs="David" w:hint="cs"/>
          <w:sz w:val="28"/>
          <w:szCs w:val="28"/>
          <w:rtl/>
        </w:rPr>
        <w:t>הוועדה</w:t>
      </w:r>
      <w:r w:rsidR="002315FE">
        <w:rPr>
          <w:rFonts w:cs="David" w:hint="cs"/>
          <w:sz w:val="28"/>
          <w:szCs w:val="28"/>
          <w:rtl/>
        </w:rPr>
        <w:t xml:space="preserve"> ואנשי המזכירות שלהם וליכולת להשפיע באמצעותו. דנו לעיל </w:t>
      </w:r>
      <w:r w:rsidR="00BD25F9">
        <w:rPr>
          <w:rFonts w:cs="David" w:hint="cs"/>
          <w:sz w:val="28"/>
          <w:szCs w:val="28"/>
          <w:rtl/>
        </w:rPr>
        <w:t xml:space="preserve">גם במשמעויות הנגזרות ממצב שבו תוצר </w:t>
      </w:r>
      <w:r w:rsidR="001165FD">
        <w:rPr>
          <w:rFonts w:cs="David" w:hint="cs"/>
          <w:sz w:val="28"/>
          <w:szCs w:val="28"/>
          <w:rtl/>
        </w:rPr>
        <w:t>הוועדה</w:t>
      </w:r>
      <w:r w:rsidR="00BD25F9">
        <w:rPr>
          <w:rFonts w:cs="David" w:hint="cs"/>
          <w:sz w:val="28"/>
          <w:szCs w:val="28"/>
          <w:rtl/>
        </w:rPr>
        <w:t xml:space="preserve"> לוקה בכל זאת בליקויים מהם חששה המדינה וב</w:t>
      </w:r>
      <w:r w:rsidR="00BE56F0">
        <w:rPr>
          <w:rFonts w:cs="David" w:hint="cs"/>
          <w:sz w:val="28"/>
          <w:szCs w:val="28"/>
          <w:rtl/>
        </w:rPr>
        <w:t xml:space="preserve">יכולתה של </w:t>
      </w:r>
      <w:r w:rsidR="00BD25F9">
        <w:rPr>
          <w:rFonts w:cs="David" w:hint="cs"/>
          <w:sz w:val="28"/>
          <w:szCs w:val="28"/>
          <w:rtl/>
        </w:rPr>
        <w:t>המדינה שלא לקבל את תוצאות הדוח.</w:t>
      </w:r>
    </w:p>
    <w:p w:rsidR="007011D0" w:rsidRDefault="007011D0" w:rsidP="008B316C">
      <w:pPr>
        <w:spacing w:after="0" w:line="360" w:lineRule="auto"/>
        <w:jc w:val="both"/>
        <w:rPr>
          <w:rFonts w:cs="David"/>
          <w:sz w:val="28"/>
          <w:szCs w:val="28"/>
          <w:rtl/>
        </w:rPr>
      </w:pPr>
    </w:p>
    <w:p w:rsidR="00BD25F9" w:rsidRPr="00C22118" w:rsidRDefault="007011D0" w:rsidP="00C22118">
      <w:pPr>
        <w:pStyle w:val="a9"/>
        <w:numPr>
          <w:ilvl w:val="0"/>
          <w:numId w:val="27"/>
        </w:numPr>
        <w:spacing w:after="0" w:line="360" w:lineRule="auto"/>
        <w:jc w:val="both"/>
        <w:outlineLvl w:val="1"/>
        <w:rPr>
          <w:rFonts w:cs="David"/>
          <w:sz w:val="28"/>
          <w:szCs w:val="28"/>
          <w:rtl/>
        </w:rPr>
      </w:pPr>
      <w:bookmarkStart w:id="70" w:name="_Toc456027342"/>
      <w:r w:rsidRPr="00C22118">
        <w:rPr>
          <w:rFonts w:cs="David" w:hint="cs"/>
          <w:b/>
          <w:bCs/>
          <w:sz w:val="28"/>
          <w:szCs w:val="28"/>
          <w:rtl/>
        </w:rPr>
        <w:t>שיתוף פעולה חלקי</w:t>
      </w:r>
      <w:bookmarkEnd w:id="70"/>
      <w:r w:rsidR="009F6ED1" w:rsidRPr="00C22118">
        <w:rPr>
          <w:rFonts w:cs="David" w:hint="cs"/>
          <w:b/>
          <w:bCs/>
          <w:sz w:val="28"/>
          <w:szCs w:val="28"/>
          <w:rtl/>
        </w:rPr>
        <w:t xml:space="preserve"> </w:t>
      </w:r>
    </w:p>
    <w:p w:rsidR="00BD25F9" w:rsidRDefault="00BD25F9" w:rsidP="008B316C">
      <w:pPr>
        <w:spacing w:after="0" w:line="360" w:lineRule="auto"/>
        <w:jc w:val="both"/>
        <w:rPr>
          <w:rFonts w:cs="David"/>
          <w:sz w:val="28"/>
          <w:szCs w:val="28"/>
          <w:rtl/>
        </w:rPr>
      </w:pPr>
    </w:p>
    <w:p w:rsidR="007011D0" w:rsidRDefault="00BD25F9" w:rsidP="00BE56F0">
      <w:pPr>
        <w:spacing w:after="0" w:line="360" w:lineRule="auto"/>
        <w:jc w:val="both"/>
        <w:rPr>
          <w:rFonts w:cs="David"/>
          <w:sz w:val="28"/>
          <w:szCs w:val="28"/>
          <w:rtl/>
        </w:rPr>
      </w:pPr>
      <w:r>
        <w:rPr>
          <w:rFonts w:cs="David" w:hint="cs"/>
          <w:sz w:val="28"/>
          <w:szCs w:val="28"/>
          <w:rtl/>
        </w:rPr>
        <w:t xml:space="preserve">השיח סביב הרכבת </w:t>
      </w:r>
      <w:r w:rsidR="001165FD">
        <w:rPr>
          <w:rFonts w:cs="David" w:hint="cs"/>
          <w:sz w:val="28"/>
          <w:szCs w:val="28"/>
          <w:rtl/>
        </w:rPr>
        <w:t>הוועדה</w:t>
      </w:r>
      <w:r>
        <w:rPr>
          <w:rFonts w:cs="David" w:hint="cs"/>
          <w:sz w:val="28"/>
          <w:szCs w:val="28"/>
          <w:rtl/>
        </w:rPr>
        <w:t xml:space="preserve"> ודרכי פעולת</w:t>
      </w:r>
      <w:r w:rsidR="00BE56F0">
        <w:rPr>
          <w:rFonts w:cs="David" w:hint="cs"/>
          <w:sz w:val="28"/>
          <w:szCs w:val="28"/>
          <w:rtl/>
        </w:rPr>
        <w:t>ה</w:t>
      </w:r>
      <w:r>
        <w:rPr>
          <w:rFonts w:cs="David" w:hint="cs"/>
          <w:sz w:val="28"/>
          <w:szCs w:val="28"/>
          <w:rtl/>
        </w:rPr>
        <w:t xml:space="preserve"> יכול גם להוליך לחוסר הסכמה לגבי חלק מהתנאים ולפיכך להחלטה לשתף פעולה עם </w:t>
      </w:r>
      <w:r w:rsidR="001165FD">
        <w:rPr>
          <w:rFonts w:cs="David" w:hint="cs"/>
          <w:sz w:val="28"/>
          <w:szCs w:val="28"/>
          <w:rtl/>
        </w:rPr>
        <w:t>הוועדה</w:t>
      </w:r>
      <w:r>
        <w:rPr>
          <w:rFonts w:cs="David" w:hint="cs"/>
          <w:sz w:val="28"/>
          <w:szCs w:val="28"/>
          <w:rtl/>
        </w:rPr>
        <w:t xml:space="preserve"> באופן חלקי. כך,</w:t>
      </w:r>
      <w:r w:rsidR="007011D0">
        <w:rPr>
          <w:rFonts w:cs="David" w:hint="cs"/>
          <w:sz w:val="28"/>
          <w:szCs w:val="28"/>
          <w:rtl/>
        </w:rPr>
        <w:t xml:space="preserve"> לדוגמה, </w:t>
      </w:r>
      <w:r>
        <w:rPr>
          <w:rFonts w:cs="David" w:hint="cs"/>
          <w:sz w:val="28"/>
          <w:szCs w:val="28"/>
          <w:rtl/>
        </w:rPr>
        <w:t xml:space="preserve">יכולה להתקבל החלטה שלא לאפשר </w:t>
      </w:r>
      <w:r w:rsidR="007011D0">
        <w:rPr>
          <w:rFonts w:cs="David" w:hint="cs"/>
          <w:sz w:val="28"/>
          <w:szCs w:val="28"/>
          <w:rtl/>
        </w:rPr>
        <w:t>גישה לשטח</w:t>
      </w:r>
      <w:r>
        <w:rPr>
          <w:rFonts w:cs="David" w:hint="cs"/>
          <w:sz w:val="28"/>
          <w:szCs w:val="28"/>
          <w:rtl/>
        </w:rPr>
        <w:t xml:space="preserve"> כולו או לשטחים מסוימים </w:t>
      </w:r>
      <w:r w:rsidR="00014821">
        <w:rPr>
          <w:rFonts w:cs="David" w:hint="cs"/>
          <w:sz w:val="28"/>
          <w:szCs w:val="28"/>
          <w:rtl/>
        </w:rPr>
        <w:t>לוועדה</w:t>
      </w:r>
      <w:r>
        <w:rPr>
          <w:rFonts w:cs="David" w:hint="cs"/>
          <w:sz w:val="28"/>
          <w:szCs w:val="28"/>
          <w:rtl/>
        </w:rPr>
        <w:t>, מטעמים שונים</w:t>
      </w:r>
      <w:r w:rsidR="007011D0">
        <w:rPr>
          <w:rFonts w:cs="David" w:hint="cs"/>
          <w:sz w:val="28"/>
          <w:szCs w:val="28"/>
          <w:rtl/>
        </w:rPr>
        <w:t xml:space="preserve">. </w:t>
      </w:r>
      <w:r>
        <w:rPr>
          <w:rFonts w:cs="David" w:hint="cs"/>
          <w:sz w:val="28"/>
          <w:szCs w:val="28"/>
          <w:rtl/>
        </w:rPr>
        <w:t xml:space="preserve">טעמים כאלה יכולים להיות ביטחוניים. הטעמים גם יכולים להיות חוסר הסכמה ללגיטימציה של </w:t>
      </w:r>
      <w:r w:rsidR="001165FD">
        <w:rPr>
          <w:rFonts w:cs="David" w:hint="cs"/>
          <w:sz w:val="28"/>
          <w:szCs w:val="28"/>
          <w:rtl/>
        </w:rPr>
        <w:t>הוועדה</w:t>
      </w:r>
      <w:r>
        <w:rPr>
          <w:rFonts w:cs="David" w:hint="cs"/>
          <w:sz w:val="28"/>
          <w:szCs w:val="28"/>
          <w:rtl/>
        </w:rPr>
        <w:t xml:space="preserve"> לבקר בחלק מהשטח, לדוגמה </w:t>
      </w:r>
      <w:r>
        <w:rPr>
          <w:rFonts w:cs="David"/>
          <w:sz w:val="28"/>
          <w:szCs w:val="28"/>
          <w:rtl/>
        </w:rPr>
        <w:t>–</w:t>
      </w:r>
      <w:r>
        <w:rPr>
          <w:rFonts w:cs="David" w:hint="cs"/>
          <w:sz w:val="28"/>
          <w:szCs w:val="28"/>
          <w:rtl/>
        </w:rPr>
        <w:t xml:space="preserve"> </w:t>
      </w:r>
      <w:r w:rsidR="0074404A">
        <w:rPr>
          <w:rFonts w:cs="David" w:hint="cs"/>
          <w:sz w:val="28"/>
          <w:szCs w:val="28"/>
          <w:rtl/>
        </w:rPr>
        <w:t>ועדה</w:t>
      </w:r>
      <w:r>
        <w:rPr>
          <w:rFonts w:cs="David" w:hint="cs"/>
          <w:sz w:val="28"/>
          <w:szCs w:val="28"/>
          <w:rtl/>
        </w:rPr>
        <w:t xml:space="preserve"> שמתמנה בעקבות מבצע לחימה ברצועת עזה אך מבקש</w:t>
      </w:r>
      <w:r w:rsidR="00BE56F0">
        <w:rPr>
          <w:rFonts w:cs="David" w:hint="cs"/>
          <w:sz w:val="28"/>
          <w:szCs w:val="28"/>
          <w:rtl/>
        </w:rPr>
        <w:t>ת</w:t>
      </w:r>
      <w:r>
        <w:rPr>
          <w:rFonts w:cs="David" w:hint="cs"/>
          <w:sz w:val="28"/>
          <w:szCs w:val="28"/>
          <w:rtl/>
        </w:rPr>
        <w:t xml:space="preserve"> לבקר ולכתוב גם על יהודה ושומרון או מזרח ירושלים. כן יכולה להתקבל החלטה מוצהרת, לפיה לא תחשוף מדינת ישראל </w:t>
      </w:r>
      <w:r w:rsidR="007011D0">
        <w:rPr>
          <w:rFonts w:cs="David" w:hint="cs"/>
          <w:sz w:val="28"/>
          <w:szCs w:val="28"/>
          <w:rtl/>
        </w:rPr>
        <w:t>את כל החומר</w:t>
      </w:r>
      <w:r>
        <w:rPr>
          <w:rFonts w:cs="David" w:hint="cs"/>
          <w:sz w:val="28"/>
          <w:szCs w:val="28"/>
          <w:rtl/>
        </w:rPr>
        <w:t xml:space="preserve"> שיש בידה, מטעמים שונים הנוגעים לסיווגו, לחוסר הסכמה באשר </w:t>
      </w:r>
      <w:r w:rsidR="00D15D6E">
        <w:rPr>
          <w:rFonts w:cs="David" w:hint="cs"/>
          <w:sz w:val="28"/>
          <w:szCs w:val="28"/>
          <w:rtl/>
        </w:rPr>
        <w:t>לסוג השימוש שיכול</w:t>
      </w:r>
      <w:r w:rsidR="00BE56F0">
        <w:rPr>
          <w:rFonts w:cs="David" w:hint="cs"/>
          <w:sz w:val="28"/>
          <w:szCs w:val="28"/>
          <w:rtl/>
        </w:rPr>
        <w:t>ה</w:t>
      </w:r>
      <w:r w:rsidR="00D15D6E">
        <w:rPr>
          <w:rFonts w:cs="David" w:hint="cs"/>
          <w:sz w:val="28"/>
          <w:szCs w:val="28"/>
          <w:rtl/>
        </w:rPr>
        <w:t xml:space="preserve"> </w:t>
      </w:r>
      <w:r w:rsidR="001165FD">
        <w:rPr>
          <w:rFonts w:cs="David" w:hint="cs"/>
          <w:sz w:val="28"/>
          <w:szCs w:val="28"/>
          <w:rtl/>
        </w:rPr>
        <w:t>הוועדה</w:t>
      </w:r>
      <w:r w:rsidR="00D15D6E">
        <w:rPr>
          <w:rFonts w:cs="David" w:hint="cs"/>
          <w:sz w:val="28"/>
          <w:szCs w:val="28"/>
          <w:rtl/>
        </w:rPr>
        <w:t xml:space="preserve"> לעשות בחומר וכדומה.</w:t>
      </w:r>
      <w:r w:rsidR="005E7D29">
        <w:rPr>
          <w:rFonts w:cs="David" w:hint="cs"/>
          <w:sz w:val="28"/>
          <w:szCs w:val="28"/>
          <w:rtl/>
        </w:rPr>
        <w:t xml:space="preserve"> כך, שיתוף הפעולה החלקי מאפשר למקבלי ההחלטות לקבל החלטה במסגרת מנעד אפשרויות רחב יותר, שמספק מענה לחלק מהקשיים שנובעים משיתוף פעולה מלא.</w:t>
      </w:r>
    </w:p>
    <w:p w:rsidR="00D15D6E" w:rsidRDefault="00D15D6E" w:rsidP="008B316C">
      <w:pPr>
        <w:spacing w:after="0" w:line="360" w:lineRule="auto"/>
        <w:jc w:val="both"/>
        <w:rPr>
          <w:rFonts w:cs="David"/>
          <w:sz w:val="28"/>
          <w:szCs w:val="28"/>
          <w:rtl/>
        </w:rPr>
      </w:pPr>
    </w:p>
    <w:p w:rsidR="007011D0" w:rsidRDefault="00D15D6E" w:rsidP="00BE56F0">
      <w:pPr>
        <w:spacing w:after="0" w:line="360" w:lineRule="auto"/>
        <w:jc w:val="both"/>
        <w:rPr>
          <w:rFonts w:cs="David"/>
          <w:sz w:val="28"/>
          <w:szCs w:val="28"/>
          <w:rtl/>
        </w:rPr>
      </w:pPr>
      <w:r>
        <w:rPr>
          <w:rFonts w:cs="David" w:hint="cs"/>
          <w:sz w:val="28"/>
          <w:szCs w:val="28"/>
          <w:rtl/>
        </w:rPr>
        <w:t xml:space="preserve">שיתוף פעולה חלקי דומה במהותו לשיתוף הפעולה המלא והפער בין שניהם נוגע בעיקר לחוסר הסכמה לגבי רכיבים מסוימים בתנאי העבודה של </w:t>
      </w:r>
      <w:r w:rsidR="001165FD">
        <w:rPr>
          <w:rFonts w:cs="David" w:hint="cs"/>
          <w:sz w:val="28"/>
          <w:szCs w:val="28"/>
          <w:rtl/>
        </w:rPr>
        <w:t>הוועדה</w:t>
      </w:r>
      <w:r>
        <w:rPr>
          <w:rFonts w:cs="David" w:hint="cs"/>
          <w:sz w:val="28"/>
          <w:szCs w:val="28"/>
          <w:rtl/>
        </w:rPr>
        <w:t xml:space="preserve">. לפיכך, נראה כי גם בשיתוף פעולה חלקי טמונים מרבית היתרונות שיש בשיתוף פעולה מלא, והדבר תלוי בעיקר במידת הביקורת הבינלאומית והביקורת של </w:t>
      </w:r>
      <w:r w:rsidR="001165FD">
        <w:rPr>
          <w:rFonts w:cs="David" w:hint="cs"/>
          <w:sz w:val="28"/>
          <w:szCs w:val="28"/>
          <w:rtl/>
        </w:rPr>
        <w:t>הוועדה</w:t>
      </w:r>
      <w:r>
        <w:rPr>
          <w:rFonts w:cs="David" w:hint="cs"/>
          <w:sz w:val="28"/>
          <w:szCs w:val="28"/>
          <w:rtl/>
        </w:rPr>
        <w:t xml:space="preserve"> עצמ</w:t>
      </w:r>
      <w:r w:rsidR="00BE56F0">
        <w:rPr>
          <w:rFonts w:cs="David" w:hint="cs"/>
          <w:sz w:val="28"/>
          <w:szCs w:val="28"/>
          <w:rtl/>
        </w:rPr>
        <w:t>ה</w:t>
      </w:r>
      <w:r>
        <w:rPr>
          <w:rFonts w:cs="David" w:hint="cs"/>
          <w:sz w:val="28"/>
          <w:szCs w:val="28"/>
          <w:rtl/>
        </w:rPr>
        <w:t xml:space="preserve"> לגבי ההחלטה שלא לשתף פעולה עם חלק מהרכיבים. ביקורת גבוהה במיוחד מתעוררת בדרך כלל כאשר לא ניתנת </w:t>
      </w:r>
      <w:r w:rsidR="00014821">
        <w:rPr>
          <w:rFonts w:cs="David" w:hint="cs"/>
          <w:sz w:val="28"/>
          <w:szCs w:val="28"/>
          <w:rtl/>
        </w:rPr>
        <w:t>לוועדה</w:t>
      </w:r>
      <w:r>
        <w:rPr>
          <w:rFonts w:cs="David" w:hint="cs"/>
          <w:sz w:val="28"/>
          <w:szCs w:val="28"/>
          <w:rtl/>
        </w:rPr>
        <w:t xml:space="preserve"> גישה חופשית לשטחים שה</w:t>
      </w:r>
      <w:r w:rsidR="00BE56F0">
        <w:rPr>
          <w:rFonts w:cs="David" w:hint="cs"/>
          <w:sz w:val="28"/>
          <w:szCs w:val="28"/>
          <w:rtl/>
        </w:rPr>
        <w:t>י</w:t>
      </w:r>
      <w:r>
        <w:rPr>
          <w:rFonts w:cs="David" w:hint="cs"/>
          <w:sz w:val="28"/>
          <w:szCs w:val="28"/>
          <w:rtl/>
        </w:rPr>
        <w:t>א מבקש</w:t>
      </w:r>
      <w:r w:rsidR="00BE56F0">
        <w:rPr>
          <w:rFonts w:cs="David" w:hint="cs"/>
          <w:sz w:val="28"/>
          <w:szCs w:val="28"/>
          <w:rtl/>
        </w:rPr>
        <w:t>ת</w:t>
      </w:r>
      <w:r>
        <w:rPr>
          <w:rFonts w:cs="David" w:hint="cs"/>
          <w:sz w:val="28"/>
          <w:szCs w:val="28"/>
          <w:rtl/>
        </w:rPr>
        <w:t xml:space="preserve"> לבקר בהם.</w:t>
      </w:r>
      <w:r w:rsidR="0050280F">
        <w:rPr>
          <w:rFonts w:cs="David" w:hint="cs"/>
          <w:sz w:val="28"/>
          <w:szCs w:val="28"/>
          <w:rtl/>
        </w:rPr>
        <w:t xml:space="preserve"> </w:t>
      </w:r>
    </w:p>
    <w:p w:rsidR="005E7D29" w:rsidRDefault="005E7D29" w:rsidP="008B316C">
      <w:pPr>
        <w:spacing w:after="0" w:line="360" w:lineRule="auto"/>
        <w:jc w:val="both"/>
        <w:rPr>
          <w:rFonts w:cs="David"/>
          <w:sz w:val="28"/>
          <w:szCs w:val="28"/>
          <w:rtl/>
        </w:rPr>
      </w:pPr>
    </w:p>
    <w:p w:rsidR="00D15D6E" w:rsidRPr="00C22118" w:rsidRDefault="007011D0" w:rsidP="00C22118">
      <w:pPr>
        <w:pStyle w:val="a9"/>
        <w:numPr>
          <w:ilvl w:val="0"/>
          <w:numId w:val="27"/>
        </w:numPr>
        <w:spacing w:after="0" w:line="360" w:lineRule="auto"/>
        <w:jc w:val="both"/>
        <w:outlineLvl w:val="1"/>
        <w:rPr>
          <w:rFonts w:cs="David"/>
          <w:sz w:val="28"/>
          <w:szCs w:val="28"/>
          <w:rtl/>
        </w:rPr>
      </w:pPr>
      <w:bookmarkStart w:id="71" w:name="_Toc456027343"/>
      <w:r w:rsidRPr="00C22118">
        <w:rPr>
          <w:rFonts w:cs="David" w:hint="cs"/>
          <w:b/>
          <w:bCs/>
          <w:sz w:val="28"/>
          <w:szCs w:val="28"/>
          <w:rtl/>
        </w:rPr>
        <w:lastRenderedPageBreak/>
        <w:t>שיתוף פעולה דיסקרטי, "מאחורי הקלעים"</w:t>
      </w:r>
      <w:bookmarkEnd w:id="71"/>
      <w:r w:rsidRPr="00C22118">
        <w:rPr>
          <w:rFonts w:cs="David" w:hint="cs"/>
          <w:sz w:val="28"/>
          <w:szCs w:val="28"/>
          <w:rtl/>
        </w:rPr>
        <w:t xml:space="preserve"> </w:t>
      </w:r>
    </w:p>
    <w:p w:rsidR="00D15D6E" w:rsidRDefault="00D15D6E" w:rsidP="008B316C">
      <w:pPr>
        <w:spacing w:after="0" w:line="360" w:lineRule="auto"/>
        <w:jc w:val="both"/>
        <w:rPr>
          <w:rFonts w:cs="David"/>
          <w:sz w:val="28"/>
          <w:szCs w:val="28"/>
          <w:rtl/>
        </w:rPr>
      </w:pPr>
    </w:p>
    <w:p w:rsidR="00753E83" w:rsidRDefault="00D15D6E" w:rsidP="00BE56F0">
      <w:pPr>
        <w:spacing w:after="0" w:line="360" w:lineRule="auto"/>
        <w:jc w:val="both"/>
        <w:rPr>
          <w:rFonts w:cs="David"/>
          <w:sz w:val="28"/>
          <w:szCs w:val="28"/>
          <w:rtl/>
        </w:rPr>
      </w:pPr>
      <w:r>
        <w:rPr>
          <w:rFonts w:cs="David" w:hint="cs"/>
          <w:sz w:val="28"/>
          <w:szCs w:val="28"/>
          <w:rtl/>
        </w:rPr>
        <w:t xml:space="preserve">יש מצבים, בהם ניתן להגיע למסקנה כי יש ערך בשיתוף פעולה עם </w:t>
      </w:r>
      <w:r w:rsidR="009C039C">
        <w:rPr>
          <w:rFonts w:cs="David" w:hint="cs"/>
          <w:sz w:val="28"/>
          <w:szCs w:val="28"/>
          <w:rtl/>
        </w:rPr>
        <w:t>ועדת החקירה</w:t>
      </w:r>
      <w:r>
        <w:rPr>
          <w:rFonts w:cs="David" w:hint="cs"/>
          <w:sz w:val="28"/>
          <w:szCs w:val="28"/>
          <w:rtl/>
        </w:rPr>
        <w:t xml:space="preserve">, אך יש הצטברות של תנאים שלא מאפשרים לעשות זאת. התנאים הללו יכולים לגעת בחוסר הלגיטימציה של הגוף הממנה את </w:t>
      </w:r>
      <w:r w:rsidR="001165FD">
        <w:rPr>
          <w:rFonts w:cs="David" w:hint="cs"/>
          <w:sz w:val="28"/>
          <w:szCs w:val="28"/>
          <w:rtl/>
        </w:rPr>
        <w:t>הוועדה</w:t>
      </w:r>
      <w:r>
        <w:rPr>
          <w:rFonts w:cs="David" w:hint="cs"/>
          <w:sz w:val="28"/>
          <w:szCs w:val="28"/>
          <w:rtl/>
        </w:rPr>
        <w:t xml:space="preserve">, במנדט המוטה של </w:t>
      </w:r>
      <w:r w:rsidR="001165FD">
        <w:rPr>
          <w:rFonts w:cs="David" w:hint="cs"/>
          <w:sz w:val="28"/>
          <w:szCs w:val="28"/>
          <w:rtl/>
        </w:rPr>
        <w:t>הוועדה</w:t>
      </w:r>
      <w:r>
        <w:rPr>
          <w:rFonts w:cs="David" w:hint="cs"/>
          <w:sz w:val="28"/>
          <w:szCs w:val="28"/>
          <w:rtl/>
        </w:rPr>
        <w:t>, באווירה הבינלאומית הכללית ובמצבה המדיני של ישראל</w:t>
      </w:r>
      <w:r w:rsidR="00753E83">
        <w:rPr>
          <w:rFonts w:cs="David" w:hint="cs"/>
          <w:sz w:val="28"/>
          <w:szCs w:val="28"/>
          <w:rtl/>
        </w:rPr>
        <w:t>, באווירה הפוליטית בתוך מדינת ישראל ועוד.</w:t>
      </w:r>
      <w:r w:rsidR="003307C2">
        <w:rPr>
          <w:rFonts w:cs="David" w:hint="cs"/>
          <w:sz w:val="28"/>
          <w:szCs w:val="28"/>
          <w:rtl/>
        </w:rPr>
        <w:t xml:space="preserve"> יכול להיות גם מצב שבו ההערכה היא ששיתוף פעולה מלא</w:t>
      </w:r>
      <w:r w:rsidR="00527AD8">
        <w:rPr>
          <w:rFonts w:cs="David" w:hint="cs"/>
          <w:sz w:val="28"/>
          <w:szCs w:val="28"/>
          <w:rtl/>
        </w:rPr>
        <w:t xml:space="preserve"> וגלוי</w:t>
      </w:r>
      <w:r w:rsidR="003307C2">
        <w:rPr>
          <w:rFonts w:cs="David" w:hint="cs"/>
          <w:sz w:val="28"/>
          <w:szCs w:val="28"/>
          <w:rtl/>
        </w:rPr>
        <w:t xml:space="preserve"> לא יביא </w:t>
      </w:r>
      <w:r w:rsidR="00527AD8">
        <w:rPr>
          <w:rFonts w:cs="David" w:hint="cs"/>
          <w:sz w:val="28"/>
          <w:szCs w:val="28"/>
          <w:rtl/>
        </w:rPr>
        <w:t xml:space="preserve">לאיזון בהטיה של </w:t>
      </w:r>
      <w:r w:rsidR="001165FD">
        <w:rPr>
          <w:rFonts w:cs="David" w:hint="cs"/>
          <w:sz w:val="28"/>
          <w:szCs w:val="28"/>
          <w:rtl/>
        </w:rPr>
        <w:t>הוועדה</w:t>
      </w:r>
      <w:r w:rsidR="00527AD8">
        <w:rPr>
          <w:rFonts w:cs="David" w:hint="cs"/>
          <w:sz w:val="28"/>
          <w:szCs w:val="28"/>
          <w:rtl/>
        </w:rPr>
        <w:t xml:space="preserve"> נגד ישראל ו</w:t>
      </w:r>
      <w:r w:rsidR="003307C2">
        <w:rPr>
          <w:rFonts w:cs="David" w:hint="cs"/>
          <w:sz w:val="28"/>
          <w:szCs w:val="28"/>
          <w:rtl/>
        </w:rPr>
        <w:t>לשינוי משמעותי בתוצר של</w:t>
      </w:r>
      <w:r w:rsidR="00BE56F0">
        <w:rPr>
          <w:rFonts w:cs="David" w:hint="cs"/>
          <w:sz w:val="28"/>
          <w:szCs w:val="28"/>
          <w:rtl/>
        </w:rPr>
        <w:t>ה,</w:t>
      </w:r>
      <w:r w:rsidR="003307C2">
        <w:rPr>
          <w:rFonts w:cs="David" w:hint="cs"/>
          <w:sz w:val="28"/>
          <w:szCs w:val="28"/>
          <w:rtl/>
        </w:rPr>
        <w:t xml:space="preserve"> ושלכן אין בו טעם.</w:t>
      </w:r>
      <w:r w:rsidR="00753E83">
        <w:rPr>
          <w:rFonts w:cs="David" w:hint="cs"/>
          <w:sz w:val="28"/>
          <w:szCs w:val="28"/>
          <w:rtl/>
        </w:rPr>
        <w:t xml:space="preserve"> במצבים כאלה ניתן, באופן תיאורטי, לשתף פעולה עם </w:t>
      </w:r>
      <w:r w:rsidR="001165FD">
        <w:rPr>
          <w:rFonts w:cs="David" w:hint="cs"/>
          <w:sz w:val="28"/>
          <w:szCs w:val="28"/>
          <w:rtl/>
        </w:rPr>
        <w:t>הוועדה</w:t>
      </w:r>
      <w:r w:rsidR="00753E83">
        <w:rPr>
          <w:rFonts w:cs="David" w:hint="cs"/>
          <w:sz w:val="28"/>
          <w:szCs w:val="28"/>
          <w:rtl/>
        </w:rPr>
        <w:t xml:space="preserve"> באופן דיסקרטי, "מאחורי הקלעים". שיתוף פעולה כזה מאפשר להעביר </w:t>
      </w:r>
      <w:r w:rsidR="00014821">
        <w:rPr>
          <w:rFonts w:cs="David" w:hint="cs"/>
          <w:sz w:val="28"/>
          <w:szCs w:val="28"/>
          <w:rtl/>
        </w:rPr>
        <w:t>לוועדה</w:t>
      </w:r>
      <w:r w:rsidR="00753E83">
        <w:rPr>
          <w:rFonts w:cs="David" w:hint="cs"/>
          <w:sz w:val="28"/>
          <w:szCs w:val="28"/>
          <w:rtl/>
        </w:rPr>
        <w:t xml:space="preserve"> מידע ותחושה כי המדינה אינה מתכחשת כליל לעבודת</w:t>
      </w:r>
      <w:r w:rsidR="00BE56F0">
        <w:rPr>
          <w:rFonts w:cs="David" w:hint="cs"/>
          <w:sz w:val="28"/>
          <w:szCs w:val="28"/>
          <w:rtl/>
        </w:rPr>
        <w:t>ה</w:t>
      </w:r>
      <w:r w:rsidR="00753E83">
        <w:rPr>
          <w:rFonts w:cs="David" w:hint="cs"/>
          <w:sz w:val="28"/>
          <w:szCs w:val="28"/>
          <w:rtl/>
        </w:rPr>
        <w:t xml:space="preserve"> ולחשיבותה. במקביל,</w:t>
      </w:r>
      <w:r>
        <w:rPr>
          <w:rFonts w:cs="David" w:hint="cs"/>
          <w:sz w:val="28"/>
          <w:szCs w:val="28"/>
          <w:rtl/>
        </w:rPr>
        <w:t xml:space="preserve"> </w:t>
      </w:r>
      <w:r w:rsidR="007011D0">
        <w:rPr>
          <w:rFonts w:cs="David" w:hint="cs"/>
          <w:sz w:val="28"/>
          <w:szCs w:val="28"/>
          <w:rtl/>
        </w:rPr>
        <w:t xml:space="preserve">מאפשר </w:t>
      </w:r>
      <w:r w:rsidR="00753E83">
        <w:rPr>
          <w:rFonts w:cs="David" w:hint="cs"/>
          <w:sz w:val="28"/>
          <w:szCs w:val="28"/>
          <w:rtl/>
        </w:rPr>
        <w:t xml:space="preserve">שיתוף פעולה כזה </w:t>
      </w:r>
      <w:r w:rsidR="007011D0">
        <w:rPr>
          <w:rFonts w:cs="David" w:hint="cs"/>
          <w:sz w:val="28"/>
          <w:szCs w:val="28"/>
          <w:rtl/>
        </w:rPr>
        <w:t>מרחב הכחשה (</w:t>
      </w:r>
      <w:r w:rsidR="007011D0">
        <w:rPr>
          <w:rFonts w:cs="David"/>
          <w:sz w:val="28"/>
          <w:szCs w:val="28"/>
        </w:rPr>
        <w:t>deniability</w:t>
      </w:r>
      <w:r w:rsidR="007011D0">
        <w:rPr>
          <w:rFonts w:cs="David" w:hint="cs"/>
          <w:sz w:val="28"/>
          <w:szCs w:val="28"/>
          <w:rtl/>
        </w:rPr>
        <w:t xml:space="preserve">) </w:t>
      </w:r>
      <w:r w:rsidR="00753E83">
        <w:rPr>
          <w:rFonts w:cs="David" w:hint="cs"/>
          <w:sz w:val="28"/>
          <w:szCs w:val="28"/>
          <w:rtl/>
        </w:rPr>
        <w:t>פוליטי למקבלי ההחלטות.</w:t>
      </w:r>
    </w:p>
    <w:p w:rsidR="00753E83" w:rsidRDefault="00753E83" w:rsidP="008B316C">
      <w:pPr>
        <w:spacing w:after="0" w:line="360" w:lineRule="auto"/>
        <w:jc w:val="both"/>
        <w:rPr>
          <w:rFonts w:cs="David"/>
          <w:sz w:val="28"/>
          <w:szCs w:val="28"/>
          <w:rtl/>
        </w:rPr>
      </w:pPr>
    </w:p>
    <w:p w:rsidR="007011D0" w:rsidRDefault="00753E83" w:rsidP="00BE56F0">
      <w:pPr>
        <w:spacing w:after="0" w:line="360" w:lineRule="auto"/>
        <w:jc w:val="both"/>
        <w:rPr>
          <w:rFonts w:cs="David"/>
          <w:sz w:val="28"/>
          <w:szCs w:val="28"/>
          <w:rtl/>
        </w:rPr>
      </w:pPr>
      <w:r>
        <w:rPr>
          <w:rFonts w:cs="David" w:hint="cs"/>
          <w:sz w:val="28"/>
          <w:szCs w:val="28"/>
          <w:rtl/>
        </w:rPr>
        <w:t>כמובן ש</w:t>
      </w:r>
      <w:r w:rsidR="007011D0">
        <w:rPr>
          <w:rFonts w:cs="David" w:hint="cs"/>
          <w:sz w:val="28"/>
          <w:szCs w:val="28"/>
          <w:rtl/>
        </w:rPr>
        <w:t xml:space="preserve">שיתוף פעולה מעין זה תלוי בהסכמה של חברי </w:t>
      </w:r>
      <w:r w:rsidR="009C039C">
        <w:rPr>
          <w:rFonts w:cs="David" w:hint="cs"/>
          <w:sz w:val="28"/>
          <w:szCs w:val="28"/>
          <w:rtl/>
        </w:rPr>
        <w:t>ועדת החקירה</w:t>
      </w:r>
      <w:r w:rsidR="007011D0">
        <w:rPr>
          <w:rFonts w:cs="David" w:hint="cs"/>
          <w:sz w:val="28"/>
          <w:szCs w:val="28"/>
          <w:rtl/>
        </w:rPr>
        <w:t xml:space="preserve">, שלא בהכרח תינתן, מאחר ששיתוף פעולה כזה אמנם מספק </w:t>
      </w:r>
      <w:r w:rsidR="00014821">
        <w:rPr>
          <w:rFonts w:cs="David" w:hint="cs"/>
          <w:sz w:val="28"/>
          <w:szCs w:val="28"/>
          <w:rtl/>
        </w:rPr>
        <w:t>לוועדה</w:t>
      </w:r>
      <w:r w:rsidR="007011D0">
        <w:rPr>
          <w:rFonts w:cs="David" w:hint="cs"/>
          <w:sz w:val="28"/>
          <w:szCs w:val="28"/>
          <w:rtl/>
        </w:rPr>
        <w:t xml:space="preserve"> נגישות גבוהה יותר לחומר, אך משאיר אות</w:t>
      </w:r>
      <w:r w:rsidR="00BE56F0">
        <w:rPr>
          <w:rFonts w:cs="David" w:hint="cs"/>
          <w:sz w:val="28"/>
          <w:szCs w:val="28"/>
          <w:rtl/>
        </w:rPr>
        <w:t>ה</w:t>
      </w:r>
      <w:r w:rsidR="007011D0">
        <w:rPr>
          <w:rFonts w:cs="David" w:hint="cs"/>
          <w:sz w:val="28"/>
          <w:szCs w:val="28"/>
          <w:rtl/>
        </w:rPr>
        <w:t xml:space="preserve"> נטול</w:t>
      </w:r>
      <w:r w:rsidR="00BE56F0">
        <w:rPr>
          <w:rFonts w:cs="David" w:hint="cs"/>
          <w:sz w:val="28"/>
          <w:szCs w:val="28"/>
          <w:rtl/>
        </w:rPr>
        <w:t>ת</w:t>
      </w:r>
      <w:r w:rsidR="007011D0">
        <w:rPr>
          <w:rFonts w:cs="David" w:hint="cs"/>
          <w:sz w:val="28"/>
          <w:szCs w:val="28"/>
          <w:rtl/>
        </w:rPr>
        <w:t xml:space="preserve"> לגיטימציה </w:t>
      </w:r>
      <w:r>
        <w:rPr>
          <w:rFonts w:cs="David" w:hint="cs"/>
          <w:sz w:val="28"/>
          <w:szCs w:val="28"/>
          <w:rtl/>
        </w:rPr>
        <w:t xml:space="preserve">רשמית </w:t>
      </w:r>
      <w:r w:rsidR="007011D0">
        <w:rPr>
          <w:rFonts w:cs="David" w:hint="cs"/>
          <w:sz w:val="28"/>
          <w:szCs w:val="28"/>
          <w:rtl/>
        </w:rPr>
        <w:t>מצד המדינה הנבדקת</w:t>
      </w:r>
      <w:r>
        <w:rPr>
          <w:rFonts w:cs="David" w:hint="cs"/>
          <w:sz w:val="28"/>
          <w:szCs w:val="28"/>
          <w:rtl/>
        </w:rPr>
        <w:t>.</w:t>
      </w:r>
      <w:r w:rsidR="007011D0">
        <w:rPr>
          <w:rFonts w:cs="David" w:hint="cs"/>
          <w:sz w:val="28"/>
          <w:szCs w:val="28"/>
          <w:rtl/>
        </w:rPr>
        <w:t xml:space="preserve"> </w:t>
      </w:r>
      <w:r>
        <w:rPr>
          <w:rFonts w:cs="David" w:hint="cs"/>
          <w:sz w:val="28"/>
          <w:szCs w:val="28"/>
          <w:rtl/>
        </w:rPr>
        <w:t xml:space="preserve">עם זאת, </w:t>
      </w:r>
      <w:r w:rsidR="007011D0">
        <w:rPr>
          <w:rFonts w:cs="David" w:hint="cs"/>
          <w:sz w:val="28"/>
          <w:szCs w:val="28"/>
          <w:rtl/>
        </w:rPr>
        <w:t xml:space="preserve">שיח </w:t>
      </w:r>
      <w:r>
        <w:rPr>
          <w:rFonts w:cs="David" w:hint="cs"/>
          <w:sz w:val="28"/>
          <w:szCs w:val="28"/>
          <w:rtl/>
        </w:rPr>
        <w:t xml:space="preserve">שנוצר דרך שיתוף פעולה </w:t>
      </w:r>
      <w:r w:rsidR="007011D0">
        <w:rPr>
          <w:rFonts w:cs="David" w:hint="cs"/>
          <w:sz w:val="28"/>
          <w:szCs w:val="28"/>
          <w:rtl/>
        </w:rPr>
        <w:t xml:space="preserve">כזה יכול בחלק מהמקרים להפחית את מימד הפגיעה האישית שרואים חברי </w:t>
      </w:r>
      <w:r w:rsidR="0074404A">
        <w:rPr>
          <w:rFonts w:cs="David" w:hint="cs"/>
          <w:sz w:val="28"/>
          <w:szCs w:val="28"/>
          <w:rtl/>
        </w:rPr>
        <w:t>ועדה</w:t>
      </w:r>
      <w:r w:rsidR="007011D0">
        <w:rPr>
          <w:rFonts w:cs="David" w:hint="cs"/>
          <w:sz w:val="28"/>
          <w:szCs w:val="28"/>
          <w:rtl/>
        </w:rPr>
        <w:t xml:space="preserve"> הוגנים, שאינם מבינים מדוע </w:t>
      </w:r>
      <w:r>
        <w:rPr>
          <w:rFonts w:cs="David" w:hint="cs"/>
          <w:sz w:val="28"/>
          <w:szCs w:val="28"/>
          <w:rtl/>
        </w:rPr>
        <w:t>ה</w:t>
      </w:r>
      <w:r w:rsidR="007011D0">
        <w:rPr>
          <w:rFonts w:cs="David" w:hint="cs"/>
          <w:sz w:val="28"/>
          <w:szCs w:val="28"/>
          <w:rtl/>
        </w:rPr>
        <w:t>מדינ</w:t>
      </w:r>
      <w:r>
        <w:rPr>
          <w:rFonts w:cs="David" w:hint="cs"/>
          <w:sz w:val="28"/>
          <w:szCs w:val="28"/>
          <w:rtl/>
        </w:rPr>
        <w:t xml:space="preserve">ה </w:t>
      </w:r>
      <w:r w:rsidR="007011D0">
        <w:rPr>
          <w:rFonts w:cs="David" w:hint="cs"/>
          <w:sz w:val="28"/>
          <w:szCs w:val="28"/>
          <w:rtl/>
        </w:rPr>
        <w:t>מסרב</w:t>
      </w:r>
      <w:r>
        <w:rPr>
          <w:rFonts w:cs="David" w:hint="cs"/>
          <w:sz w:val="28"/>
          <w:szCs w:val="28"/>
          <w:rtl/>
        </w:rPr>
        <w:t>ת לשתף עמם פעולה</w:t>
      </w:r>
      <w:r w:rsidR="007011D0">
        <w:rPr>
          <w:rFonts w:cs="David" w:hint="cs"/>
          <w:sz w:val="28"/>
          <w:szCs w:val="28"/>
          <w:rtl/>
        </w:rPr>
        <w:t>.</w:t>
      </w:r>
    </w:p>
    <w:p w:rsidR="00753E83" w:rsidRDefault="00753E83" w:rsidP="008B316C">
      <w:pPr>
        <w:spacing w:after="0" w:line="360" w:lineRule="auto"/>
        <w:jc w:val="both"/>
        <w:rPr>
          <w:rFonts w:cs="David"/>
          <w:sz w:val="28"/>
          <w:szCs w:val="28"/>
          <w:rtl/>
        </w:rPr>
      </w:pPr>
    </w:p>
    <w:p w:rsidR="007011D0" w:rsidRDefault="00753E83" w:rsidP="008B316C">
      <w:pPr>
        <w:spacing w:after="0" w:line="360" w:lineRule="auto"/>
        <w:jc w:val="both"/>
        <w:rPr>
          <w:rFonts w:cs="David"/>
          <w:sz w:val="28"/>
          <w:szCs w:val="28"/>
          <w:rtl/>
        </w:rPr>
      </w:pPr>
      <w:r>
        <w:rPr>
          <w:rFonts w:cs="David" w:hint="cs"/>
          <w:sz w:val="28"/>
          <w:szCs w:val="28"/>
          <w:rtl/>
        </w:rPr>
        <w:t xml:space="preserve">ניתן למנות מספר </w:t>
      </w:r>
      <w:r w:rsidR="007011D0">
        <w:rPr>
          <w:rFonts w:cs="David" w:hint="cs"/>
          <w:sz w:val="28"/>
          <w:szCs w:val="28"/>
          <w:rtl/>
        </w:rPr>
        <w:t xml:space="preserve">יתרונות </w:t>
      </w:r>
      <w:r>
        <w:rPr>
          <w:rFonts w:cs="David" w:hint="cs"/>
          <w:sz w:val="28"/>
          <w:szCs w:val="28"/>
          <w:rtl/>
        </w:rPr>
        <w:t xml:space="preserve">לשיתוף פעולה דיסקרטי. הוא </w:t>
      </w:r>
      <w:r w:rsidR="007011D0">
        <w:rPr>
          <w:rFonts w:cs="David" w:hint="cs"/>
          <w:sz w:val="28"/>
          <w:szCs w:val="28"/>
          <w:rtl/>
        </w:rPr>
        <w:t xml:space="preserve">מאפשר יצירת קשר אישי </w:t>
      </w:r>
      <w:r>
        <w:rPr>
          <w:rFonts w:cs="David" w:hint="cs"/>
          <w:sz w:val="28"/>
          <w:szCs w:val="28"/>
          <w:rtl/>
        </w:rPr>
        <w:t xml:space="preserve">בין נציגי המדינה לחברי </w:t>
      </w:r>
      <w:r w:rsidR="001165FD">
        <w:rPr>
          <w:rFonts w:cs="David" w:hint="cs"/>
          <w:sz w:val="28"/>
          <w:szCs w:val="28"/>
          <w:rtl/>
        </w:rPr>
        <w:t>הוועדה</w:t>
      </w:r>
      <w:r>
        <w:rPr>
          <w:rFonts w:cs="David" w:hint="cs"/>
          <w:sz w:val="28"/>
          <w:szCs w:val="28"/>
          <w:rtl/>
        </w:rPr>
        <w:t xml:space="preserve">, </w:t>
      </w:r>
      <w:r w:rsidR="007011D0">
        <w:rPr>
          <w:rFonts w:cs="David" w:hint="cs"/>
          <w:sz w:val="28"/>
          <w:szCs w:val="28"/>
          <w:rtl/>
        </w:rPr>
        <w:t xml:space="preserve">על יתרונותיו </w:t>
      </w:r>
      <w:r>
        <w:rPr>
          <w:rFonts w:cs="David" w:hint="cs"/>
          <w:sz w:val="28"/>
          <w:szCs w:val="28"/>
          <w:rtl/>
        </w:rPr>
        <w:t xml:space="preserve">הרבים, </w:t>
      </w:r>
      <w:r w:rsidR="007011D0">
        <w:rPr>
          <w:rFonts w:cs="David" w:hint="cs"/>
          <w:sz w:val="28"/>
          <w:szCs w:val="28"/>
          <w:rtl/>
        </w:rPr>
        <w:t>כפי שתוארו לעיל</w:t>
      </w:r>
      <w:r>
        <w:rPr>
          <w:rFonts w:cs="David" w:hint="cs"/>
          <w:sz w:val="28"/>
          <w:szCs w:val="28"/>
          <w:rtl/>
        </w:rPr>
        <w:t>. הוא מתנהל הרחק</w:t>
      </w:r>
      <w:r w:rsidR="007011D0">
        <w:rPr>
          <w:rFonts w:cs="David" w:hint="cs"/>
          <w:sz w:val="28"/>
          <w:szCs w:val="28"/>
          <w:rtl/>
        </w:rPr>
        <w:t xml:space="preserve"> </w:t>
      </w:r>
      <w:r>
        <w:rPr>
          <w:rFonts w:cs="David" w:hint="cs"/>
          <w:sz w:val="28"/>
          <w:szCs w:val="28"/>
          <w:rtl/>
        </w:rPr>
        <w:t xml:space="preserve">מעין </w:t>
      </w:r>
      <w:r w:rsidR="007011D0">
        <w:rPr>
          <w:rFonts w:cs="David" w:hint="cs"/>
          <w:sz w:val="28"/>
          <w:szCs w:val="28"/>
          <w:rtl/>
        </w:rPr>
        <w:t>התקשורת</w:t>
      </w:r>
      <w:r>
        <w:rPr>
          <w:rFonts w:cs="David" w:hint="cs"/>
          <w:sz w:val="28"/>
          <w:szCs w:val="28"/>
          <w:rtl/>
        </w:rPr>
        <w:t xml:space="preserve"> ולא כרוך ב"הפרעות" שיכולות להיווצר מדיווחים תקשורתיים ומהשיח הציבורי שמתפתח בעקבותיהם.</w:t>
      </w:r>
      <w:r w:rsidR="007011D0">
        <w:rPr>
          <w:rFonts w:cs="David" w:hint="cs"/>
          <w:sz w:val="28"/>
          <w:szCs w:val="28"/>
          <w:rtl/>
        </w:rPr>
        <w:t xml:space="preserve"> </w:t>
      </w:r>
      <w:r>
        <w:rPr>
          <w:rFonts w:cs="David" w:hint="cs"/>
          <w:sz w:val="28"/>
          <w:szCs w:val="28"/>
          <w:rtl/>
        </w:rPr>
        <w:t xml:space="preserve">שיח חשאי כזה גם מתנהל ללא </w:t>
      </w:r>
      <w:r w:rsidR="007011D0">
        <w:rPr>
          <w:rFonts w:cs="David" w:hint="cs"/>
          <w:sz w:val="28"/>
          <w:szCs w:val="28"/>
          <w:rtl/>
        </w:rPr>
        <w:t>הפרעות של הצד השני, ש</w:t>
      </w:r>
      <w:r>
        <w:rPr>
          <w:rFonts w:cs="David" w:hint="cs"/>
          <w:sz w:val="28"/>
          <w:szCs w:val="28"/>
          <w:rtl/>
        </w:rPr>
        <w:t xml:space="preserve">אינו </w:t>
      </w:r>
      <w:r w:rsidR="007011D0">
        <w:rPr>
          <w:rFonts w:cs="David" w:hint="cs"/>
          <w:sz w:val="28"/>
          <w:szCs w:val="28"/>
          <w:rtl/>
        </w:rPr>
        <w:t xml:space="preserve">יודע </w:t>
      </w:r>
      <w:r>
        <w:rPr>
          <w:rFonts w:cs="David" w:hint="cs"/>
          <w:sz w:val="28"/>
          <w:szCs w:val="28"/>
          <w:rtl/>
        </w:rPr>
        <w:t xml:space="preserve">איזה חומר ואילו טיעונים הועברו </w:t>
      </w:r>
      <w:r w:rsidR="00014821">
        <w:rPr>
          <w:rFonts w:cs="David" w:hint="cs"/>
          <w:sz w:val="28"/>
          <w:szCs w:val="28"/>
          <w:rtl/>
        </w:rPr>
        <w:t>לוועדה</w:t>
      </w:r>
      <w:r w:rsidR="007011D0">
        <w:rPr>
          <w:rFonts w:cs="David" w:hint="cs"/>
          <w:sz w:val="28"/>
          <w:szCs w:val="28"/>
          <w:rtl/>
        </w:rPr>
        <w:t xml:space="preserve"> </w:t>
      </w:r>
      <w:r>
        <w:rPr>
          <w:rFonts w:cs="David" w:hint="cs"/>
          <w:sz w:val="28"/>
          <w:szCs w:val="28"/>
          <w:rtl/>
        </w:rPr>
        <w:t>ולא יכול להגיב בהתאם.</w:t>
      </w:r>
      <w:r w:rsidR="007011D0">
        <w:rPr>
          <w:rFonts w:cs="David" w:hint="cs"/>
          <w:sz w:val="28"/>
          <w:szCs w:val="28"/>
          <w:rtl/>
        </w:rPr>
        <w:t xml:space="preserve"> </w:t>
      </w:r>
      <w:r>
        <w:rPr>
          <w:rFonts w:cs="David" w:hint="cs"/>
          <w:sz w:val="28"/>
          <w:szCs w:val="28"/>
          <w:rtl/>
        </w:rPr>
        <w:t xml:space="preserve">במקביל, אפילו אם מתפתחת </w:t>
      </w:r>
      <w:r w:rsidR="007011D0">
        <w:rPr>
          <w:rFonts w:cs="David" w:hint="cs"/>
          <w:sz w:val="28"/>
          <w:szCs w:val="28"/>
          <w:rtl/>
        </w:rPr>
        <w:t xml:space="preserve">ידיעה של הצד השני שמתקיים שיח חשאי </w:t>
      </w:r>
      <w:r>
        <w:rPr>
          <w:rFonts w:cs="David" w:hint="cs"/>
          <w:sz w:val="28"/>
          <w:szCs w:val="28"/>
          <w:rtl/>
        </w:rPr>
        <w:t xml:space="preserve">מעין זה </w:t>
      </w:r>
      <w:r w:rsidR="007011D0">
        <w:rPr>
          <w:rFonts w:cs="David" w:hint="cs"/>
          <w:sz w:val="28"/>
          <w:szCs w:val="28"/>
          <w:rtl/>
        </w:rPr>
        <w:t xml:space="preserve">עם </w:t>
      </w:r>
      <w:r w:rsidR="001165FD">
        <w:rPr>
          <w:rFonts w:cs="David" w:hint="cs"/>
          <w:sz w:val="28"/>
          <w:szCs w:val="28"/>
          <w:rtl/>
        </w:rPr>
        <w:t>הוועדה</w:t>
      </w:r>
      <w:r>
        <w:rPr>
          <w:rFonts w:cs="David" w:hint="cs"/>
          <w:sz w:val="28"/>
          <w:szCs w:val="28"/>
          <w:rtl/>
        </w:rPr>
        <w:t>, הדבר יכול</w:t>
      </w:r>
      <w:r w:rsidR="007011D0">
        <w:rPr>
          <w:rFonts w:cs="David" w:hint="cs"/>
          <w:sz w:val="28"/>
          <w:szCs w:val="28"/>
          <w:rtl/>
        </w:rPr>
        <w:t xml:space="preserve"> </w:t>
      </w:r>
      <w:r>
        <w:rPr>
          <w:rFonts w:cs="David" w:hint="cs"/>
          <w:sz w:val="28"/>
          <w:szCs w:val="28"/>
          <w:rtl/>
        </w:rPr>
        <w:t>ל</w:t>
      </w:r>
      <w:r w:rsidR="007011D0">
        <w:rPr>
          <w:rFonts w:cs="David" w:hint="cs"/>
          <w:sz w:val="28"/>
          <w:szCs w:val="28"/>
          <w:rtl/>
        </w:rPr>
        <w:t xml:space="preserve">ייצר </w:t>
      </w:r>
      <w:r>
        <w:rPr>
          <w:rFonts w:cs="David" w:hint="cs"/>
          <w:sz w:val="28"/>
          <w:szCs w:val="28"/>
          <w:rtl/>
        </w:rPr>
        <w:t xml:space="preserve">אצלו </w:t>
      </w:r>
      <w:r w:rsidR="007011D0">
        <w:rPr>
          <w:rFonts w:cs="David" w:hint="cs"/>
          <w:sz w:val="28"/>
          <w:szCs w:val="28"/>
          <w:rtl/>
        </w:rPr>
        <w:t>עמימות ולחץ</w:t>
      </w:r>
      <w:r>
        <w:rPr>
          <w:rFonts w:cs="David" w:hint="cs"/>
          <w:sz w:val="28"/>
          <w:szCs w:val="28"/>
          <w:rtl/>
        </w:rPr>
        <w:t>, שיש להם ערך במונחים של ניהול מערכה מעין זו</w:t>
      </w:r>
      <w:r w:rsidR="007011D0">
        <w:rPr>
          <w:rFonts w:cs="David" w:hint="cs"/>
          <w:sz w:val="28"/>
          <w:szCs w:val="28"/>
          <w:rtl/>
        </w:rPr>
        <w:t>.</w:t>
      </w:r>
    </w:p>
    <w:p w:rsidR="00753E83" w:rsidRDefault="00753E83" w:rsidP="008B316C">
      <w:pPr>
        <w:spacing w:after="0" w:line="360" w:lineRule="auto"/>
        <w:jc w:val="both"/>
        <w:rPr>
          <w:rFonts w:cs="David"/>
          <w:sz w:val="28"/>
          <w:szCs w:val="28"/>
          <w:rtl/>
        </w:rPr>
      </w:pPr>
    </w:p>
    <w:p w:rsidR="007011D0" w:rsidRDefault="00753E83" w:rsidP="00BE56F0">
      <w:pPr>
        <w:spacing w:after="0" w:line="360" w:lineRule="auto"/>
        <w:jc w:val="both"/>
        <w:rPr>
          <w:rFonts w:cs="David"/>
          <w:sz w:val="28"/>
          <w:szCs w:val="28"/>
          <w:rtl/>
        </w:rPr>
      </w:pPr>
      <w:r>
        <w:rPr>
          <w:rFonts w:cs="David" w:hint="cs"/>
          <w:sz w:val="28"/>
          <w:szCs w:val="28"/>
          <w:rtl/>
        </w:rPr>
        <w:t xml:space="preserve">יחד עם זאת, יש גם </w:t>
      </w:r>
      <w:r w:rsidR="007011D0">
        <w:rPr>
          <w:rFonts w:cs="David" w:hint="cs"/>
          <w:sz w:val="28"/>
          <w:szCs w:val="28"/>
          <w:rtl/>
        </w:rPr>
        <w:t xml:space="preserve">חסרונות </w:t>
      </w:r>
      <w:r>
        <w:rPr>
          <w:rFonts w:cs="David" w:hint="cs"/>
          <w:sz w:val="28"/>
          <w:szCs w:val="28"/>
          <w:rtl/>
        </w:rPr>
        <w:t xml:space="preserve">לא מבוטלים בשיתוף פעולה חשאי. </w:t>
      </w:r>
      <w:r w:rsidR="00DA7873">
        <w:rPr>
          <w:rFonts w:cs="David" w:hint="cs"/>
          <w:sz w:val="28"/>
          <w:szCs w:val="28"/>
          <w:rtl/>
        </w:rPr>
        <w:t xml:space="preserve">ראשית, שיתוף פעולה כזה תלוי בראש ובראשונה במידת האמון של המדינה בכך ששיתוף הפעולה שלה לא יודלף. מובן שסיכון כזה הוא אינהרנטי. </w:t>
      </w:r>
      <w:r w:rsidR="007011D0">
        <w:rPr>
          <w:rFonts w:cs="David" w:hint="cs"/>
          <w:sz w:val="28"/>
          <w:szCs w:val="28"/>
          <w:rtl/>
        </w:rPr>
        <w:t xml:space="preserve">שיתוף פעולה </w:t>
      </w:r>
      <w:r>
        <w:rPr>
          <w:rFonts w:cs="David" w:hint="cs"/>
          <w:sz w:val="28"/>
          <w:szCs w:val="28"/>
          <w:rtl/>
        </w:rPr>
        <w:t xml:space="preserve">כזה </w:t>
      </w:r>
      <w:r w:rsidR="007011D0">
        <w:rPr>
          <w:rFonts w:cs="David" w:hint="cs"/>
          <w:sz w:val="28"/>
          <w:szCs w:val="28"/>
          <w:rtl/>
        </w:rPr>
        <w:t>אינו מאפשר להדגים שהמדינה היא חלק מהקהילה הבינלאומית</w:t>
      </w:r>
      <w:r>
        <w:rPr>
          <w:rFonts w:cs="David" w:hint="cs"/>
          <w:sz w:val="28"/>
          <w:szCs w:val="28"/>
          <w:rtl/>
        </w:rPr>
        <w:t xml:space="preserve"> ולגרוף את הרווחים הנלווים </w:t>
      </w:r>
      <w:r>
        <w:rPr>
          <w:rFonts w:cs="David" w:hint="cs"/>
          <w:sz w:val="28"/>
          <w:szCs w:val="28"/>
          <w:rtl/>
        </w:rPr>
        <w:lastRenderedPageBreak/>
        <w:t>לכך. בכך הוא לא משנה את יכולתם</w:t>
      </w:r>
      <w:r w:rsidR="007011D0">
        <w:rPr>
          <w:rFonts w:cs="David" w:hint="cs"/>
          <w:sz w:val="28"/>
          <w:szCs w:val="28"/>
          <w:rtl/>
        </w:rPr>
        <w:t xml:space="preserve"> </w:t>
      </w:r>
      <w:r>
        <w:rPr>
          <w:rFonts w:cs="David" w:hint="cs"/>
          <w:sz w:val="28"/>
          <w:szCs w:val="28"/>
          <w:rtl/>
        </w:rPr>
        <w:t xml:space="preserve">של </w:t>
      </w:r>
      <w:r w:rsidR="007011D0">
        <w:rPr>
          <w:rFonts w:cs="David" w:hint="cs"/>
          <w:sz w:val="28"/>
          <w:szCs w:val="28"/>
          <w:rtl/>
        </w:rPr>
        <w:t>מקטרגי</w:t>
      </w:r>
      <w:r>
        <w:rPr>
          <w:rFonts w:cs="David" w:hint="cs"/>
          <w:sz w:val="28"/>
          <w:szCs w:val="28"/>
          <w:rtl/>
        </w:rPr>
        <w:t xml:space="preserve"> המדינ</w:t>
      </w:r>
      <w:r w:rsidR="007011D0">
        <w:rPr>
          <w:rFonts w:cs="David" w:hint="cs"/>
          <w:sz w:val="28"/>
          <w:szCs w:val="28"/>
          <w:rtl/>
        </w:rPr>
        <w:t xml:space="preserve">ה </w:t>
      </w:r>
      <w:r>
        <w:rPr>
          <w:rFonts w:cs="David" w:hint="cs"/>
          <w:sz w:val="28"/>
          <w:szCs w:val="28"/>
          <w:rtl/>
        </w:rPr>
        <w:t xml:space="preserve">לטעון </w:t>
      </w:r>
      <w:r w:rsidR="007011D0">
        <w:rPr>
          <w:rFonts w:cs="David" w:hint="cs"/>
          <w:sz w:val="28"/>
          <w:szCs w:val="28"/>
          <w:rtl/>
        </w:rPr>
        <w:t xml:space="preserve">שמדובר במדינה מנודה </w:t>
      </w:r>
      <w:r w:rsidR="007011D0" w:rsidRPr="00753E83">
        <w:rPr>
          <w:rFonts w:cs="David" w:hint="cs"/>
          <w:sz w:val="28"/>
          <w:szCs w:val="28"/>
          <w:rtl/>
        </w:rPr>
        <w:t>ומוקצית</w:t>
      </w:r>
      <w:r>
        <w:rPr>
          <w:rFonts w:cs="David" w:hint="cs"/>
          <w:sz w:val="28"/>
          <w:szCs w:val="28"/>
          <w:rtl/>
        </w:rPr>
        <w:t>.</w:t>
      </w:r>
      <w:r w:rsidR="00DA7873">
        <w:rPr>
          <w:rFonts w:cs="David" w:hint="cs"/>
          <w:sz w:val="28"/>
          <w:szCs w:val="28"/>
          <w:rtl/>
        </w:rPr>
        <w:t xml:space="preserve"> שיתוף פעולה כזה יכול מטבעו להתקיים רק עם חברי </w:t>
      </w:r>
      <w:r w:rsidR="001165FD">
        <w:rPr>
          <w:rFonts w:cs="David" w:hint="cs"/>
          <w:sz w:val="28"/>
          <w:szCs w:val="28"/>
          <w:rtl/>
        </w:rPr>
        <w:t>הוועדה</w:t>
      </w:r>
      <w:r w:rsidR="00DA7873">
        <w:rPr>
          <w:rFonts w:cs="David" w:hint="cs"/>
          <w:sz w:val="28"/>
          <w:szCs w:val="28"/>
          <w:rtl/>
        </w:rPr>
        <w:t xml:space="preserve"> עצמם או עם חלקם ולכן הוא </w:t>
      </w:r>
      <w:r w:rsidR="007011D0">
        <w:rPr>
          <w:rFonts w:cs="David" w:hint="cs"/>
          <w:sz w:val="28"/>
          <w:szCs w:val="28"/>
          <w:rtl/>
        </w:rPr>
        <w:t xml:space="preserve">לא </w:t>
      </w:r>
      <w:r w:rsidR="00DA7873">
        <w:rPr>
          <w:rFonts w:cs="David" w:hint="cs"/>
          <w:sz w:val="28"/>
          <w:szCs w:val="28"/>
          <w:rtl/>
        </w:rPr>
        <w:t xml:space="preserve">מאפשר </w:t>
      </w:r>
      <w:r w:rsidR="007011D0">
        <w:rPr>
          <w:rFonts w:cs="David" w:hint="cs"/>
          <w:sz w:val="28"/>
          <w:szCs w:val="28"/>
          <w:rtl/>
        </w:rPr>
        <w:t>להשפיע על המומחים</w:t>
      </w:r>
      <w:r w:rsidR="00DA7873">
        <w:rPr>
          <w:rFonts w:cs="David" w:hint="cs"/>
          <w:sz w:val="28"/>
          <w:szCs w:val="28"/>
          <w:rtl/>
        </w:rPr>
        <w:t xml:space="preserve"> שעמם עובד</w:t>
      </w:r>
      <w:r w:rsidR="00BE56F0">
        <w:rPr>
          <w:rFonts w:cs="David" w:hint="cs"/>
          <w:sz w:val="28"/>
          <w:szCs w:val="28"/>
          <w:rtl/>
        </w:rPr>
        <w:t>ת</w:t>
      </w:r>
      <w:r w:rsidR="00DA7873">
        <w:rPr>
          <w:rFonts w:cs="David" w:hint="cs"/>
          <w:sz w:val="28"/>
          <w:szCs w:val="28"/>
          <w:rtl/>
        </w:rPr>
        <w:t xml:space="preserve"> </w:t>
      </w:r>
      <w:r w:rsidR="001165FD">
        <w:rPr>
          <w:rFonts w:cs="David" w:hint="cs"/>
          <w:sz w:val="28"/>
          <w:szCs w:val="28"/>
          <w:rtl/>
        </w:rPr>
        <w:t>הוועדה</w:t>
      </w:r>
      <w:r w:rsidR="00DA7873">
        <w:rPr>
          <w:rFonts w:cs="David" w:hint="cs"/>
          <w:sz w:val="28"/>
          <w:szCs w:val="28"/>
          <w:rtl/>
        </w:rPr>
        <w:t xml:space="preserve">, על צוות </w:t>
      </w:r>
      <w:r w:rsidR="001165FD">
        <w:rPr>
          <w:rFonts w:cs="David" w:hint="cs"/>
          <w:sz w:val="28"/>
          <w:szCs w:val="28"/>
          <w:rtl/>
        </w:rPr>
        <w:t>הוועדה</w:t>
      </w:r>
      <w:r w:rsidR="007011D0">
        <w:rPr>
          <w:rFonts w:cs="David" w:hint="cs"/>
          <w:sz w:val="28"/>
          <w:szCs w:val="28"/>
          <w:rtl/>
        </w:rPr>
        <w:t xml:space="preserve"> ו</w:t>
      </w:r>
      <w:r w:rsidR="00DA7873">
        <w:rPr>
          <w:rFonts w:cs="David" w:hint="cs"/>
          <w:sz w:val="28"/>
          <w:szCs w:val="28"/>
          <w:rtl/>
        </w:rPr>
        <w:t xml:space="preserve">על </w:t>
      </w:r>
      <w:r w:rsidR="007011D0">
        <w:rPr>
          <w:rFonts w:cs="David" w:hint="cs"/>
          <w:sz w:val="28"/>
          <w:szCs w:val="28"/>
          <w:rtl/>
        </w:rPr>
        <w:t>שיטת העבודה של</w:t>
      </w:r>
      <w:r w:rsidR="00BE56F0">
        <w:rPr>
          <w:rFonts w:cs="David" w:hint="cs"/>
          <w:sz w:val="28"/>
          <w:szCs w:val="28"/>
          <w:rtl/>
        </w:rPr>
        <w:t>ה</w:t>
      </w:r>
      <w:r w:rsidR="00DA7873">
        <w:rPr>
          <w:rFonts w:cs="David" w:hint="cs"/>
          <w:sz w:val="28"/>
          <w:szCs w:val="28"/>
          <w:rtl/>
        </w:rPr>
        <w:t xml:space="preserve">. שיתוף פעולה כזה גם לא תמיד מאפשר לחברי </w:t>
      </w:r>
      <w:r w:rsidR="001165FD">
        <w:rPr>
          <w:rFonts w:cs="David" w:hint="cs"/>
          <w:sz w:val="28"/>
          <w:szCs w:val="28"/>
          <w:rtl/>
        </w:rPr>
        <w:t>הוועדה</w:t>
      </w:r>
      <w:r w:rsidR="00DA7873">
        <w:rPr>
          <w:rFonts w:cs="David" w:hint="cs"/>
          <w:sz w:val="28"/>
          <w:szCs w:val="28"/>
          <w:rtl/>
        </w:rPr>
        <w:t xml:space="preserve"> שעמם מתנהל השיח לעשות שימוש במידע שהם מקבלים, כי הם אינם יכולים להעבירו לחברי </w:t>
      </w:r>
      <w:r w:rsidR="001165FD">
        <w:rPr>
          <w:rFonts w:cs="David" w:hint="cs"/>
          <w:sz w:val="28"/>
          <w:szCs w:val="28"/>
          <w:rtl/>
        </w:rPr>
        <w:t>הוועדה</w:t>
      </w:r>
      <w:r w:rsidR="00DA7873">
        <w:rPr>
          <w:rFonts w:cs="David" w:hint="cs"/>
          <w:sz w:val="28"/>
          <w:szCs w:val="28"/>
          <w:rtl/>
        </w:rPr>
        <w:t xml:space="preserve"> והצוות שלא משתתפים בשיח או להסביר את המקור שממנו קיבלו את המידע. עם זאת, יהיו מצבים שבהם השיח הזה יספק להם מידע שישכנע אותם לא להכניס לדוח נושאים מסוימים שהם מבינים ששאר הצוות שלהם תופס באופן שגוי, </w:t>
      </w:r>
      <w:r w:rsidR="003307C2">
        <w:rPr>
          <w:rFonts w:cs="David" w:hint="cs"/>
          <w:sz w:val="28"/>
          <w:szCs w:val="28"/>
          <w:rtl/>
        </w:rPr>
        <w:t xml:space="preserve">עובדתית או מהותית, </w:t>
      </w:r>
      <w:r w:rsidR="00DA7873">
        <w:rPr>
          <w:rFonts w:cs="David" w:hint="cs"/>
          <w:sz w:val="28"/>
          <w:szCs w:val="28"/>
          <w:rtl/>
        </w:rPr>
        <w:t xml:space="preserve">על סמך המידע שהועבר מהצד השני ומצדדים שלישיים. וישנם עוד חסרונות רבים שנובעים מחשאיותו של שיתוף הפעולה, כמו חוסר יכולת </w:t>
      </w:r>
      <w:r w:rsidR="007011D0">
        <w:rPr>
          <w:rFonts w:cs="David" w:hint="cs"/>
          <w:sz w:val="28"/>
          <w:szCs w:val="28"/>
          <w:rtl/>
        </w:rPr>
        <w:t>לבקש טיוטה של הדוח להתייחסות</w:t>
      </w:r>
      <w:r w:rsidR="00DA7873">
        <w:rPr>
          <w:rFonts w:cs="David" w:hint="cs"/>
          <w:sz w:val="28"/>
          <w:szCs w:val="28"/>
          <w:rtl/>
        </w:rPr>
        <w:t>.</w:t>
      </w:r>
      <w:r w:rsidR="003307C2">
        <w:rPr>
          <w:rFonts w:cs="David" w:hint="cs"/>
          <w:sz w:val="28"/>
          <w:szCs w:val="28"/>
          <w:rtl/>
        </w:rPr>
        <w:t xml:space="preserve"> נראה שהחיסרון הגדול מכולם נעוץ בעובדה ש</w:t>
      </w:r>
      <w:r w:rsidR="00014821">
        <w:rPr>
          <w:rFonts w:cs="David" w:hint="cs"/>
          <w:sz w:val="28"/>
          <w:szCs w:val="28"/>
          <w:rtl/>
        </w:rPr>
        <w:t>לוועדה</w:t>
      </w:r>
      <w:r w:rsidR="003307C2">
        <w:rPr>
          <w:rFonts w:cs="David" w:hint="cs"/>
          <w:sz w:val="28"/>
          <w:szCs w:val="28"/>
          <w:rtl/>
        </w:rPr>
        <w:t xml:space="preserve"> אין כל מחויבות לתת ביטוי כלשהו לשיתוף פעולה מעין זה וה</w:t>
      </w:r>
      <w:r w:rsidR="00BE56F0">
        <w:rPr>
          <w:rFonts w:cs="David" w:hint="cs"/>
          <w:sz w:val="28"/>
          <w:szCs w:val="28"/>
          <w:rtl/>
        </w:rPr>
        <w:t>י</w:t>
      </w:r>
      <w:r w:rsidR="003307C2">
        <w:rPr>
          <w:rFonts w:cs="David" w:hint="cs"/>
          <w:sz w:val="28"/>
          <w:szCs w:val="28"/>
          <w:rtl/>
        </w:rPr>
        <w:t>א יכול</w:t>
      </w:r>
      <w:r w:rsidR="00BE56F0">
        <w:rPr>
          <w:rFonts w:cs="David" w:hint="cs"/>
          <w:sz w:val="28"/>
          <w:szCs w:val="28"/>
          <w:rtl/>
        </w:rPr>
        <w:t>ה</w:t>
      </w:r>
      <w:r w:rsidR="003307C2">
        <w:rPr>
          <w:rFonts w:cs="David" w:hint="cs"/>
          <w:sz w:val="28"/>
          <w:szCs w:val="28"/>
          <w:rtl/>
        </w:rPr>
        <w:t xml:space="preserve"> להתעלם לחלוטין מכל המידע שנמסר ל</w:t>
      </w:r>
      <w:r w:rsidR="00BE56F0">
        <w:rPr>
          <w:rFonts w:cs="David" w:hint="cs"/>
          <w:sz w:val="28"/>
          <w:szCs w:val="28"/>
          <w:rtl/>
        </w:rPr>
        <w:t>ה</w:t>
      </w:r>
      <w:r w:rsidR="003307C2">
        <w:rPr>
          <w:rFonts w:cs="David" w:hint="cs"/>
          <w:sz w:val="28"/>
          <w:szCs w:val="28"/>
          <w:rtl/>
        </w:rPr>
        <w:t xml:space="preserve"> בערוץ החשאי שקוים עמ</w:t>
      </w:r>
      <w:r w:rsidR="00BE56F0">
        <w:rPr>
          <w:rFonts w:cs="David" w:hint="cs"/>
          <w:sz w:val="28"/>
          <w:szCs w:val="28"/>
          <w:rtl/>
        </w:rPr>
        <w:t>ה</w:t>
      </w:r>
      <w:r w:rsidR="003307C2">
        <w:rPr>
          <w:rFonts w:cs="David" w:hint="cs"/>
          <w:sz w:val="28"/>
          <w:szCs w:val="28"/>
          <w:rtl/>
        </w:rPr>
        <w:t>. זה יכול לקרות מטעמים זדוניים, וזה יכול לקרות מטעמים טכניים, שלא אפשרו מציאת דרך להעביר את המידע שנמסר לערוץ גלוי שנעשה בו שימוש</w:t>
      </w:r>
      <w:r w:rsidR="00692192">
        <w:rPr>
          <w:rFonts w:cs="David" w:hint="cs"/>
          <w:sz w:val="28"/>
          <w:szCs w:val="28"/>
          <w:rtl/>
        </w:rPr>
        <w:t xml:space="preserve"> על ידי </w:t>
      </w:r>
      <w:r w:rsidR="001165FD">
        <w:rPr>
          <w:rFonts w:cs="David" w:hint="cs"/>
          <w:sz w:val="28"/>
          <w:szCs w:val="28"/>
          <w:rtl/>
        </w:rPr>
        <w:t>הוועדה</w:t>
      </w:r>
      <w:r w:rsidR="003307C2">
        <w:rPr>
          <w:rFonts w:cs="David" w:hint="cs"/>
          <w:sz w:val="28"/>
          <w:szCs w:val="28"/>
          <w:rtl/>
        </w:rPr>
        <w:t>.</w:t>
      </w:r>
    </w:p>
    <w:p w:rsidR="00DA7873" w:rsidRDefault="00DA7873" w:rsidP="008B316C">
      <w:pPr>
        <w:spacing w:after="0" w:line="360" w:lineRule="auto"/>
        <w:jc w:val="both"/>
        <w:rPr>
          <w:rFonts w:cs="David"/>
          <w:sz w:val="28"/>
          <w:szCs w:val="28"/>
          <w:rtl/>
        </w:rPr>
      </w:pPr>
    </w:p>
    <w:p w:rsidR="007011D0" w:rsidRDefault="003307C2" w:rsidP="008B316C">
      <w:pPr>
        <w:spacing w:after="0" w:line="360" w:lineRule="auto"/>
        <w:jc w:val="both"/>
        <w:rPr>
          <w:rFonts w:cs="David"/>
          <w:sz w:val="28"/>
          <w:szCs w:val="28"/>
          <w:rtl/>
        </w:rPr>
      </w:pPr>
      <w:r>
        <w:rPr>
          <w:rFonts w:cs="David" w:hint="cs"/>
          <w:sz w:val="28"/>
          <w:szCs w:val="28"/>
          <w:rtl/>
        </w:rPr>
        <w:t xml:space="preserve">מרואיינים שנשאלו לגבי האפשרות כי המדינה תבקש לפעול בדרך זו במצבים מסוימים נחלקו בדעותיהם. חלקם סברו שאין כל טעם בשיתוף פעולה כזה ושחסרונותיו עולים בהרבה על יתרונותיו. אחרים סברו שבשל ריבוי האילוצים והנסיבות הלא טבעיות שעמם צריכה המדינה להתמודד, הצעה מעין זו יכולה להיות פתרון לא רע בחלק מהמצבים, בבחינת הרע במיעוטו. נראה, אם </w:t>
      </w:r>
      <w:r w:rsidR="00D81AB6">
        <w:rPr>
          <w:rFonts w:cs="David" w:hint="cs"/>
          <w:sz w:val="28"/>
          <w:szCs w:val="28"/>
          <w:rtl/>
        </w:rPr>
        <w:t>כ</w:t>
      </w:r>
      <w:r>
        <w:rPr>
          <w:rFonts w:cs="David" w:hint="cs"/>
          <w:sz w:val="28"/>
          <w:szCs w:val="28"/>
          <w:rtl/>
        </w:rPr>
        <w:t>ן, שאין לפסול אפשרות כזו בהתקיים התנאים המתאימים.</w:t>
      </w:r>
    </w:p>
    <w:p w:rsidR="007011D0" w:rsidRDefault="007011D0" w:rsidP="008B316C">
      <w:pPr>
        <w:spacing w:after="0" w:line="360" w:lineRule="auto"/>
        <w:jc w:val="both"/>
        <w:rPr>
          <w:rFonts w:cs="David"/>
          <w:sz w:val="28"/>
          <w:szCs w:val="28"/>
          <w:rtl/>
        </w:rPr>
      </w:pPr>
    </w:p>
    <w:p w:rsidR="00D81AB6" w:rsidRPr="00C22118" w:rsidRDefault="00D81AB6" w:rsidP="00C22118">
      <w:pPr>
        <w:pStyle w:val="a9"/>
        <w:numPr>
          <w:ilvl w:val="0"/>
          <w:numId w:val="27"/>
        </w:numPr>
        <w:spacing w:after="0" w:line="360" w:lineRule="auto"/>
        <w:jc w:val="both"/>
        <w:outlineLvl w:val="1"/>
        <w:rPr>
          <w:rFonts w:cs="David"/>
          <w:b/>
          <w:bCs/>
          <w:sz w:val="28"/>
          <w:szCs w:val="28"/>
          <w:rtl/>
        </w:rPr>
      </w:pPr>
      <w:bookmarkStart w:id="72" w:name="_Toc456027344"/>
      <w:r w:rsidRPr="00C22118">
        <w:rPr>
          <w:rFonts w:cs="David" w:hint="cs"/>
          <w:b/>
          <w:bCs/>
          <w:sz w:val="28"/>
          <w:szCs w:val="28"/>
          <w:rtl/>
        </w:rPr>
        <w:t xml:space="preserve">העברת מידע </w:t>
      </w:r>
      <w:r w:rsidR="00014821" w:rsidRPr="00C22118">
        <w:rPr>
          <w:rFonts w:cs="David" w:hint="cs"/>
          <w:b/>
          <w:bCs/>
          <w:sz w:val="28"/>
          <w:szCs w:val="28"/>
          <w:rtl/>
        </w:rPr>
        <w:t>לוועדת</w:t>
      </w:r>
      <w:r w:rsidR="009C039C" w:rsidRPr="00C22118">
        <w:rPr>
          <w:rFonts w:cs="David" w:hint="cs"/>
          <w:b/>
          <w:bCs/>
          <w:sz w:val="28"/>
          <w:szCs w:val="28"/>
          <w:rtl/>
        </w:rPr>
        <w:t xml:space="preserve"> החקירה</w:t>
      </w:r>
      <w:r w:rsidRPr="00C22118">
        <w:rPr>
          <w:rFonts w:cs="David" w:hint="cs"/>
          <w:b/>
          <w:bCs/>
          <w:sz w:val="28"/>
          <w:szCs w:val="28"/>
          <w:rtl/>
        </w:rPr>
        <w:t xml:space="preserve"> </w:t>
      </w:r>
      <w:r w:rsidR="007011D0" w:rsidRPr="00C22118">
        <w:rPr>
          <w:rFonts w:cs="David" w:hint="cs"/>
          <w:b/>
          <w:bCs/>
          <w:sz w:val="28"/>
          <w:szCs w:val="28"/>
          <w:rtl/>
        </w:rPr>
        <w:t>דרך גופים שלישיים</w:t>
      </w:r>
      <w:bookmarkEnd w:id="72"/>
      <w:r w:rsidR="007011D0" w:rsidRPr="00C22118">
        <w:rPr>
          <w:rFonts w:cs="David" w:hint="cs"/>
          <w:b/>
          <w:bCs/>
          <w:sz w:val="28"/>
          <w:szCs w:val="28"/>
          <w:rtl/>
        </w:rPr>
        <w:t xml:space="preserve"> </w:t>
      </w:r>
    </w:p>
    <w:p w:rsidR="00D81AB6" w:rsidRPr="00D81AB6" w:rsidRDefault="00D81AB6" w:rsidP="008B316C">
      <w:pPr>
        <w:spacing w:after="0" w:line="360" w:lineRule="auto"/>
        <w:jc w:val="both"/>
        <w:rPr>
          <w:rFonts w:cs="David"/>
          <w:sz w:val="28"/>
          <w:szCs w:val="28"/>
          <w:rtl/>
        </w:rPr>
      </w:pPr>
    </w:p>
    <w:p w:rsidR="00B3670D" w:rsidRDefault="00D81AB6" w:rsidP="00BE56F0">
      <w:pPr>
        <w:spacing w:after="0" w:line="360" w:lineRule="auto"/>
        <w:jc w:val="both"/>
        <w:rPr>
          <w:rFonts w:cs="David"/>
          <w:sz w:val="28"/>
          <w:szCs w:val="28"/>
          <w:rtl/>
        </w:rPr>
      </w:pPr>
      <w:r w:rsidRPr="00D81AB6">
        <w:rPr>
          <w:rFonts w:cs="David" w:hint="cs"/>
          <w:sz w:val="28"/>
          <w:szCs w:val="28"/>
          <w:rtl/>
        </w:rPr>
        <w:t>דרך נוספת להעברת</w:t>
      </w:r>
      <w:r>
        <w:rPr>
          <w:rFonts w:cs="David" w:hint="cs"/>
          <w:sz w:val="28"/>
          <w:szCs w:val="28"/>
          <w:rtl/>
        </w:rPr>
        <w:t xml:space="preserve"> מידע </w:t>
      </w:r>
      <w:r w:rsidR="00014821">
        <w:rPr>
          <w:rFonts w:cs="David" w:hint="cs"/>
          <w:sz w:val="28"/>
          <w:szCs w:val="28"/>
          <w:rtl/>
        </w:rPr>
        <w:t>לוועדת</w:t>
      </w:r>
      <w:r w:rsidR="009C039C">
        <w:rPr>
          <w:rFonts w:cs="David" w:hint="cs"/>
          <w:sz w:val="28"/>
          <w:szCs w:val="28"/>
          <w:rtl/>
        </w:rPr>
        <w:t xml:space="preserve"> החקירה</w:t>
      </w:r>
      <w:r>
        <w:rPr>
          <w:rFonts w:cs="David" w:hint="cs"/>
          <w:sz w:val="28"/>
          <w:szCs w:val="28"/>
          <w:rtl/>
        </w:rPr>
        <w:t xml:space="preserve"> היא באמצעות גופים שלישיים. דרך זו אפשרית בין אם המדינה מחליטה לשתף פעולה עם </w:t>
      </w:r>
      <w:r w:rsidR="001165FD">
        <w:rPr>
          <w:rFonts w:cs="David" w:hint="cs"/>
          <w:sz w:val="28"/>
          <w:szCs w:val="28"/>
          <w:rtl/>
        </w:rPr>
        <w:t>הוועדה</w:t>
      </w:r>
      <w:r>
        <w:rPr>
          <w:rFonts w:cs="David" w:hint="cs"/>
          <w:sz w:val="28"/>
          <w:szCs w:val="28"/>
          <w:rtl/>
        </w:rPr>
        <w:t xml:space="preserve"> ובין אם לאו. </w:t>
      </w:r>
      <w:r w:rsidR="009C039C">
        <w:rPr>
          <w:rFonts w:cs="David" w:hint="cs"/>
          <w:sz w:val="28"/>
          <w:szCs w:val="28"/>
          <w:rtl/>
        </w:rPr>
        <w:t>ועדות החקירה</w:t>
      </w:r>
      <w:r>
        <w:rPr>
          <w:rFonts w:cs="David" w:hint="cs"/>
          <w:sz w:val="28"/>
          <w:szCs w:val="28"/>
          <w:rtl/>
        </w:rPr>
        <w:t xml:space="preserve"> נוהג</w:t>
      </w:r>
      <w:r w:rsidR="00BE56F0">
        <w:rPr>
          <w:rFonts w:cs="David" w:hint="cs"/>
          <w:sz w:val="28"/>
          <w:szCs w:val="28"/>
          <w:rtl/>
        </w:rPr>
        <w:t>ות</w:t>
      </w:r>
      <w:r>
        <w:rPr>
          <w:rFonts w:cs="David" w:hint="cs"/>
          <w:sz w:val="28"/>
          <w:szCs w:val="28"/>
          <w:rtl/>
        </w:rPr>
        <w:t xml:space="preserve"> לפתוח ערוץ פתוח להעברת מידע אליה</w:t>
      </w:r>
      <w:r w:rsidR="00BE56F0">
        <w:rPr>
          <w:rFonts w:cs="David" w:hint="cs"/>
          <w:sz w:val="28"/>
          <w:szCs w:val="28"/>
          <w:rtl/>
        </w:rPr>
        <w:t>ן</w:t>
      </w:r>
      <w:r w:rsidR="00B3670D">
        <w:rPr>
          <w:rFonts w:cs="David" w:hint="cs"/>
          <w:sz w:val="28"/>
          <w:szCs w:val="28"/>
          <w:rtl/>
        </w:rPr>
        <w:t xml:space="preserve"> וערוץ זה ממילא נוצל</w:t>
      </w:r>
      <w:r w:rsidR="00692192">
        <w:rPr>
          <w:rFonts w:cs="David" w:hint="cs"/>
          <w:sz w:val="28"/>
          <w:szCs w:val="28"/>
          <w:rtl/>
        </w:rPr>
        <w:t xml:space="preserve"> על ידי </w:t>
      </w:r>
      <w:r w:rsidR="00B3670D">
        <w:rPr>
          <w:rFonts w:cs="David" w:hint="cs"/>
          <w:sz w:val="28"/>
          <w:szCs w:val="28"/>
          <w:rtl/>
        </w:rPr>
        <w:t xml:space="preserve">ארגונים לא ממשלתיים וע"י יחידים להגשת הודעות ולהעברת מידע </w:t>
      </w:r>
      <w:r w:rsidR="00014821">
        <w:rPr>
          <w:rFonts w:cs="David" w:hint="cs"/>
          <w:sz w:val="28"/>
          <w:szCs w:val="28"/>
          <w:rtl/>
        </w:rPr>
        <w:t>לוועדות</w:t>
      </w:r>
      <w:r w:rsidR="00B3670D">
        <w:rPr>
          <w:rFonts w:cs="David" w:hint="cs"/>
          <w:sz w:val="28"/>
          <w:szCs w:val="28"/>
          <w:rtl/>
        </w:rPr>
        <w:t>.</w:t>
      </w:r>
    </w:p>
    <w:p w:rsidR="00B3670D" w:rsidRDefault="00B3670D" w:rsidP="008B316C">
      <w:pPr>
        <w:spacing w:after="0" w:line="360" w:lineRule="auto"/>
        <w:jc w:val="both"/>
        <w:rPr>
          <w:rFonts w:cs="David"/>
          <w:sz w:val="28"/>
          <w:szCs w:val="28"/>
          <w:rtl/>
        </w:rPr>
      </w:pPr>
    </w:p>
    <w:p w:rsidR="00D72FED" w:rsidRDefault="00A00437" w:rsidP="00A308C6">
      <w:pPr>
        <w:spacing w:after="0" w:line="360" w:lineRule="auto"/>
        <w:jc w:val="both"/>
        <w:rPr>
          <w:rFonts w:cs="David"/>
          <w:sz w:val="28"/>
          <w:szCs w:val="28"/>
          <w:rtl/>
        </w:rPr>
      </w:pPr>
      <w:r>
        <w:rPr>
          <w:rFonts w:cs="David" w:hint="cs"/>
          <w:sz w:val="28"/>
          <w:szCs w:val="28"/>
          <w:rtl/>
        </w:rPr>
        <w:t>דוח גולדסטון מפרט רשימה של ארגונים ויחידים שהגישו לוועדת גולדסטון ניירות עמדה</w:t>
      </w:r>
      <w:r w:rsidR="00527AD8">
        <w:rPr>
          <w:rFonts w:cs="David" w:hint="cs"/>
          <w:sz w:val="28"/>
          <w:szCs w:val="28"/>
          <w:rtl/>
        </w:rPr>
        <w:t xml:space="preserve"> ו</w:t>
      </w:r>
      <w:r w:rsidR="00F32C93">
        <w:rPr>
          <w:rFonts w:cs="David" w:hint="cs"/>
          <w:sz w:val="28"/>
          <w:szCs w:val="28"/>
          <w:rtl/>
        </w:rPr>
        <w:t xml:space="preserve">מזכיר את </w:t>
      </w:r>
      <w:r w:rsidR="00527AD8">
        <w:rPr>
          <w:rFonts w:cs="David" w:hint="cs"/>
          <w:sz w:val="28"/>
          <w:szCs w:val="28"/>
          <w:rtl/>
        </w:rPr>
        <w:t xml:space="preserve">התייצבותם </w:t>
      </w:r>
      <w:r w:rsidR="00F32C93">
        <w:rPr>
          <w:rFonts w:cs="David" w:hint="cs"/>
          <w:sz w:val="28"/>
          <w:szCs w:val="28"/>
          <w:rtl/>
        </w:rPr>
        <w:t xml:space="preserve">של אחרים לעדות </w:t>
      </w:r>
      <w:r w:rsidR="00527AD8">
        <w:rPr>
          <w:rFonts w:cs="David" w:hint="cs"/>
          <w:sz w:val="28"/>
          <w:szCs w:val="28"/>
          <w:rtl/>
        </w:rPr>
        <w:t>בפני הוועדה</w:t>
      </w:r>
      <w:r>
        <w:rPr>
          <w:rFonts w:cs="David" w:hint="cs"/>
          <w:sz w:val="28"/>
          <w:szCs w:val="28"/>
          <w:rtl/>
        </w:rPr>
        <w:t xml:space="preserve">. הרשימה מורכבת </w:t>
      </w:r>
      <w:r>
        <w:rPr>
          <w:rFonts w:cs="David" w:hint="cs"/>
          <w:sz w:val="28"/>
          <w:szCs w:val="28"/>
          <w:rtl/>
        </w:rPr>
        <w:lastRenderedPageBreak/>
        <w:t>רובה ככולה מארגונים שפנו על מנת לטעון כנגד ישראל, אך ניתן למצוא בה גם כמה ארגונים ויחידים שפנו לשם תמיכה בישראל</w:t>
      </w:r>
      <w:r>
        <w:rPr>
          <w:rStyle w:val="a7"/>
          <w:rFonts w:cs="David"/>
          <w:sz w:val="28"/>
          <w:szCs w:val="28"/>
          <w:rtl/>
        </w:rPr>
        <w:footnoteReference w:id="264"/>
      </w:r>
      <w:r>
        <w:rPr>
          <w:rFonts w:cs="David" w:hint="cs"/>
          <w:sz w:val="28"/>
          <w:szCs w:val="28"/>
          <w:rtl/>
        </w:rPr>
        <w:t>.</w:t>
      </w:r>
      <w:r w:rsidR="00D80B75">
        <w:rPr>
          <w:rFonts w:cs="David" w:hint="cs"/>
          <w:sz w:val="28"/>
          <w:szCs w:val="28"/>
          <w:rtl/>
        </w:rPr>
        <w:t xml:space="preserve"> רשימה דומה ניתן למצוא בדוח ועדת צוק איתן</w:t>
      </w:r>
      <w:r w:rsidR="00D80B75">
        <w:rPr>
          <w:rStyle w:val="a7"/>
          <w:rFonts w:cs="David"/>
          <w:sz w:val="28"/>
          <w:szCs w:val="28"/>
          <w:rtl/>
        </w:rPr>
        <w:footnoteReference w:id="265"/>
      </w:r>
      <w:r w:rsidR="00D80B75">
        <w:rPr>
          <w:rFonts w:cs="David" w:hint="cs"/>
          <w:sz w:val="28"/>
          <w:szCs w:val="28"/>
          <w:rtl/>
        </w:rPr>
        <w:t>.</w:t>
      </w:r>
      <w:r w:rsidR="004C6E19">
        <w:rPr>
          <w:rFonts w:cs="David" w:hint="cs"/>
          <w:sz w:val="28"/>
          <w:szCs w:val="28"/>
          <w:rtl/>
        </w:rPr>
        <w:t xml:space="preserve"> </w:t>
      </w:r>
    </w:p>
    <w:p w:rsidR="00A308C6" w:rsidRDefault="00A308C6" w:rsidP="00A308C6">
      <w:pPr>
        <w:spacing w:after="0" w:line="360" w:lineRule="auto"/>
        <w:jc w:val="both"/>
        <w:rPr>
          <w:rFonts w:cs="David"/>
          <w:sz w:val="28"/>
          <w:szCs w:val="28"/>
          <w:rtl/>
        </w:rPr>
      </w:pPr>
    </w:p>
    <w:p w:rsidR="00E227C1" w:rsidRDefault="00D72FED" w:rsidP="008B316C">
      <w:pPr>
        <w:spacing w:after="0" w:line="360" w:lineRule="auto"/>
        <w:jc w:val="both"/>
        <w:rPr>
          <w:rFonts w:cs="David"/>
          <w:sz w:val="28"/>
          <w:szCs w:val="28"/>
          <w:rtl/>
        </w:rPr>
      </w:pPr>
      <w:r>
        <w:rPr>
          <w:rFonts w:cs="David" w:hint="cs"/>
          <w:sz w:val="28"/>
          <w:szCs w:val="28"/>
          <w:rtl/>
        </w:rPr>
        <w:t>מדינת ישראל גם פרסמה דוחות רשמיים</w:t>
      </w:r>
      <w:r w:rsidR="0028638E">
        <w:rPr>
          <w:rFonts w:cs="David" w:hint="cs"/>
          <w:sz w:val="28"/>
          <w:szCs w:val="28"/>
          <w:rtl/>
        </w:rPr>
        <w:t xml:space="preserve"> מקיפים ביותר</w:t>
      </w:r>
      <w:r>
        <w:rPr>
          <w:rFonts w:cs="David" w:hint="cs"/>
          <w:sz w:val="28"/>
          <w:szCs w:val="28"/>
          <w:rtl/>
        </w:rPr>
        <w:t xml:space="preserve"> בנוגע למבצעים "עופרת יצוקה"</w:t>
      </w:r>
      <w:bookmarkStart w:id="73" w:name="_Ref454726808"/>
      <w:r>
        <w:rPr>
          <w:rStyle w:val="a7"/>
          <w:rFonts w:cs="David"/>
          <w:sz w:val="28"/>
          <w:szCs w:val="28"/>
          <w:rtl/>
        </w:rPr>
        <w:footnoteReference w:id="266"/>
      </w:r>
      <w:bookmarkEnd w:id="73"/>
      <w:r>
        <w:rPr>
          <w:rFonts w:cs="David" w:hint="cs"/>
          <w:sz w:val="28"/>
          <w:szCs w:val="28"/>
          <w:rtl/>
        </w:rPr>
        <w:t xml:space="preserve"> ו"צוק איתן"</w:t>
      </w:r>
      <w:bookmarkStart w:id="74" w:name="_Ref454726540"/>
      <w:r w:rsidR="0028638E">
        <w:rPr>
          <w:rStyle w:val="a7"/>
          <w:rFonts w:cs="David"/>
          <w:sz w:val="28"/>
          <w:szCs w:val="28"/>
          <w:rtl/>
        </w:rPr>
        <w:footnoteReference w:id="267"/>
      </w:r>
      <w:bookmarkEnd w:id="74"/>
      <w:r>
        <w:rPr>
          <w:rFonts w:cs="David" w:hint="cs"/>
          <w:sz w:val="28"/>
          <w:szCs w:val="28"/>
          <w:rtl/>
        </w:rPr>
        <w:t>.</w:t>
      </w:r>
      <w:r w:rsidR="00674771">
        <w:rPr>
          <w:rFonts w:cs="David" w:hint="cs"/>
          <w:sz w:val="28"/>
          <w:szCs w:val="28"/>
          <w:rtl/>
        </w:rPr>
        <w:t xml:space="preserve"> דוחות אלה </w:t>
      </w:r>
      <w:r w:rsidR="00DC0ACC">
        <w:rPr>
          <w:rFonts w:cs="David" w:hint="cs"/>
          <w:sz w:val="28"/>
          <w:szCs w:val="28"/>
          <w:rtl/>
        </w:rPr>
        <w:t>זוכים לאזכור בדוח גולדסטון ובדוח ועדת צוק איתן, בהתאמה.</w:t>
      </w:r>
      <w:r w:rsidR="00A04FBC">
        <w:rPr>
          <w:rFonts w:cs="David" w:hint="cs"/>
          <w:sz w:val="28"/>
          <w:szCs w:val="28"/>
          <w:rtl/>
        </w:rPr>
        <w:t xml:space="preserve"> </w:t>
      </w:r>
    </w:p>
    <w:p w:rsidR="00E227C1" w:rsidRDefault="00E227C1" w:rsidP="008B316C">
      <w:pPr>
        <w:spacing w:after="0" w:line="360" w:lineRule="auto"/>
        <w:jc w:val="both"/>
        <w:rPr>
          <w:rFonts w:cs="David"/>
          <w:sz w:val="28"/>
          <w:szCs w:val="28"/>
          <w:rtl/>
        </w:rPr>
      </w:pPr>
    </w:p>
    <w:p w:rsidR="007011D0" w:rsidRDefault="00B3670D" w:rsidP="005C0527">
      <w:pPr>
        <w:spacing w:after="0" w:line="360" w:lineRule="auto"/>
        <w:jc w:val="both"/>
        <w:rPr>
          <w:rFonts w:cs="David"/>
          <w:sz w:val="28"/>
          <w:szCs w:val="28"/>
          <w:rtl/>
        </w:rPr>
      </w:pPr>
      <w:r>
        <w:rPr>
          <w:rFonts w:cs="David" w:hint="cs"/>
          <w:sz w:val="28"/>
          <w:szCs w:val="28"/>
          <w:rtl/>
        </w:rPr>
        <w:t>לכאורה, המדינה יכולה להחליט לתאם את מסירת המידע</w:t>
      </w:r>
      <w:r w:rsidR="00692192">
        <w:rPr>
          <w:rFonts w:cs="David" w:hint="cs"/>
          <w:sz w:val="28"/>
          <w:szCs w:val="28"/>
          <w:rtl/>
        </w:rPr>
        <w:t xml:space="preserve"> על ידי </w:t>
      </w:r>
      <w:r>
        <w:rPr>
          <w:rFonts w:cs="David" w:hint="cs"/>
          <w:sz w:val="28"/>
          <w:szCs w:val="28"/>
          <w:rtl/>
        </w:rPr>
        <w:t xml:space="preserve">גורמים </w:t>
      </w:r>
      <w:r w:rsidR="005E7D29">
        <w:rPr>
          <w:rFonts w:cs="David" w:hint="cs"/>
          <w:sz w:val="28"/>
          <w:szCs w:val="28"/>
          <w:rtl/>
        </w:rPr>
        <w:t xml:space="preserve">שלישיים </w:t>
      </w:r>
      <w:r>
        <w:rPr>
          <w:rFonts w:cs="David" w:hint="cs"/>
          <w:sz w:val="28"/>
          <w:szCs w:val="28"/>
          <w:rtl/>
        </w:rPr>
        <w:t xml:space="preserve">ואף להעביר מידע באמצעות ממשלות ידידותיות אחרות. על פניו, </w:t>
      </w:r>
      <w:r w:rsidR="007011D0">
        <w:rPr>
          <w:rFonts w:cs="David" w:hint="cs"/>
          <w:sz w:val="28"/>
          <w:szCs w:val="28"/>
          <w:rtl/>
        </w:rPr>
        <w:t xml:space="preserve">דרך פעולה זו מחייבת את </w:t>
      </w:r>
      <w:r w:rsidR="001165FD">
        <w:rPr>
          <w:rFonts w:cs="David" w:hint="cs"/>
          <w:sz w:val="28"/>
          <w:szCs w:val="28"/>
          <w:rtl/>
        </w:rPr>
        <w:t>הוועדה</w:t>
      </w:r>
      <w:r w:rsidR="007011D0">
        <w:rPr>
          <w:rFonts w:cs="David" w:hint="cs"/>
          <w:sz w:val="28"/>
          <w:szCs w:val="28"/>
          <w:rtl/>
        </w:rPr>
        <w:t xml:space="preserve"> להתייחס למידע שקיבל</w:t>
      </w:r>
      <w:r w:rsidR="00A308C6">
        <w:rPr>
          <w:rFonts w:cs="David" w:hint="cs"/>
          <w:sz w:val="28"/>
          <w:szCs w:val="28"/>
          <w:rtl/>
        </w:rPr>
        <w:t>ה</w:t>
      </w:r>
      <w:r w:rsidR="007011D0">
        <w:rPr>
          <w:rFonts w:cs="David" w:hint="cs"/>
          <w:sz w:val="28"/>
          <w:szCs w:val="28"/>
          <w:rtl/>
        </w:rPr>
        <w:t xml:space="preserve"> מהגורמים השלישיים מחד גיסא, ומאפשר למדינת ישראל להמשיך לנקוט מדיניות של חוסר שיתוף פעולה גלוי מהטעמים המוצהרים שלה</w:t>
      </w:r>
      <w:r w:rsidR="0087184F">
        <w:rPr>
          <w:rFonts w:cs="David" w:hint="cs"/>
          <w:sz w:val="28"/>
          <w:szCs w:val="28"/>
          <w:rtl/>
        </w:rPr>
        <w:t>,</w:t>
      </w:r>
      <w:r w:rsidR="007011D0">
        <w:rPr>
          <w:rFonts w:cs="David" w:hint="cs"/>
          <w:sz w:val="28"/>
          <w:szCs w:val="28"/>
          <w:rtl/>
        </w:rPr>
        <w:t xml:space="preserve"> מאידך גיסא.</w:t>
      </w:r>
      <w:r w:rsidR="005C0527">
        <w:rPr>
          <w:rFonts w:cs="David" w:hint="cs"/>
          <w:sz w:val="28"/>
          <w:szCs w:val="28"/>
          <w:rtl/>
        </w:rPr>
        <w:t xml:space="preserve"> עם זאת, אפשרות זו מוגבלת במידת הצלחתה. מאחר שהגורמים הללו עצמאיים בפעולתם, יכולת השליטה של המדינה במסרים שהם מעבירים </w:t>
      </w:r>
      <w:r w:rsidR="00014821">
        <w:rPr>
          <w:rFonts w:cs="David" w:hint="cs"/>
          <w:sz w:val="28"/>
          <w:szCs w:val="28"/>
          <w:rtl/>
        </w:rPr>
        <w:t>לוועדות</w:t>
      </w:r>
      <w:r w:rsidR="009C039C">
        <w:rPr>
          <w:rFonts w:cs="David" w:hint="cs"/>
          <w:sz w:val="28"/>
          <w:szCs w:val="28"/>
          <w:rtl/>
        </w:rPr>
        <w:t xml:space="preserve"> החקירה</w:t>
      </w:r>
      <w:r w:rsidR="005C0527">
        <w:rPr>
          <w:rFonts w:cs="David" w:hint="cs"/>
          <w:sz w:val="28"/>
          <w:szCs w:val="28"/>
          <w:rtl/>
        </w:rPr>
        <w:t xml:space="preserve"> ובעקביותם מוגבלת, ולעיתים עלולה להיות מנוגדת למסרים שרוצה המדינה עצמה להעביר.</w:t>
      </w:r>
    </w:p>
    <w:p w:rsidR="007011D0" w:rsidRDefault="007011D0" w:rsidP="008B316C">
      <w:pPr>
        <w:spacing w:after="0" w:line="360" w:lineRule="auto"/>
        <w:jc w:val="both"/>
        <w:rPr>
          <w:rFonts w:cs="David"/>
          <w:sz w:val="28"/>
          <w:szCs w:val="28"/>
          <w:rtl/>
        </w:rPr>
      </w:pPr>
    </w:p>
    <w:p w:rsidR="00527AD8" w:rsidRDefault="00F65614" w:rsidP="00A308C6">
      <w:pPr>
        <w:spacing w:after="0" w:line="360" w:lineRule="auto"/>
        <w:jc w:val="both"/>
        <w:rPr>
          <w:rFonts w:cs="David"/>
          <w:sz w:val="28"/>
          <w:szCs w:val="28"/>
          <w:rtl/>
        </w:rPr>
      </w:pPr>
      <w:r>
        <w:rPr>
          <w:rFonts w:cs="David" w:hint="cs"/>
          <w:sz w:val="28"/>
          <w:szCs w:val="28"/>
          <w:rtl/>
        </w:rPr>
        <w:t>חרף המאמצים החשובים שהשקיעה מדינת ישראל והשקיעו גורמים פרטיים על מנת לוודא כי הצד הישראלי יו</w:t>
      </w:r>
      <w:r w:rsidR="00A308C6">
        <w:rPr>
          <w:rFonts w:cs="David" w:hint="cs"/>
          <w:sz w:val="28"/>
          <w:szCs w:val="28"/>
          <w:rtl/>
        </w:rPr>
        <w:t>צג</w:t>
      </w:r>
      <w:r>
        <w:rPr>
          <w:rFonts w:cs="David" w:hint="cs"/>
          <w:sz w:val="28"/>
          <w:szCs w:val="28"/>
          <w:rtl/>
        </w:rPr>
        <w:t xml:space="preserve"> בפני ועדות החקירה, גם אם הוחלט שלא לשתף פעולה עמן, נראה כי מאמצים אלה לא תמיד נושאים פרי. כך, לדוגמה, זכתה עדותו של אל"ם (מיל') דניאל רייזנר, שהופיע בפני ועדת גולדסטון, לשני אזכורים בלבד</w:t>
      </w:r>
      <w:r>
        <w:rPr>
          <w:rStyle w:val="a7"/>
          <w:rFonts w:cs="David"/>
          <w:sz w:val="28"/>
          <w:szCs w:val="28"/>
          <w:rtl/>
        </w:rPr>
        <w:footnoteReference w:id="268"/>
      </w:r>
      <w:r>
        <w:rPr>
          <w:rFonts w:cs="David" w:hint="cs"/>
          <w:sz w:val="28"/>
          <w:szCs w:val="28"/>
          <w:rtl/>
        </w:rPr>
        <w:t>, בהקשרים צרים של העדות שמסר בפני הוועדה</w:t>
      </w:r>
      <w:r>
        <w:rPr>
          <w:rStyle w:val="a7"/>
          <w:rFonts w:cs="David"/>
          <w:sz w:val="28"/>
          <w:szCs w:val="28"/>
          <w:rtl/>
        </w:rPr>
        <w:footnoteReference w:id="269"/>
      </w:r>
      <w:r>
        <w:rPr>
          <w:rFonts w:cs="David" w:hint="cs"/>
          <w:sz w:val="28"/>
          <w:szCs w:val="28"/>
          <w:rtl/>
        </w:rPr>
        <w:t>.</w:t>
      </w:r>
      <w:r w:rsidR="006505C0">
        <w:rPr>
          <w:rFonts w:cs="David" w:hint="cs"/>
          <w:sz w:val="28"/>
          <w:szCs w:val="28"/>
          <w:rtl/>
        </w:rPr>
        <w:t xml:space="preserve"> האזכור השני של עדותו מובא </w:t>
      </w:r>
      <w:r w:rsidR="006505C0">
        <w:rPr>
          <w:rFonts w:cs="David" w:hint="cs"/>
          <w:sz w:val="28"/>
          <w:szCs w:val="28"/>
          <w:rtl/>
        </w:rPr>
        <w:lastRenderedPageBreak/>
        <w:t>בכלל כחלק מטיעון רחב שמנסה דוח גולדסטון לבסס בדבר חוסר הרצינות של מערכת המשפט הצבאי</w:t>
      </w:r>
      <w:r w:rsidR="00AF28CD">
        <w:rPr>
          <w:rFonts w:cs="David" w:hint="cs"/>
          <w:sz w:val="28"/>
          <w:szCs w:val="28"/>
          <w:rtl/>
        </w:rPr>
        <w:t>ת</w:t>
      </w:r>
      <w:r w:rsidR="006505C0">
        <w:rPr>
          <w:rFonts w:cs="David" w:hint="cs"/>
          <w:sz w:val="28"/>
          <w:szCs w:val="28"/>
          <w:rtl/>
        </w:rPr>
        <w:t xml:space="preserve"> הישראלית, שמתבססת בין היתר על תחקירים מבצעיים בתהליך קבלת ההחלטה האם לפתוח בחקירה פלילית.</w:t>
      </w:r>
      <w:r w:rsidR="00835F66">
        <w:rPr>
          <w:rFonts w:cs="David" w:hint="cs"/>
          <w:sz w:val="28"/>
          <w:szCs w:val="28"/>
          <w:rtl/>
        </w:rPr>
        <w:t xml:space="preserve"> עדות שמסר הקולונל הבריטי </w:t>
      </w:r>
      <w:r w:rsidR="006505C0">
        <w:rPr>
          <w:rFonts w:cs="David" w:hint="cs"/>
          <w:sz w:val="28"/>
          <w:szCs w:val="28"/>
          <w:rtl/>
        </w:rPr>
        <w:t>ריצ'ארד קמפ לוועדת גולדסטון</w:t>
      </w:r>
      <w:r w:rsidR="00835F66">
        <w:rPr>
          <w:rFonts w:cs="David" w:hint="cs"/>
          <w:sz w:val="28"/>
          <w:szCs w:val="28"/>
          <w:rtl/>
        </w:rPr>
        <w:t xml:space="preserve"> לא נזכרת בדוח הוועדה כלל.</w:t>
      </w:r>
      <w:r w:rsidR="00F15D17">
        <w:rPr>
          <w:rFonts w:cs="David" w:hint="cs"/>
          <w:sz w:val="28"/>
          <w:szCs w:val="28"/>
          <w:rtl/>
        </w:rPr>
        <w:t xml:space="preserve"> וישנן עוד דוגמאות רבות למידע שהיה בידי הוועדה ושהיא בחרה להתעלם ממנו או לעשות בו שימוש מניפולטיבי</w:t>
      </w:r>
      <w:r w:rsidR="00F15D17">
        <w:rPr>
          <w:rStyle w:val="a7"/>
          <w:rFonts w:cs="David"/>
          <w:sz w:val="28"/>
          <w:szCs w:val="28"/>
          <w:rtl/>
        </w:rPr>
        <w:footnoteReference w:id="270"/>
      </w:r>
      <w:r w:rsidR="00F15D17">
        <w:rPr>
          <w:rFonts w:cs="David" w:hint="cs"/>
          <w:sz w:val="28"/>
          <w:szCs w:val="28"/>
          <w:rtl/>
        </w:rPr>
        <w:t>.</w:t>
      </w:r>
    </w:p>
    <w:p w:rsidR="00F15D17" w:rsidRDefault="00F15D17" w:rsidP="008B316C">
      <w:pPr>
        <w:spacing w:after="0" w:line="360" w:lineRule="auto"/>
        <w:jc w:val="both"/>
        <w:rPr>
          <w:rFonts w:cs="David"/>
          <w:sz w:val="28"/>
          <w:szCs w:val="28"/>
          <w:rtl/>
        </w:rPr>
      </w:pPr>
    </w:p>
    <w:p w:rsidR="007011D0" w:rsidRDefault="003135AC" w:rsidP="00AF28CD">
      <w:pPr>
        <w:spacing w:after="0" w:line="360" w:lineRule="auto"/>
        <w:jc w:val="both"/>
        <w:rPr>
          <w:rFonts w:cs="David"/>
          <w:sz w:val="28"/>
          <w:szCs w:val="28"/>
          <w:rtl/>
        </w:rPr>
      </w:pPr>
      <w:r>
        <w:rPr>
          <w:rFonts w:cs="David" w:hint="cs"/>
          <w:sz w:val="28"/>
          <w:szCs w:val="28"/>
          <w:rtl/>
        </w:rPr>
        <w:t xml:space="preserve">טענות דומות ניתן להשמיע גם ביחס לשימוש שעשתה ועדת צוק איתן במידע שהיה זמין לה. כך, לדוגמה, ציטטה הוועדה את </w:t>
      </w:r>
      <w:r w:rsidR="007011D0">
        <w:rPr>
          <w:rFonts w:cs="David" w:hint="cs"/>
          <w:sz w:val="28"/>
          <w:szCs w:val="28"/>
          <w:rtl/>
        </w:rPr>
        <w:t xml:space="preserve">ריצ'ארד קמפ </w:t>
      </w:r>
      <w:r>
        <w:rPr>
          <w:rFonts w:cs="David" w:hint="cs"/>
          <w:sz w:val="28"/>
          <w:szCs w:val="28"/>
          <w:rtl/>
        </w:rPr>
        <w:t>שהעיד בפניה בשני עניינים בלבד</w:t>
      </w:r>
      <w:r>
        <w:rPr>
          <w:rStyle w:val="a7"/>
          <w:rFonts w:cs="David"/>
          <w:sz w:val="28"/>
          <w:szCs w:val="28"/>
          <w:rtl/>
        </w:rPr>
        <w:footnoteReference w:id="271"/>
      </w:r>
      <w:r>
        <w:rPr>
          <w:rFonts w:cs="David" w:hint="cs"/>
          <w:sz w:val="28"/>
          <w:szCs w:val="28"/>
          <w:rtl/>
        </w:rPr>
        <w:t xml:space="preserve">. שני האזכורים הללו משמשים </w:t>
      </w:r>
      <w:r w:rsidR="007011D0">
        <w:rPr>
          <w:rFonts w:cs="David" w:hint="cs"/>
          <w:sz w:val="28"/>
          <w:szCs w:val="28"/>
          <w:rtl/>
        </w:rPr>
        <w:t xml:space="preserve">כנגד ישראל, למרות שעדותו </w:t>
      </w:r>
      <w:r>
        <w:rPr>
          <w:rFonts w:cs="David" w:hint="cs"/>
          <w:sz w:val="28"/>
          <w:szCs w:val="28"/>
          <w:rtl/>
        </w:rPr>
        <w:t xml:space="preserve">של קמפ </w:t>
      </w:r>
      <w:r w:rsidR="00AF28CD">
        <w:rPr>
          <w:rFonts w:cs="David" w:hint="cs"/>
          <w:sz w:val="28"/>
          <w:szCs w:val="28"/>
          <w:rtl/>
        </w:rPr>
        <w:t>נועדה</w:t>
      </w:r>
      <w:r w:rsidR="007011D0">
        <w:rPr>
          <w:rFonts w:cs="David" w:hint="cs"/>
          <w:sz w:val="28"/>
          <w:szCs w:val="28"/>
          <w:rtl/>
        </w:rPr>
        <w:t xml:space="preserve"> </w:t>
      </w:r>
      <w:r>
        <w:rPr>
          <w:rFonts w:cs="David" w:hint="cs"/>
          <w:sz w:val="28"/>
          <w:szCs w:val="28"/>
          <w:rtl/>
        </w:rPr>
        <w:t xml:space="preserve">באופן ברור להיות </w:t>
      </w:r>
      <w:r w:rsidR="007011D0">
        <w:rPr>
          <w:rFonts w:cs="David" w:hint="cs"/>
          <w:sz w:val="28"/>
          <w:szCs w:val="28"/>
          <w:rtl/>
        </w:rPr>
        <w:t>פרו-ישראלית.</w:t>
      </w:r>
      <w:r>
        <w:rPr>
          <w:rFonts w:cs="David" w:hint="cs"/>
          <w:sz w:val="28"/>
          <w:szCs w:val="28"/>
          <w:rtl/>
        </w:rPr>
        <w:t xml:space="preserve"> אין ציטוט מדבריו באשר לעניינים התומכים בישראל כלל. עדותו של אל"ם (מיל') דניאל רייזנר זוכה לאזכור אחד בלבד בדוח הוועדה</w:t>
      </w:r>
      <w:r>
        <w:rPr>
          <w:rStyle w:val="a7"/>
          <w:rFonts w:cs="David"/>
          <w:sz w:val="28"/>
          <w:szCs w:val="28"/>
          <w:rtl/>
        </w:rPr>
        <w:footnoteReference w:id="272"/>
      </w:r>
      <w:r>
        <w:rPr>
          <w:rFonts w:cs="David" w:hint="cs"/>
          <w:sz w:val="28"/>
          <w:szCs w:val="28"/>
          <w:rtl/>
        </w:rPr>
        <w:t>.</w:t>
      </w:r>
      <w:r w:rsidR="0028511A">
        <w:rPr>
          <w:rFonts w:cs="David" w:hint="cs"/>
          <w:sz w:val="28"/>
          <w:szCs w:val="28"/>
          <w:rtl/>
        </w:rPr>
        <w:t xml:space="preserve"> ביקורת רבה נמתחה על האמינות של הדוחות של הארגונים הלא ממשלתיים בהם עשתה הוועדה שימוש</w:t>
      </w:r>
      <w:r w:rsidR="0028511A">
        <w:rPr>
          <w:rStyle w:val="a7"/>
          <w:rFonts w:cs="David"/>
          <w:sz w:val="28"/>
          <w:szCs w:val="28"/>
          <w:rtl/>
        </w:rPr>
        <w:footnoteReference w:id="273"/>
      </w:r>
      <w:r w:rsidR="0028511A">
        <w:rPr>
          <w:rFonts w:cs="David" w:hint="cs"/>
          <w:sz w:val="28"/>
          <w:szCs w:val="28"/>
          <w:rtl/>
        </w:rPr>
        <w:t>.</w:t>
      </w:r>
      <w:r w:rsidR="00F70CE2">
        <w:rPr>
          <w:rFonts w:cs="David" w:hint="cs"/>
          <w:sz w:val="28"/>
          <w:szCs w:val="28"/>
          <w:rtl/>
        </w:rPr>
        <w:t xml:space="preserve"> כך גם נמתחה ביקורת על הימנעות הוועדה מעשיית שימוש במידע רב שהיה זמין עבורה בדוח של מדינת ישראל על המבצע</w:t>
      </w:r>
      <w:r w:rsidR="00F70CE2">
        <w:rPr>
          <w:rStyle w:val="a7"/>
          <w:rFonts w:cs="David"/>
          <w:sz w:val="28"/>
          <w:szCs w:val="28"/>
          <w:rtl/>
        </w:rPr>
        <w:footnoteReference w:id="274"/>
      </w:r>
      <w:r w:rsidR="00F70CE2">
        <w:rPr>
          <w:rFonts w:cs="David" w:hint="cs"/>
          <w:sz w:val="28"/>
          <w:szCs w:val="28"/>
          <w:rtl/>
        </w:rPr>
        <w:t>.</w:t>
      </w:r>
    </w:p>
    <w:p w:rsidR="007011D0" w:rsidRDefault="007011D0" w:rsidP="008B316C">
      <w:pPr>
        <w:spacing w:after="0" w:line="360" w:lineRule="auto"/>
        <w:jc w:val="both"/>
        <w:rPr>
          <w:rFonts w:cs="David"/>
          <w:sz w:val="28"/>
          <w:szCs w:val="28"/>
          <w:rtl/>
        </w:rPr>
      </w:pPr>
    </w:p>
    <w:p w:rsidR="00340957" w:rsidRPr="00C22118" w:rsidRDefault="00937A62" w:rsidP="00C22118">
      <w:pPr>
        <w:pStyle w:val="a9"/>
        <w:numPr>
          <w:ilvl w:val="0"/>
          <w:numId w:val="27"/>
        </w:numPr>
        <w:spacing w:after="0" w:line="360" w:lineRule="auto"/>
        <w:jc w:val="both"/>
        <w:outlineLvl w:val="1"/>
        <w:rPr>
          <w:rFonts w:cs="David"/>
          <w:b/>
          <w:bCs/>
          <w:sz w:val="28"/>
          <w:szCs w:val="28"/>
          <w:rtl/>
        </w:rPr>
      </w:pPr>
      <w:bookmarkStart w:id="75" w:name="_Toc456027345"/>
      <w:r w:rsidRPr="00C22118">
        <w:rPr>
          <w:rFonts w:cs="David" w:hint="cs"/>
          <w:b/>
          <w:bCs/>
          <w:sz w:val="28"/>
          <w:szCs w:val="28"/>
          <w:rtl/>
        </w:rPr>
        <w:t xml:space="preserve">הערכת הקשר בין שיתוף הפעולה לתוצאות הבדיקה של </w:t>
      </w:r>
      <w:r w:rsidR="001165FD" w:rsidRPr="00C22118">
        <w:rPr>
          <w:rFonts w:cs="David" w:hint="cs"/>
          <w:b/>
          <w:bCs/>
          <w:sz w:val="28"/>
          <w:szCs w:val="28"/>
          <w:rtl/>
        </w:rPr>
        <w:t>הוועדה</w:t>
      </w:r>
      <w:bookmarkEnd w:id="75"/>
    </w:p>
    <w:p w:rsidR="00937A62" w:rsidRDefault="00937A62" w:rsidP="008B316C">
      <w:pPr>
        <w:spacing w:after="0" w:line="360" w:lineRule="auto"/>
        <w:jc w:val="both"/>
        <w:rPr>
          <w:rFonts w:cs="David"/>
          <w:sz w:val="28"/>
          <w:szCs w:val="28"/>
          <w:rtl/>
        </w:rPr>
      </w:pPr>
    </w:p>
    <w:p w:rsidR="00937A62" w:rsidRDefault="00937A62" w:rsidP="00A308C6">
      <w:pPr>
        <w:spacing w:after="0" w:line="360" w:lineRule="auto"/>
        <w:jc w:val="both"/>
        <w:rPr>
          <w:rFonts w:cs="David"/>
          <w:sz w:val="28"/>
          <w:szCs w:val="28"/>
          <w:rtl/>
        </w:rPr>
      </w:pPr>
      <w:r>
        <w:rPr>
          <w:rFonts w:cs="David" w:hint="cs"/>
          <w:sz w:val="28"/>
          <w:szCs w:val="28"/>
          <w:rtl/>
        </w:rPr>
        <w:t xml:space="preserve">בחלק זה נתייחס בקצרה לשאלת הקשר בין שיתוף הפעולה לתוצאות הבדיקה של </w:t>
      </w:r>
      <w:r w:rsidR="001165FD">
        <w:rPr>
          <w:rFonts w:cs="David" w:hint="cs"/>
          <w:sz w:val="28"/>
          <w:szCs w:val="28"/>
          <w:rtl/>
        </w:rPr>
        <w:t>הוועדה</w:t>
      </w:r>
      <w:r>
        <w:rPr>
          <w:rFonts w:cs="David" w:hint="cs"/>
          <w:sz w:val="28"/>
          <w:szCs w:val="28"/>
          <w:rtl/>
        </w:rPr>
        <w:t xml:space="preserve">. לא נבחן מקרים שבהם החליטה המדינה שלא לשתף פעולה עם </w:t>
      </w:r>
      <w:r w:rsidR="001165FD">
        <w:rPr>
          <w:rFonts w:cs="David" w:hint="cs"/>
          <w:sz w:val="28"/>
          <w:szCs w:val="28"/>
          <w:rtl/>
        </w:rPr>
        <w:t>הוועדה</w:t>
      </w:r>
      <w:r>
        <w:rPr>
          <w:rFonts w:cs="David" w:hint="cs"/>
          <w:sz w:val="28"/>
          <w:szCs w:val="28"/>
          <w:rtl/>
        </w:rPr>
        <w:t xml:space="preserve"> מפני שאין דרך אמיתית להעריך האם החלטה שונה הייתה משנה את תוצאות הדוח שפרסם </w:t>
      </w:r>
      <w:r w:rsidR="001165FD">
        <w:rPr>
          <w:rFonts w:cs="David" w:hint="cs"/>
          <w:sz w:val="28"/>
          <w:szCs w:val="28"/>
          <w:rtl/>
        </w:rPr>
        <w:t>הוועדה</w:t>
      </w:r>
      <w:r>
        <w:rPr>
          <w:rFonts w:cs="David" w:hint="cs"/>
          <w:sz w:val="28"/>
          <w:szCs w:val="28"/>
          <w:rtl/>
        </w:rPr>
        <w:t>. כפי שראינו, דוח המזכ"ל בעקבות האירוע בג'נין בשנת 2002 היה דוח טוב שהצדיק את טענותיה של ישראל באשר לקרב בג'נין, וזו הייתה תוצאתו למרות שמדינת ישראל לא שיתפה פעולה עם האו"ם באותו עניין. לעומת זאת, רוב הדוחות האחרים שפורסמו</w:t>
      </w:r>
      <w:r w:rsidR="00692192">
        <w:rPr>
          <w:rFonts w:cs="David" w:hint="cs"/>
          <w:sz w:val="28"/>
          <w:szCs w:val="28"/>
          <w:rtl/>
        </w:rPr>
        <w:t xml:space="preserve"> על ידי </w:t>
      </w:r>
      <w:r w:rsidR="009F6ED1">
        <w:rPr>
          <w:rFonts w:cs="David" w:hint="cs"/>
          <w:sz w:val="28"/>
          <w:szCs w:val="28"/>
          <w:rtl/>
        </w:rPr>
        <w:t xml:space="preserve">ועדות חקירה </w:t>
      </w:r>
      <w:r>
        <w:rPr>
          <w:rFonts w:cs="David" w:hint="cs"/>
          <w:sz w:val="28"/>
          <w:szCs w:val="28"/>
          <w:rtl/>
        </w:rPr>
        <w:t>שונ</w:t>
      </w:r>
      <w:r w:rsidR="00A308C6">
        <w:rPr>
          <w:rFonts w:cs="David" w:hint="cs"/>
          <w:sz w:val="28"/>
          <w:szCs w:val="28"/>
          <w:rtl/>
        </w:rPr>
        <w:t>ות</w:t>
      </w:r>
      <w:r>
        <w:rPr>
          <w:rFonts w:cs="David" w:hint="cs"/>
          <w:sz w:val="28"/>
          <w:szCs w:val="28"/>
          <w:rtl/>
        </w:rPr>
        <w:t xml:space="preserve">, בעיקר אלה של מועצת </w:t>
      </w:r>
      <w:r>
        <w:rPr>
          <w:rFonts w:cs="David" w:hint="cs"/>
          <w:sz w:val="28"/>
          <w:szCs w:val="28"/>
          <w:rtl/>
        </w:rPr>
        <w:lastRenderedPageBreak/>
        <w:t xml:space="preserve">זכויות האדם, לא היו חיוביים מבחינת ישראל. קשה להעריך אם תוצאת אותם דוחות הייתה משתנה כתוצאה משיתוף פעולה ישראלי, ובאיזו מידה. כפי שראינו, ישנם כל כך הרבה גורמים שמשפיעים על אופי הדוחות, שקשה להפרידם באופן שיאפשר לזקק את החלק הנובע משיתוף הפעולה ולייחס לו באופן בלעדי את השינוי ברוח הדוח. כמו כן, גם אם נקבל את ההנחה </w:t>
      </w:r>
      <w:r>
        <w:rPr>
          <w:rFonts w:cs="David"/>
          <w:sz w:val="28"/>
          <w:szCs w:val="28"/>
          <w:rtl/>
        </w:rPr>
        <w:t>–</w:t>
      </w:r>
      <w:r>
        <w:rPr>
          <w:rFonts w:cs="David" w:hint="cs"/>
          <w:sz w:val="28"/>
          <w:szCs w:val="28"/>
          <w:rtl/>
        </w:rPr>
        <w:t xml:space="preserve"> הסבירה כשלעצמה </w:t>
      </w:r>
      <w:r>
        <w:rPr>
          <w:rFonts w:cs="David"/>
          <w:sz w:val="28"/>
          <w:szCs w:val="28"/>
          <w:rtl/>
        </w:rPr>
        <w:t>–</w:t>
      </w:r>
      <w:r>
        <w:rPr>
          <w:rFonts w:cs="David" w:hint="cs"/>
          <w:sz w:val="28"/>
          <w:szCs w:val="28"/>
          <w:rtl/>
        </w:rPr>
        <w:t xml:space="preserve"> כי שיתוף פעולה היה משפר את הדוח, קשה להעריך בדיעבד האם שיתוף הפעולה לא היה פוגע באינטרסים אחרים של ישראל.</w:t>
      </w:r>
      <w:r w:rsidR="007D6CF7">
        <w:rPr>
          <w:rFonts w:cs="David" w:hint="cs"/>
          <w:sz w:val="28"/>
          <w:szCs w:val="28"/>
          <w:rtl/>
        </w:rPr>
        <w:t xml:space="preserve"> כמו כן, אם בחרה מדינת ישראל לשתף פעולה עם </w:t>
      </w:r>
      <w:r w:rsidR="009F6ED1">
        <w:rPr>
          <w:rFonts w:cs="David" w:hint="cs"/>
          <w:sz w:val="28"/>
          <w:szCs w:val="28"/>
          <w:rtl/>
        </w:rPr>
        <w:t xml:space="preserve">ועדות חקירה </w:t>
      </w:r>
      <w:r w:rsidR="007D6CF7">
        <w:rPr>
          <w:rFonts w:cs="David" w:hint="cs"/>
          <w:sz w:val="28"/>
          <w:szCs w:val="28"/>
          <w:rtl/>
        </w:rPr>
        <w:t>מסוימ</w:t>
      </w:r>
      <w:r w:rsidR="00A308C6">
        <w:rPr>
          <w:rFonts w:cs="David" w:hint="cs"/>
          <w:sz w:val="28"/>
          <w:szCs w:val="28"/>
          <w:rtl/>
        </w:rPr>
        <w:t>ות</w:t>
      </w:r>
      <w:r w:rsidR="007D6CF7">
        <w:rPr>
          <w:rFonts w:cs="David" w:hint="cs"/>
          <w:sz w:val="28"/>
          <w:szCs w:val="28"/>
          <w:rtl/>
        </w:rPr>
        <w:t xml:space="preserve"> באופן לא פורמאלי, הרי שקשה גם להעריך עד כמה הועיל שיתוף פעולה מעין זה, שאינו בא לידי ביטוי בדוחות </w:t>
      </w:r>
      <w:r w:rsidR="001165FD">
        <w:rPr>
          <w:rFonts w:cs="David" w:hint="cs"/>
          <w:sz w:val="28"/>
          <w:szCs w:val="28"/>
          <w:rtl/>
        </w:rPr>
        <w:t>הוועדות</w:t>
      </w:r>
      <w:r w:rsidR="007D6CF7">
        <w:rPr>
          <w:rFonts w:cs="David" w:hint="cs"/>
          <w:sz w:val="28"/>
          <w:szCs w:val="28"/>
          <w:rtl/>
        </w:rPr>
        <w:t>.</w:t>
      </w:r>
    </w:p>
    <w:p w:rsidR="00937A62" w:rsidRDefault="00937A62" w:rsidP="008B316C">
      <w:pPr>
        <w:spacing w:after="0" w:line="360" w:lineRule="auto"/>
        <w:jc w:val="both"/>
        <w:rPr>
          <w:rFonts w:cs="David"/>
          <w:sz w:val="28"/>
          <w:szCs w:val="28"/>
          <w:rtl/>
        </w:rPr>
      </w:pPr>
    </w:p>
    <w:p w:rsidR="00937A62" w:rsidRDefault="00937A62" w:rsidP="008B316C">
      <w:pPr>
        <w:spacing w:after="0" w:line="360" w:lineRule="auto"/>
        <w:jc w:val="both"/>
        <w:rPr>
          <w:rFonts w:cs="David"/>
          <w:sz w:val="28"/>
          <w:szCs w:val="28"/>
          <w:rtl/>
        </w:rPr>
      </w:pPr>
      <w:r>
        <w:rPr>
          <w:rFonts w:cs="David" w:hint="cs"/>
          <w:sz w:val="28"/>
          <w:szCs w:val="28"/>
          <w:rtl/>
        </w:rPr>
        <w:t xml:space="preserve">נבחן אם כן רק מקרים שבהם </w:t>
      </w:r>
      <w:r w:rsidRPr="00937A62">
        <w:rPr>
          <w:rFonts w:cs="David" w:hint="cs"/>
          <w:b/>
          <w:bCs/>
          <w:sz w:val="28"/>
          <w:szCs w:val="28"/>
          <w:rtl/>
        </w:rPr>
        <w:t>כן החליטה מדינת ישראל לשתף פעולה</w:t>
      </w:r>
      <w:r>
        <w:rPr>
          <w:rFonts w:cs="David" w:hint="cs"/>
          <w:sz w:val="28"/>
          <w:szCs w:val="28"/>
          <w:rtl/>
        </w:rPr>
        <w:t xml:space="preserve"> עם </w:t>
      </w:r>
      <w:r w:rsidR="009C039C">
        <w:rPr>
          <w:rFonts w:cs="David" w:hint="cs"/>
          <w:sz w:val="28"/>
          <w:szCs w:val="28"/>
          <w:rtl/>
        </w:rPr>
        <w:t>ועדת החקירה</w:t>
      </w:r>
      <w:r>
        <w:rPr>
          <w:rFonts w:cs="David" w:hint="cs"/>
          <w:sz w:val="28"/>
          <w:szCs w:val="28"/>
          <w:rtl/>
        </w:rPr>
        <w:t>.</w:t>
      </w:r>
      <w:r w:rsidR="0066249D">
        <w:rPr>
          <w:rFonts w:cs="David" w:hint="cs"/>
          <w:sz w:val="28"/>
          <w:szCs w:val="28"/>
          <w:rtl/>
        </w:rPr>
        <w:t xml:space="preserve"> נשתמש לשם הבחינה בשלושה מקרים מהשנים האחרונות, של </w:t>
      </w:r>
      <w:r w:rsidR="009F6ED1">
        <w:rPr>
          <w:rFonts w:cs="David" w:hint="cs"/>
          <w:sz w:val="28"/>
          <w:szCs w:val="28"/>
          <w:rtl/>
        </w:rPr>
        <w:t xml:space="preserve">ועדות חקירה </w:t>
      </w:r>
      <w:r w:rsidR="0066249D">
        <w:rPr>
          <w:rFonts w:cs="David" w:hint="cs"/>
          <w:sz w:val="28"/>
          <w:szCs w:val="28"/>
          <w:rtl/>
        </w:rPr>
        <w:t>שהקים מזכ"ל האו"ם.</w:t>
      </w:r>
    </w:p>
    <w:p w:rsidR="00937A62" w:rsidRDefault="00937A62" w:rsidP="008B316C">
      <w:pPr>
        <w:spacing w:after="0" w:line="360" w:lineRule="auto"/>
        <w:jc w:val="both"/>
        <w:rPr>
          <w:rFonts w:cs="David"/>
          <w:sz w:val="28"/>
          <w:szCs w:val="28"/>
          <w:rtl/>
        </w:rPr>
      </w:pPr>
    </w:p>
    <w:p w:rsidR="00937A62" w:rsidRPr="00937A62" w:rsidRDefault="00937A62" w:rsidP="00A308C6">
      <w:pPr>
        <w:spacing w:after="0" w:line="360" w:lineRule="auto"/>
        <w:jc w:val="both"/>
        <w:rPr>
          <w:rFonts w:cs="David"/>
          <w:sz w:val="28"/>
          <w:szCs w:val="28"/>
          <w:rtl/>
        </w:rPr>
      </w:pPr>
      <w:r w:rsidRPr="00937A62">
        <w:rPr>
          <w:rFonts w:cs="David" w:hint="cs"/>
          <w:sz w:val="28"/>
          <w:szCs w:val="28"/>
          <w:rtl/>
        </w:rPr>
        <w:t>ועדת החקירה בעקבות הפגיעות במתקני או"ם או באנשים ששהו בהם במהלך מבצע "עופרת יצוקה"</w:t>
      </w:r>
      <w:r>
        <w:rPr>
          <w:rFonts w:cs="David" w:hint="cs"/>
          <w:sz w:val="28"/>
          <w:szCs w:val="28"/>
          <w:rtl/>
        </w:rPr>
        <w:t>, שהוקמה</w:t>
      </w:r>
      <w:r w:rsidR="00692192">
        <w:rPr>
          <w:rFonts w:cs="David" w:hint="cs"/>
          <w:sz w:val="28"/>
          <w:szCs w:val="28"/>
          <w:rtl/>
        </w:rPr>
        <w:t xml:space="preserve"> על ידי </w:t>
      </w:r>
      <w:r>
        <w:rPr>
          <w:rFonts w:cs="David" w:hint="cs"/>
          <w:sz w:val="28"/>
          <w:szCs w:val="28"/>
          <w:rtl/>
        </w:rPr>
        <w:t xml:space="preserve">מזכ"ל האו"ם, </w:t>
      </w:r>
      <w:r w:rsidR="00492C26">
        <w:rPr>
          <w:rFonts w:cs="David" w:hint="cs"/>
          <w:sz w:val="28"/>
          <w:szCs w:val="28"/>
          <w:rtl/>
        </w:rPr>
        <w:t xml:space="preserve">ושבראשה עמד יאן מרטין, עובד האו"ם בתחום זכויות האדם, </w:t>
      </w:r>
      <w:r>
        <w:rPr>
          <w:rFonts w:cs="David" w:hint="cs"/>
          <w:sz w:val="28"/>
          <w:szCs w:val="28"/>
          <w:rtl/>
        </w:rPr>
        <w:t xml:space="preserve">זכתה לשיתוף פעולה מלא עם מדינת ישראל. </w:t>
      </w:r>
      <w:r w:rsidR="00007685">
        <w:rPr>
          <w:rFonts w:cs="David" w:hint="cs"/>
          <w:sz w:val="28"/>
          <w:szCs w:val="28"/>
          <w:rtl/>
        </w:rPr>
        <w:t xml:space="preserve">עם זאת, תוצאות הבדיקה היו מאכזבות מבחינת המדינה. </w:t>
      </w:r>
      <w:r w:rsidRPr="00937A62">
        <w:rPr>
          <w:rFonts w:cs="David"/>
          <w:sz w:val="28"/>
          <w:szCs w:val="28"/>
          <w:rtl/>
        </w:rPr>
        <w:t>טענ</w:t>
      </w:r>
      <w:r w:rsidR="00EE5EA2">
        <w:rPr>
          <w:rFonts w:cs="David" w:hint="cs"/>
          <w:sz w:val="28"/>
          <w:szCs w:val="28"/>
          <w:rtl/>
        </w:rPr>
        <w:t>ו</w:t>
      </w:r>
      <w:r w:rsidRPr="00937A62">
        <w:rPr>
          <w:rFonts w:cs="David"/>
          <w:sz w:val="28"/>
          <w:szCs w:val="28"/>
          <w:rtl/>
        </w:rPr>
        <w:t>ת</w:t>
      </w:r>
      <w:r w:rsidR="00EE5EA2">
        <w:rPr>
          <w:rFonts w:cs="David" w:hint="cs"/>
          <w:sz w:val="28"/>
          <w:szCs w:val="28"/>
          <w:rtl/>
        </w:rPr>
        <w:t>י</w:t>
      </w:r>
      <w:r w:rsidR="00007685">
        <w:rPr>
          <w:rFonts w:cs="David" w:hint="cs"/>
          <w:sz w:val="28"/>
          <w:szCs w:val="28"/>
          <w:rtl/>
        </w:rPr>
        <w:t>ה</w:t>
      </w:r>
      <w:r w:rsidRPr="00937A62">
        <w:rPr>
          <w:rFonts w:cs="David"/>
          <w:sz w:val="28"/>
          <w:szCs w:val="28"/>
          <w:rtl/>
        </w:rPr>
        <w:t xml:space="preserve"> </w:t>
      </w:r>
      <w:r w:rsidR="00007685">
        <w:rPr>
          <w:rFonts w:cs="David" w:hint="cs"/>
          <w:sz w:val="28"/>
          <w:szCs w:val="28"/>
          <w:rtl/>
        </w:rPr>
        <w:t xml:space="preserve">כי במהלך המבצע נורו </w:t>
      </w:r>
      <w:r w:rsidRPr="00937A62">
        <w:rPr>
          <w:rFonts w:cs="David"/>
          <w:sz w:val="28"/>
          <w:szCs w:val="28"/>
          <w:rtl/>
        </w:rPr>
        <w:t xml:space="preserve">כוחות צה"ל מתוך מתחמי האו"ם </w:t>
      </w:r>
      <w:r w:rsidR="00EE5EA2">
        <w:rPr>
          <w:rFonts w:cs="David" w:hint="cs"/>
          <w:sz w:val="28"/>
          <w:szCs w:val="28"/>
          <w:rtl/>
        </w:rPr>
        <w:t xml:space="preserve">וכי במתקנים אלה הוטמן נשק </w:t>
      </w:r>
      <w:r w:rsidRPr="00937A62">
        <w:rPr>
          <w:rFonts w:cs="David"/>
          <w:sz w:val="28"/>
          <w:szCs w:val="28"/>
          <w:rtl/>
        </w:rPr>
        <w:t>נדח</w:t>
      </w:r>
      <w:r w:rsidR="00EE5EA2">
        <w:rPr>
          <w:rFonts w:cs="David" w:hint="cs"/>
          <w:sz w:val="28"/>
          <w:szCs w:val="28"/>
          <w:rtl/>
        </w:rPr>
        <w:t>ו</w:t>
      </w:r>
      <w:r w:rsidRPr="00937A62">
        <w:rPr>
          <w:rFonts w:cs="David"/>
          <w:sz w:val="28"/>
          <w:szCs w:val="28"/>
          <w:rtl/>
        </w:rPr>
        <w:t xml:space="preserve"> </w:t>
      </w:r>
      <w:r w:rsidR="00EE5EA2">
        <w:rPr>
          <w:rFonts w:cs="David"/>
          <w:sz w:val="28"/>
          <w:szCs w:val="28"/>
          <w:rtl/>
        </w:rPr>
        <w:t>כלא נכונ</w:t>
      </w:r>
      <w:r w:rsidR="00EE5EA2">
        <w:rPr>
          <w:rFonts w:cs="David" w:hint="cs"/>
          <w:sz w:val="28"/>
          <w:szCs w:val="28"/>
          <w:rtl/>
        </w:rPr>
        <w:t>ות ונקבע כי התקיפות הישראליות כלפי מתקני האו"ם היו בחלקן ישירות ומכוונות וביטאו זלזול בחיי אדם של האנשים ששהו במתקנים</w:t>
      </w:r>
      <w:r w:rsidRPr="00937A62">
        <w:rPr>
          <w:rFonts w:cs="David"/>
          <w:sz w:val="28"/>
          <w:szCs w:val="28"/>
        </w:rPr>
        <w:t>.</w:t>
      </w:r>
      <w:r w:rsidR="00007685">
        <w:rPr>
          <w:rFonts w:cs="David" w:hint="cs"/>
          <w:sz w:val="28"/>
          <w:szCs w:val="28"/>
          <w:rtl/>
        </w:rPr>
        <w:t xml:space="preserve"> כמו כן, הוועדה קבעה </w:t>
      </w:r>
      <w:r w:rsidR="00A551F4">
        <w:rPr>
          <w:rFonts w:cs="David" w:hint="cs"/>
          <w:sz w:val="28"/>
          <w:szCs w:val="28"/>
          <w:rtl/>
        </w:rPr>
        <w:t xml:space="preserve">קביעות משפטיות נחרצות והכריעה </w:t>
      </w:r>
      <w:r w:rsidR="00007685" w:rsidRPr="00A551F4">
        <w:rPr>
          <w:rFonts w:cs="David" w:hint="cs"/>
          <w:sz w:val="28"/>
          <w:szCs w:val="28"/>
          <w:rtl/>
        </w:rPr>
        <w:t xml:space="preserve">כי </w:t>
      </w:r>
      <w:r w:rsidR="00007685" w:rsidRPr="00A551F4">
        <w:rPr>
          <w:rFonts w:cs="David"/>
          <w:sz w:val="28"/>
          <w:szCs w:val="28"/>
          <w:rtl/>
        </w:rPr>
        <w:t xml:space="preserve">פגיעות צה"ל </w:t>
      </w:r>
      <w:r w:rsidR="00007685" w:rsidRPr="00A551F4">
        <w:rPr>
          <w:rFonts w:cs="David" w:hint="cs"/>
          <w:sz w:val="28"/>
          <w:szCs w:val="28"/>
          <w:rtl/>
        </w:rPr>
        <w:t xml:space="preserve">במתקני האו"ם </w:t>
      </w:r>
      <w:r w:rsidR="00007685" w:rsidRPr="00A551F4">
        <w:rPr>
          <w:rFonts w:cs="David"/>
          <w:sz w:val="28"/>
          <w:szCs w:val="28"/>
          <w:rtl/>
        </w:rPr>
        <w:t>בעזה הי</w:t>
      </w:r>
      <w:r w:rsidR="00A308C6">
        <w:rPr>
          <w:rFonts w:cs="David" w:hint="cs"/>
          <w:sz w:val="28"/>
          <w:szCs w:val="28"/>
          <w:rtl/>
        </w:rPr>
        <w:t>ו</w:t>
      </w:r>
      <w:r w:rsidR="00007685" w:rsidRPr="00A551F4">
        <w:rPr>
          <w:rFonts w:cs="David"/>
          <w:sz w:val="28"/>
          <w:szCs w:val="28"/>
          <w:rtl/>
        </w:rPr>
        <w:t xml:space="preserve"> הפרה חמורה של עקרון אי־הפגיעות ואי־כיבוד החסינות של הארגון, רכושו ונכסיו מפני כל התערבות</w:t>
      </w:r>
      <w:r w:rsidR="00A551F4" w:rsidRPr="00A551F4">
        <w:rPr>
          <w:rFonts w:cs="David" w:hint="cs"/>
          <w:sz w:val="28"/>
          <w:szCs w:val="28"/>
          <w:rtl/>
        </w:rPr>
        <w:t xml:space="preserve">, והוסיפה וציינה </w:t>
      </w:r>
      <w:r w:rsidR="00007685" w:rsidRPr="00A551F4">
        <w:rPr>
          <w:rFonts w:cs="David"/>
          <w:sz w:val="28"/>
          <w:szCs w:val="28"/>
          <w:rtl/>
        </w:rPr>
        <w:t xml:space="preserve">כי </w:t>
      </w:r>
      <w:r w:rsidR="00A551F4" w:rsidRPr="00A551F4">
        <w:rPr>
          <w:rFonts w:cs="David" w:hint="cs"/>
          <w:sz w:val="28"/>
          <w:szCs w:val="28"/>
          <w:rtl/>
        </w:rPr>
        <w:t xml:space="preserve">עקרונות אלה </w:t>
      </w:r>
      <w:r w:rsidR="00007685" w:rsidRPr="00A551F4">
        <w:rPr>
          <w:rFonts w:cs="David"/>
          <w:sz w:val="28"/>
          <w:szCs w:val="28"/>
          <w:rtl/>
        </w:rPr>
        <w:t>מוחלט</w:t>
      </w:r>
      <w:r w:rsidR="00A551F4" w:rsidRPr="00A551F4">
        <w:rPr>
          <w:rFonts w:cs="David" w:hint="cs"/>
          <w:sz w:val="28"/>
          <w:szCs w:val="28"/>
          <w:rtl/>
        </w:rPr>
        <w:t>ים, אפילו</w:t>
      </w:r>
      <w:r w:rsidR="00007685" w:rsidRPr="00A551F4">
        <w:rPr>
          <w:rFonts w:cs="David"/>
          <w:sz w:val="28"/>
          <w:szCs w:val="28"/>
          <w:rtl/>
        </w:rPr>
        <w:t xml:space="preserve"> בנסיבות של </w:t>
      </w:r>
      <w:r w:rsidR="00A551F4" w:rsidRPr="00A551F4">
        <w:rPr>
          <w:rFonts w:cs="David" w:hint="cs"/>
          <w:sz w:val="28"/>
          <w:szCs w:val="28"/>
          <w:rtl/>
        </w:rPr>
        <w:t>לחימה. זו קביעה מרחיקת לכת שלא ברור מה תוקפה</w:t>
      </w:r>
      <w:r w:rsidR="00A551F4">
        <w:rPr>
          <w:rStyle w:val="a7"/>
          <w:rFonts w:cs="David"/>
          <w:sz w:val="28"/>
          <w:szCs w:val="28"/>
          <w:rtl/>
        </w:rPr>
        <w:footnoteReference w:id="275"/>
      </w:r>
      <w:r w:rsidR="00A551F4" w:rsidRPr="00A551F4">
        <w:rPr>
          <w:rFonts w:cs="David" w:hint="cs"/>
          <w:sz w:val="28"/>
          <w:szCs w:val="28"/>
          <w:rtl/>
        </w:rPr>
        <w:t>.</w:t>
      </w:r>
      <w:r w:rsidR="00EE5EA2">
        <w:rPr>
          <w:rFonts w:cs="David" w:hint="cs"/>
          <w:sz w:val="28"/>
          <w:szCs w:val="28"/>
          <w:rtl/>
        </w:rPr>
        <w:t xml:space="preserve"> </w:t>
      </w:r>
      <w:r w:rsidR="000357BE">
        <w:rPr>
          <w:rFonts w:cs="David" w:hint="cs"/>
          <w:sz w:val="28"/>
          <w:szCs w:val="28"/>
          <w:rtl/>
        </w:rPr>
        <w:t xml:space="preserve">לפי פרסומים בתקשורת, </w:t>
      </w:r>
      <w:r w:rsidR="00EE5EA2">
        <w:rPr>
          <w:rFonts w:cs="David" w:hint="cs"/>
          <w:sz w:val="28"/>
          <w:szCs w:val="28"/>
          <w:rtl/>
        </w:rPr>
        <w:t>בעקבות הדוח אף נדרשה ישראל לשלם לאו"ם פיצויים בגין הפגיעה במתקניו</w:t>
      </w:r>
      <w:r w:rsidR="00EE5EA2">
        <w:rPr>
          <w:rStyle w:val="a7"/>
          <w:rFonts w:cs="David"/>
          <w:sz w:val="28"/>
          <w:szCs w:val="28"/>
          <w:rtl/>
        </w:rPr>
        <w:footnoteReference w:id="276"/>
      </w:r>
      <w:r w:rsidR="00EE5EA2">
        <w:rPr>
          <w:rFonts w:cs="David" w:hint="cs"/>
          <w:sz w:val="28"/>
          <w:szCs w:val="28"/>
          <w:rtl/>
        </w:rPr>
        <w:t>.</w:t>
      </w:r>
    </w:p>
    <w:p w:rsidR="00937A62" w:rsidRDefault="00937A62" w:rsidP="008B316C">
      <w:pPr>
        <w:spacing w:after="0" w:line="360" w:lineRule="auto"/>
        <w:jc w:val="both"/>
        <w:rPr>
          <w:rFonts w:cs="David"/>
          <w:sz w:val="28"/>
          <w:szCs w:val="28"/>
          <w:rtl/>
        </w:rPr>
      </w:pPr>
    </w:p>
    <w:p w:rsidR="00007685" w:rsidRPr="00007685" w:rsidRDefault="00007685" w:rsidP="00A308C6">
      <w:pPr>
        <w:spacing w:after="0" w:line="360" w:lineRule="auto"/>
        <w:jc w:val="both"/>
        <w:rPr>
          <w:rFonts w:cs="David"/>
          <w:sz w:val="28"/>
          <w:szCs w:val="28"/>
          <w:rtl/>
        </w:rPr>
      </w:pPr>
      <w:r w:rsidRPr="00007685">
        <w:rPr>
          <w:rFonts w:cs="David" w:hint="cs"/>
          <w:sz w:val="28"/>
          <w:szCs w:val="28"/>
          <w:rtl/>
        </w:rPr>
        <w:t>ועדת החקירה בעקבות הפגיעות במתקני או"ם או באנשים ששהו בהם במהלך מבצע "צוק איתן", שהוקמה</w:t>
      </w:r>
      <w:r w:rsidR="00692192">
        <w:rPr>
          <w:rFonts w:cs="David" w:hint="cs"/>
          <w:sz w:val="28"/>
          <w:szCs w:val="28"/>
          <w:rtl/>
        </w:rPr>
        <w:t xml:space="preserve"> על ידי </w:t>
      </w:r>
      <w:r w:rsidRPr="00007685">
        <w:rPr>
          <w:rFonts w:cs="David" w:hint="cs"/>
          <w:sz w:val="28"/>
          <w:szCs w:val="28"/>
          <w:rtl/>
        </w:rPr>
        <w:t xml:space="preserve">מזכ"ל האו"ם, </w:t>
      </w:r>
      <w:r w:rsidR="00492C26">
        <w:rPr>
          <w:rFonts w:cs="David" w:hint="cs"/>
          <w:sz w:val="28"/>
          <w:szCs w:val="28"/>
          <w:rtl/>
        </w:rPr>
        <w:t xml:space="preserve">ושבראשה עמד הגנרל ההולנדי </w:t>
      </w:r>
      <w:r w:rsidR="00492C26">
        <w:rPr>
          <w:rFonts w:cs="David"/>
          <w:sz w:val="28"/>
          <w:szCs w:val="28"/>
        </w:rPr>
        <w:lastRenderedPageBreak/>
        <w:t>Patrick Cammaert</w:t>
      </w:r>
      <w:r w:rsidR="00492C26">
        <w:rPr>
          <w:rFonts w:cs="David" w:hint="cs"/>
          <w:sz w:val="28"/>
          <w:szCs w:val="28"/>
          <w:rtl/>
        </w:rPr>
        <w:t xml:space="preserve">, </w:t>
      </w:r>
      <w:r w:rsidRPr="00007685">
        <w:rPr>
          <w:rFonts w:cs="David" w:hint="cs"/>
          <w:sz w:val="28"/>
          <w:szCs w:val="28"/>
          <w:rtl/>
        </w:rPr>
        <w:t xml:space="preserve">זכתה </w:t>
      </w:r>
      <w:r w:rsidR="00AF28CD">
        <w:rPr>
          <w:rFonts w:cs="David" w:hint="cs"/>
          <w:sz w:val="28"/>
          <w:szCs w:val="28"/>
          <w:rtl/>
        </w:rPr>
        <w:t xml:space="preserve">גם כן </w:t>
      </w:r>
      <w:r w:rsidRPr="00007685">
        <w:rPr>
          <w:rFonts w:cs="David" w:hint="cs"/>
          <w:sz w:val="28"/>
          <w:szCs w:val="28"/>
          <w:rtl/>
        </w:rPr>
        <w:t>לשיתוף פעולה מלא עם מדינת ישראל. להבדיל מהוועדה שמונתה לאחר מבצע "עופרת יצוקה", כתבה ועדה זו דוח מאוזן והוגן מבחינתה של ישראל</w:t>
      </w:r>
      <w:r w:rsidR="00492C26">
        <w:rPr>
          <w:rStyle w:val="a7"/>
          <w:rFonts w:cs="David"/>
          <w:sz w:val="28"/>
          <w:szCs w:val="28"/>
          <w:rtl/>
        </w:rPr>
        <w:footnoteReference w:id="277"/>
      </w:r>
      <w:r w:rsidR="00FB4FE3">
        <w:rPr>
          <w:rFonts w:cs="David" w:hint="cs"/>
          <w:sz w:val="28"/>
          <w:szCs w:val="28"/>
          <w:rtl/>
        </w:rPr>
        <w:t>, הגם כי למדינת ישראל היו מספר הסתייגויות מהמתודולוגיה ומהממצאים של הוועדה</w:t>
      </w:r>
      <w:r w:rsidR="004C78C4">
        <w:rPr>
          <w:rStyle w:val="a7"/>
          <w:rFonts w:cs="David"/>
          <w:sz w:val="28"/>
          <w:szCs w:val="28"/>
          <w:rtl/>
        </w:rPr>
        <w:footnoteReference w:id="278"/>
      </w:r>
      <w:r w:rsidRPr="00007685">
        <w:rPr>
          <w:rFonts w:cs="David" w:hint="cs"/>
          <w:sz w:val="28"/>
          <w:szCs w:val="28"/>
          <w:rtl/>
        </w:rPr>
        <w:t>.</w:t>
      </w:r>
      <w:r>
        <w:rPr>
          <w:rFonts w:cs="David" w:hint="cs"/>
          <w:sz w:val="28"/>
          <w:szCs w:val="28"/>
          <w:rtl/>
        </w:rPr>
        <w:t xml:space="preserve"> </w:t>
      </w:r>
      <w:r w:rsidR="0066249D">
        <w:rPr>
          <w:rFonts w:cs="David" w:hint="cs"/>
          <w:sz w:val="28"/>
          <w:szCs w:val="28"/>
          <w:rtl/>
        </w:rPr>
        <w:t xml:space="preserve">ייתכן שהפער בין שתי הוועדות נובע </w:t>
      </w:r>
      <w:r w:rsidR="00FB0244">
        <w:rPr>
          <w:rFonts w:cs="David" w:hint="cs"/>
          <w:sz w:val="28"/>
          <w:szCs w:val="28"/>
          <w:rtl/>
        </w:rPr>
        <w:t xml:space="preserve">מהעובדה שהוועדה השנייה נדרשה לבחון גם הפרות של ארגוני הטרור הפלסטיניים וגם </w:t>
      </w:r>
      <w:r w:rsidR="0066249D">
        <w:rPr>
          <w:rFonts w:cs="David" w:hint="cs"/>
          <w:sz w:val="28"/>
          <w:szCs w:val="28"/>
          <w:rtl/>
        </w:rPr>
        <w:t>מהאוריינטציה והרק</w:t>
      </w:r>
      <w:r w:rsidR="001E5054">
        <w:rPr>
          <w:rFonts w:cs="David" w:hint="cs"/>
          <w:sz w:val="28"/>
          <w:szCs w:val="28"/>
          <w:rtl/>
        </w:rPr>
        <w:t>ע</w:t>
      </w:r>
      <w:r w:rsidR="0066249D">
        <w:rPr>
          <w:rFonts w:cs="David" w:hint="cs"/>
          <w:sz w:val="28"/>
          <w:szCs w:val="28"/>
          <w:rtl/>
        </w:rPr>
        <w:t xml:space="preserve"> השונים של ראשי הוועדות. אין ספק, כי עברו הצבאי של יו"ר הוועדה השנייה סייע לו להבין טוב יותר את הסיטואציות עמן התמודדו כוחות צה"ל במהלך מבצע "צוק איתן". הוועדה </w:t>
      </w:r>
      <w:r w:rsidR="001E5054" w:rsidRPr="00007685">
        <w:rPr>
          <w:rFonts w:cs="David"/>
          <w:sz w:val="28"/>
          <w:szCs w:val="28"/>
          <w:rtl/>
        </w:rPr>
        <w:t>קבעה</w:t>
      </w:r>
      <w:r w:rsidR="00A308C6">
        <w:rPr>
          <w:rFonts w:cs="David" w:hint="cs"/>
          <w:sz w:val="28"/>
          <w:szCs w:val="28"/>
          <w:rtl/>
        </w:rPr>
        <w:t>,</w:t>
      </w:r>
      <w:r w:rsidR="001E5054" w:rsidRPr="00007685">
        <w:rPr>
          <w:rFonts w:cs="David"/>
          <w:sz w:val="28"/>
          <w:szCs w:val="28"/>
          <w:rtl/>
        </w:rPr>
        <w:t xml:space="preserve"> </w:t>
      </w:r>
      <w:r w:rsidR="001E5054">
        <w:rPr>
          <w:rFonts w:cs="David" w:hint="cs"/>
          <w:sz w:val="28"/>
          <w:szCs w:val="28"/>
          <w:rtl/>
        </w:rPr>
        <w:t xml:space="preserve">לדוגמה, </w:t>
      </w:r>
      <w:r w:rsidRPr="00007685">
        <w:rPr>
          <w:rFonts w:cs="David"/>
          <w:sz w:val="28"/>
          <w:szCs w:val="28"/>
          <w:rtl/>
        </w:rPr>
        <w:t>כי בשני מקרים (</w:t>
      </w:r>
      <w:r w:rsidRPr="00007685">
        <w:rPr>
          <w:rFonts w:cs="David" w:hint="cs"/>
          <w:sz w:val="28"/>
          <w:szCs w:val="28"/>
          <w:rtl/>
        </w:rPr>
        <w:t>ב</w:t>
      </w:r>
      <w:r w:rsidRPr="00007685">
        <w:rPr>
          <w:rFonts w:cs="David"/>
          <w:sz w:val="28"/>
          <w:szCs w:val="28"/>
          <w:rtl/>
        </w:rPr>
        <w:t>בתי הספר בג'בלייה ו</w:t>
      </w:r>
      <w:r w:rsidRPr="00007685">
        <w:rPr>
          <w:rFonts w:cs="David" w:hint="cs"/>
          <w:sz w:val="28"/>
          <w:szCs w:val="28"/>
          <w:rtl/>
        </w:rPr>
        <w:t>ב</w:t>
      </w:r>
      <w:r w:rsidRPr="00007685">
        <w:rPr>
          <w:rFonts w:cs="David"/>
          <w:sz w:val="28"/>
          <w:szCs w:val="28"/>
          <w:rtl/>
        </w:rPr>
        <w:t>נוסיר</w:t>
      </w:r>
      <w:r w:rsidRPr="00007685">
        <w:rPr>
          <w:rFonts w:cs="David" w:hint="cs"/>
          <w:sz w:val="28"/>
          <w:szCs w:val="28"/>
          <w:rtl/>
        </w:rPr>
        <w:t>א</w:t>
      </w:r>
      <w:r w:rsidRPr="00007685">
        <w:rPr>
          <w:rFonts w:cs="David"/>
          <w:sz w:val="28"/>
          <w:szCs w:val="28"/>
          <w:rtl/>
        </w:rPr>
        <w:t xml:space="preserve">ת) </w:t>
      </w:r>
      <w:r w:rsidRPr="00007685">
        <w:rPr>
          <w:rFonts w:cs="David" w:hint="cs"/>
          <w:sz w:val="28"/>
          <w:szCs w:val="28"/>
          <w:rtl/>
        </w:rPr>
        <w:t xml:space="preserve">יש סבירות גבוהה </w:t>
      </w:r>
      <w:r w:rsidRPr="00007685">
        <w:rPr>
          <w:rFonts w:cs="David"/>
          <w:sz w:val="28"/>
          <w:szCs w:val="28"/>
          <w:rtl/>
        </w:rPr>
        <w:t>שבוצע ירי מתוך מתח</w:t>
      </w:r>
      <w:r w:rsidRPr="00007685">
        <w:rPr>
          <w:rFonts w:cs="David" w:hint="cs"/>
          <w:sz w:val="28"/>
          <w:szCs w:val="28"/>
          <w:rtl/>
        </w:rPr>
        <w:t>מי</w:t>
      </w:r>
      <w:r w:rsidRPr="00007685">
        <w:rPr>
          <w:rFonts w:cs="David"/>
          <w:sz w:val="28"/>
          <w:szCs w:val="28"/>
          <w:rtl/>
        </w:rPr>
        <w:t xml:space="preserve"> האו"ם</w:t>
      </w:r>
      <w:r w:rsidRPr="00007685">
        <w:rPr>
          <w:rFonts w:cs="David"/>
          <w:sz w:val="28"/>
          <w:szCs w:val="28"/>
        </w:rPr>
        <w:t>.</w:t>
      </w:r>
      <w:r w:rsidR="00A551F4">
        <w:rPr>
          <w:rFonts w:cs="David" w:hint="cs"/>
          <w:sz w:val="28"/>
          <w:szCs w:val="28"/>
          <w:rtl/>
        </w:rPr>
        <w:t xml:space="preserve"> </w:t>
      </w:r>
      <w:r w:rsidR="00EE5EA2">
        <w:rPr>
          <w:rFonts w:cs="David" w:hint="cs"/>
          <w:sz w:val="28"/>
          <w:szCs w:val="28"/>
          <w:rtl/>
        </w:rPr>
        <w:t xml:space="preserve">הוועדה גם קבעה שבכמה מקרים השתמשו ארגוני הטרור הפלסטיניים בעזה במתקני האו"ם להטמנת כלי נשק. </w:t>
      </w:r>
      <w:r w:rsidR="00A551F4">
        <w:rPr>
          <w:rFonts w:cs="David" w:hint="cs"/>
          <w:sz w:val="28"/>
          <w:szCs w:val="28"/>
          <w:rtl/>
        </w:rPr>
        <w:t>כמו כן, להבדיל מקודמתה, ובהתאם ל-</w:t>
      </w:r>
      <w:r w:rsidR="00A551F4">
        <w:rPr>
          <w:rFonts w:cs="David" w:hint="cs"/>
          <w:sz w:val="28"/>
          <w:szCs w:val="28"/>
        </w:rPr>
        <w:t>TOR</w:t>
      </w:r>
      <w:r w:rsidR="00A551F4">
        <w:rPr>
          <w:rFonts w:cs="David" w:hint="cs"/>
          <w:sz w:val="28"/>
          <w:szCs w:val="28"/>
          <w:rtl/>
        </w:rPr>
        <w:t xml:space="preserve"> שנקבע לה, ועדה זו לא קבעה קביעות משפטיות ולא התייחסה לעיקרון אי</w:t>
      </w:r>
      <w:r w:rsidR="001E5054">
        <w:rPr>
          <w:rFonts w:cs="David" w:hint="cs"/>
          <w:sz w:val="28"/>
          <w:szCs w:val="28"/>
          <w:rtl/>
        </w:rPr>
        <w:t>-</w:t>
      </w:r>
      <w:r w:rsidR="00A551F4">
        <w:rPr>
          <w:rFonts w:cs="David" w:hint="cs"/>
          <w:sz w:val="28"/>
          <w:szCs w:val="28"/>
          <w:rtl/>
        </w:rPr>
        <w:t>הפגיעו</w:t>
      </w:r>
      <w:r w:rsidR="001E5054">
        <w:rPr>
          <w:rFonts w:cs="David" w:hint="cs"/>
          <w:sz w:val="28"/>
          <w:szCs w:val="28"/>
          <w:rtl/>
        </w:rPr>
        <w:t>ּ</w:t>
      </w:r>
      <w:r w:rsidR="00A551F4">
        <w:rPr>
          <w:rFonts w:cs="David" w:hint="cs"/>
          <w:sz w:val="28"/>
          <w:szCs w:val="28"/>
          <w:rtl/>
        </w:rPr>
        <w:t xml:space="preserve">ת גם כאשר לא מצאה הצדקה לירי הישראלי על מתחמי האו"ם. </w:t>
      </w:r>
    </w:p>
    <w:p w:rsidR="00007685" w:rsidRDefault="00007685" w:rsidP="008B316C">
      <w:pPr>
        <w:spacing w:after="0" w:line="360" w:lineRule="auto"/>
        <w:jc w:val="both"/>
        <w:rPr>
          <w:rFonts w:cs="David"/>
          <w:sz w:val="28"/>
          <w:szCs w:val="28"/>
          <w:rtl/>
        </w:rPr>
      </w:pPr>
    </w:p>
    <w:p w:rsidR="00E40A62" w:rsidRDefault="00E40A62" w:rsidP="008B316C">
      <w:pPr>
        <w:spacing w:after="0" w:line="360" w:lineRule="auto"/>
        <w:jc w:val="both"/>
        <w:rPr>
          <w:rFonts w:cs="David"/>
          <w:sz w:val="28"/>
          <w:szCs w:val="28"/>
          <w:rtl/>
        </w:rPr>
      </w:pPr>
      <w:r>
        <w:rPr>
          <w:rFonts w:cs="David" w:hint="cs"/>
          <w:sz w:val="28"/>
          <w:szCs w:val="28"/>
          <w:rtl/>
        </w:rPr>
        <w:t>ועדת פאלמר, שמונתה</w:t>
      </w:r>
      <w:r w:rsidR="00692192">
        <w:rPr>
          <w:rFonts w:cs="David" w:hint="cs"/>
          <w:sz w:val="28"/>
          <w:szCs w:val="28"/>
          <w:rtl/>
        </w:rPr>
        <w:t xml:space="preserve"> על ידי </w:t>
      </w:r>
      <w:r>
        <w:rPr>
          <w:rFonts w:cs="David" w:hint="cs"/>
          <w:sz w:val="28"/>
          <w:szCs w:val="28"/>
          <w:rtl/>
        </w:rPr>
        <w:t xml:space="preserve">מזכ"ל האו"ם כדי לבחון את אירוע משט המאווי מרמרה לעזה, </w:t>
      </w:r>
      <w:r w:rsidR="006B256E">
        <w:rPr>
          <w:rFonts w:cs="David" w:hint="cs"/>
          <w:sz w:val="28"/>
          <w:szCs w:val="28"/>
          <w:rtl/>
        </w:rPr>
        <w:t xml:space="preserve">זכתה </w:t>
      </w:r>
      <w:r w:rsidR="00C40A62">
        <w:rPr>
          <w:rFonts w:cs="David" w:hint="cs"/>
          <w:sz w:val="28"/>
          <w:szCs w:val="28"/>
          <w:rtl/>
        </w:rPr>
        <w:t xml:space="preserve">גם כן </w:t>
      </w:r>
      <w:r w:rsidR="006B256E">
        <w:rPr>
          <w:rFonts w:cs="David" w:hint="cs"/>
          <w:sz w:val="28"/>
          <w:szCs w:val="28"/>
          <w:rtl/>
        </w:rPr>
        <w:t>לשיתוף פעולה מצד ישראל ואף לנציגות של חבר ישראלי בוועדה</w:t>
      </w:r>
      <w:r w:rsidR="00C40A62">
        <w:rPr>
          <w:rFonts w:cs="David" w:hint="cs"/>
          <w:sz w:val="28"/>
          <w:szCs w:val="28"/>
          <w:rtl/>
        </w:rPr>
        <w:t xml:space="preserve">. דוח הוועדה </w:t>
      </w:r>
      <w:r w:rsidR="006B256E">
        <w:rPr>
          <w:rFonts w:cs="David" w:hint="cs"/>
          <w:sz w:val="28"/>
          <w:szCs w:val="28"/>
          <w:rtl/>
        </w:rPr>
        <w:t xml:space="preserve">היה מאוזן </w:t>
      </w:r>
      <w:r w:rsidR="00C40A62">
        <w:rPr>
          <w:rFonts w:cs="David" w:hint="cs"/>
          <w:sz w:val="28"/>
          <w:szCs w:val="28"/>
          <w:rtl/>
        </w:rPr>
        <w:t xml:space="preserve">והוגן </w:t>
      </w:r>
      <w:r w:rsidR="006B256E">
        <w:rPr>
          <w:rFonts w:cs="David" w:hint="cs"/>
          <w:sz w:val="28"/>
          <w:szCs w:val="28"/>
          <w:rtl/>
        </w:rPr>
        <w:t xml:space="preserve">מבחינתה של </w:t>
      </w:r>
      <w:r w:rsidR="00C40A62">
        <w:rPr>
          <w:rFonts w:cs="David" w:hint="cs"/>
          <w:sz w:val="28"/>
          <w:szCs w:val="28"/>
          <w:rtl/>
        </w:rPr>
        <w:t>ישראל</w:t>
      </w:r>
      <w:r w:rsidR="00145CE3">
        <w:rPr>
          <w:rStyle w:val="a7"/>
          <w:rFonts w:cs="David"/>
          <w:sz w:val="28"/>
          <w:szCs w:val="28"/>
          <w:rtl/>
        </w:rPr>
        <w:footnoteReference w:id="279"/>
      </w:r>
      <w:r w:rsidR="00C40A62">
        <w:rPr>
          <w:rFonts w:cs="David" w:hint="cs"/>
          <w:sz w:val="28"/>
          <w:szCs w:val="28"/>
          <w:rtl/>
        </w:rPr>
        <w:t>, ונכללו בו כמה אמירות חשובות. הדוח קבע כי הסגר הימי על רצועת עזה היה חוקי, וכי הניסיון לפרוץ אותו היה חסר אחריות. נרמז גם שממשלת תורכיה הייתה צריכה לנקוט צעדים על מנת למנוע את המשט. עוד נקבע, כי לוחמי השייטת שעלו על המאווי מרמרה עשו זאת כחוק וכי נתקלו בהתנגדות אלימה ונאלצו להגן על עצמם. יחד עם זאת, נקבע בדוח גם כי ההשתלטות על המאווי מרמרה הייתה כרוכה בכוח מופרז ולא מוצדק, ובוודאי שלא הצדיק</w:t>
      </w:r>
      <w:r w:rsidR="00BF0349">
        <w:rPr>
          <w:rFonts w:cs="David" w:hint="cs"/>
          <w:sz w:val="28"/>
          <w:szCs w:val="28"/>
          <w:rtl/>
        </w:rPr>
        <w:t>ה</w:t>
      </w:r>
      <w:r w:rsidR="00C40A62">
        <w:rPr>
          <w:rFonts w:cs="David" w:hint="cs"/>
          <w:sz w:val="28"/>
          <w:szCs w:val="28"/>
          <w:rtl/>
        </w:rPr>
        <w:t xml:space="preserve"> אובדן חיי אדם. כן נקבע, כי ישראל צריכה להביע צער על האירוע ולשלם פיצויים למשפחות ההרוגים. הוועדה גם קראה להקלה על כניסת ויציאה של סחורות ואנשים מרצועת עזה. כן קראה לכל ארגון סיוע הומניטארי שמבקש להעביר סחורות לעזה, לעשות זאת באמצעות מדינת ישראל.</w:t>
      </w:r>
    </w:p>
    <w:p w:rsidR="00E40A62" w:rsidRDefault="00E40A62" w:rsidP="008B316C">
      <w:pPr>
        <w:spacing w:after="0" w:line="360" w:lineRule="auto"/>
        <w:jc w:val="both"/>
        <w:rPr>
          <w:rFonts w:cs="David"/>
          <w:sz w:val="28"/>
          <w:szCs w:val="28"/>
          <w:rtl/>
        </w:rPr>
      </w:pPr>
    </w:p>
    <w:p w:rsidR="00C40A62" w:rsidRDefault="0066249D" w:rsidP="00840B74">
      <w:pPr>
        <w:spacing w:after="0" w:line="360" w:lineRule="auto"/>
        <w:jc w:val="both"/>
        <w:rPr>
          <w:rFonts w:cs="David"/>
          <w:sz w:val="28"/>
          <w:szCs w:val="28"/>
          <w:rtl/>
        </w:rPr>
      </w:pPr>
      <w:r>
        <w:rPr>
          <w:rFonts w:cs="David" w:hint="cs"/>
          <w:sz w:val="28"/>
          <w:szCs w:val="28"/>
          <w:rtl/>
        </w:rPr>
        <w:lastRenderedPageBreak/>
        <w:t xml:space="preserve">נראה, אם כן, שככלל, שיתוף פעולה עם </w:t>
      </w:r>
      <w:r w:rsidR="009C039C">
        <w:rPr>
          <w:rFonts w:cs="David" w:hint="cs"/>
          <w:sz w:val="28"/>
          <w:szCs w:val="28"/>
          <w:rtl/>
        </w:rPr>
        <w:t>ועדות חקירה בינלאומיות</w:t>
      </w:r>
      <w:r>
        <w:rPr>
          <w:rFonts w:cs="David" w:hint="cs"/>
          <w:sz w:val="28"/>
          <w:szCs w:val="28"/>
          <w:rtl/>
        </w:rPr>
        <w:t xml:space="preserve"> יכול להיות מועיל במקום שבו הוא נעשה לאחר הכנה ראויה, קביעת </w:t>
      </w:r>
      <w:r w:rsidR="00492C26">
        <w:rPr>
          <w:rFonts w:cs="David" w:hint="cs"/>
          <w:sz w:val="28"/>
          <w:szCs w:val="28"/>
        </w:rPr>
        <w:t>TOR</w:t>
      </w:r>
      <w:r>
        <w:rPr>
          <w:rFonts w:cs="David" w:hint="cs"/>
          <w:sz w:val="28"/>
          <w:szCs w:val="28"/>
          <w:rtl/>
        </w:rPr>
        <w:t xml:space="preserve"> מדויקים</w:t>
      </w:r>
      <w:r w:rsidR="00840B74">
        <w:rPr>
          <w:rFonts w:cs="David" w:hint="cs"/>
          <w:sz w:val="28"/>
          <w:szCs w:val="28"/>
          <w:rtl/>
        </w:rPr>
        <w:t xml:space="preserve"> ו</w:t>
      </w:r>
      <w:r>
        <w:rPr>
          <w:rFonts w:cs="David" w:hint="cs"/>
          <w:sz w:val="28"/>
          <w:szCs w:val="28"/>
          <w:rtl/>
        </w:rPr>
        <w:t xml:space="preserve">בחירת אנשים מתאימים </w:t>
      </w:r>
      <w:r w:rsidR="00014821">
        <w:rPr>
          <w:rFonts w:cs="David" w:hint="cs"/>
          <w:sz w:val="28"/>
          <w:szCs w:val="28"/>
          <w:rtl/>
        </w:rPr>
        <w:t>לוועדה</w:t>
      </w:r>
      <w:r>
        <w:rPr>
          <w:rFonts w:cs="David" w:hint="cs"/>
          <w:sz w:val="28"/>
          <w:szCs w:val="28"/>
          <w:rtl/>
        </w:rPr>
        <w:t xml:space="preserve">. </w:t>
      </w:r>
      <w:r w:rsidR="00C40A62" w:rsidRPr="00FF644E">
        <w:rPr>
          <w:rFonts w:cs="David" w:hint="cs"/>
          <w:sz w:val="28"/>
          <w:szCs w:val="28"/>
          <w:rtl/>
        </w:rPr>
        <w:t xml:space="preserve">הליך </w:t>
      </w:r>
      <w:r>
        <w:rPr>
          <w:rFonts w:cs="David" w:hint="cs"/>
          <w:sz w:val="28"/>
          <w:szCs w:val="28"/>
          <w:rtl/>
        </w:rPr>
        <w:t xml:space="preserve">שיתוף הפעולה גם </w:t>
      </w:r>
      <w:r w:rsidR="00C40A62" w:rsidRPr="00FF644E">
        <w:rPr>
          <w:rFonts w:cs="David" w:hint="cs"/>
          <w:sz w:val="28"/>
          <w:szCs w:val="28"/>
          <w:rtl/>
        </w:rPr>
        <w:t xml:space="preserve">סייע לשיפור היחסים </w:t>
      </w:r>
      <w:r>
        <w:rPr>
          <w:rFonts w:cs="David" w:hint="cs"/>
          <w:sz w:val="28"/>
          <w:szCs w:val="28"/>
          <w:rtl/>
        </w:rPr>
        <w:t xml:space="preserve">של ישראל </w:t>
      </w:r>
      <w:r w:rsidR="00C40A62" w:rsidRPr="00FF644E">
        <w:rPr>
          <w:rFonts w:cs="David" w:hint="cs"/>
          <w:sz w:val="28"/>
          <w:szCs w:val="28"/>
          <w:rtl/>
        </w:rPr>
        <w:t>עם האו״ם</w:t>
      </w:r>
      <w:r>
        <w:rPr>
          <w:rFonts w:cs="David" w:hint="cs"/>
          <w:sz w:val="28"/>
          <w:szCs w:val="28"/>
          <w:rtl/>
        </w:rPr>
        <w:t xml:space="preserve"> </w:t>
      </w:r>
      <w:r w:rsidR="00C40A62" w:rsidRPr="00FF644E">
        <w:rPr>
          <w:rFonts w:cs="David" w:hint="cs"/>
          <w:sz w:val="28"/>
          <w:szCs w:val="28"/>
          <w:rtl/>
        </w:rPr>
        <w:t>ולק</w:t>
      </w:r>
      <w:r>
        <w:rPr>
          <w:rFonts w:cs="David" w:hint="cs"/>
          <w:sz w:val="28"/>
          <w:szCs w:val="28"/>
          <w:rtl/>
        </w:rPr>
        <w:t>י</w:t>
      </w:r>
      <w:r w:rsidR="00C40A62" w:rsidRPr="00FF644E">
        <w:rPr>
          <w:rFonts w:cs="David" w:hint="cs"/>
          <w:sz w:val="28"/>
          <w:szCs w:val="28"/>
          <w:rtl/>
        </w:rPr>
        <w:t>ד</w:t>
      </w:r>
      <w:r>
        <w:rPr>
          <w:rFonts w:cs="David" w:hint="cs"/>
          <w:sz w:val="28"/>
          <w:szCs w:val="28"/>
          <w:rtl/>
        </w:rPr>
        <w:t>ו</w:t>
      </w:r>
      <w:r w:rsidR="00C40A62" w:rsidRPr="00FF644E">
        <w:rPr>
          <w:rFonts w:cs="David" w:hint="cs"/>
          <w:sz w:val="28"/>
          <w:szCs w:val="28"/>
          <w:rtl/>
        </w:rPr>
        <w:t xml:space="preserve">ם מעמדה </w:t>
      </w:r>
      <w:r>
        <w:rPr>
          <w:rFonts w:cs="David" w:hint="cs"/>
          <w:sz w:val="28"/>
          <w:szCs w:val="28"/>
          <w:rtl/>
        </w:rPr>
        <w:t xml:space="preserve">הבינלאומי </w:t>
      </w:r>
      <w:r w:rsidR="00C40A62" w:rsidRPr="00FF644E">
        <w:rPr>
          <w:rFonts w:cs="David" w:hint="cs"/>
          <w:sz w:val="28"/>
          <w:szCs w:val="28"/>
          <w:rtl/>
        </w:rPr>
        <w:t>של ישראל</w:t>
      </w:r>
      <w:r>
        <w:rPr>
          <w:rFonts w:cs="David" w:hint="cs"/>
          <w:sz w:val="28"/>
          <w:szCs w:val="28"/>
          <w:rtl/>
        </w:rPr>
        <w:t>.</w:t>
      </w:r>
    </w:p>
    <w:p w:rsidR="001E5054" w:rsidRDefault="001E5054">
      <w:pPr>
        <w:bidi w:val="0"/>
        <w:rPr>
          <w:rFonts w:cs="David"/>
          <w:sz w:val="28"/>
          <w:szCs w:val="28"/>
          <w:rtl/>
        </w:rPr>
      </w:pPr>
      <w:r>
        <w:rPr>
          <w:rFonts w:cs="David"/>
          <w:sz w:val="28"/>
          <w:szCs w:val="28"/>
          <w:rtl/>
        </w:rPr>
        <w:br w:type="page"/>
      </w:r>
    </w:p>
    <w:p w:rsidR="0066249D" w:rsidRPr="00C22118" w:rsidRDefault="00D44503" w:rsidP="00C22118">
      <w:pPr>
        <w:pStyle w:val="1"/>
        <w:bidi/>
        <w:spacing w:before="0" w:beforeAutospacing="0" w:after="0" w:afterAutospacing="0" w:line="360" w:lineRule="auto"/>
        <w:jc w:val="both"/>
        <w:rPr>
          <w:rFonts w:cs="David"/>
          <w:sz w:val="32"/>
          <w:szCs w:val="32"/>
          <w:rtl/>
        </w:rPr>
      </w:pPr>
      <w:bookmarkStart w:id="76" w:name="_Toc456027346"/>
      <w:r w:rsidRPr="00C22118">
        <w:rPr>
          <w:rFonts w:cs="David" w:hint="cs"/>
          <w:sz w:val="32"/>
          <w:szCs w:val="32"/>
          <w:rtl/>
        </w:rPr>
        <w:lastRenderedPageBreak/>
        <w:t>סיכום</w:t>
      </w:r>
      <w:r w:rsidRPr="00C22118">
        <w:rPr>
          <w:rFonts w:cs="David"/>
          <w:sz w:val="32"/>
          <w:szCs w:val="32"/>
          <w:rtl/>
        </w:rPr>
        <w:t xml:space="preserve"> </w:t>
      </w:r>
      <w:r w:rsidRPr="00C22118">
        <w:rPr>
          <w:rFonts w:cs="David" w:hint="cs"/>
          <w:sz w:val="32"/>
          <w:szCs w:val="32"/>
          <w:rtl/>
        </w:rPr>
        <w:t>והמלצות</w:t>
      </w:r>
      <w:bookmarkEnd w:id="76"/>
    </w:p>
    <w:p w:rsidR="001E5054" w:rsidRDefault="001E5054" w:rsidP="008B316C">
      <w:pPr>
        <w:spacing w:after="0" w:line="360" w:lineRule="auto"/>
        <w:jc w:val="both"/>
        <w:rPr>
          <w:rFonts w:cs="David"/>
          <w:sz w:val="28"/>
          <w:szCs w:val="28"/>
          <w:rtl/>
        </w:rPr>
      </w:pPr>
    </w:p>
    <w:p w:rsidR="001E5054" w:rsidRDefault="001E5054" w:rsidP="000352B1">
      <w:pPr>
        <w:spacing w:after="0" w:line="360" w:lineRule="auto"/>
        <w:jc w:val="both"/>
        <w:rPr>
          <w:rFonts w:cs="David"/>
          <w:sz w:val="28"/>
          <w:szCs w:val="28"/>
          <w:rtl/>
        </w:rPr>
      </w:pPr>
      <w:r>
        <w:rPr>
          <w:rFonts w:cs="David" w:hint="cs"/>
          <w:sz w:val="28"/>
          <w:szCs w:val="28"/>
          <w:rtl/>
        </w:rPr>
        <w:t xml:space="preserve">עבודה זו ניסתה לבחון את מרחב השיקולים והאינטרסים שצריכים להיבחן בעת שמקבלת מדינת ישראל החלטה אם לשתף פעולה עם </w:t>
      </w:r>
      <w:r w:rsidR="009C039C">
        <w:rPr>
          <w:rFonts w:cs="David" w:hint="cs"/>
          <w:sz w:val="28"/>
          <w:szCs w:val="28"/>
          <w:rtl/>
        </w:rPr>
        <w:t>ועדת חקירה בינלאומית</w:t>
      </w:r>
      <w:r>
        <w:rPr>
          <w:rFonts w:cs="David" w:hint="cs"/>
          <w:sz w:val="28"/>
          <w:szCs w:val="28"/>
          <w:rtl/>
        </w:rPr>
        <w:t>, ואת מרחב הפעולה שלה לאחר בחינה כאמור. בשנים האחרונות נבחן כמעט כל מבצע צבאי משמעותי של מדינת ישראל</w:t>
      </w:r>
      <w:r w:rsidR="00692192">
        <w:rPr>
          <w:rFonts w:cs="David" w:hint="cs"/>
          <w:sz w:val="28"/>
          <w:szCs w:val="28"/>
          <w:rtl/>
        </w:rPr>
        <w:t xml:space="preserve"> על ידי </w:t>
      </w:r>
      <w:r w:rsidR="009C039C">
        <w:rPr>
          <w:rFonts w:cs="David" w:hint="cs"/>
          <w:sz w:val="28"/>
          <w:szCs w:val="28"/>
          <w:rtl/>
        </w:rPr>
        <w:t>ועדת חקירה בינלאומית</w:t>
      </w:r>
      <w:r>
        <w:rPr>
          <w:rFonts w:cs="David" w:hint="cs"/>
          <w:sz w:val="28"/>
          <w:szCs w:val="28"/>
          <w:rtl/>
        </w:rPr>
        <w:t xml:space="preserve">. מגמה זו היא חלק ממגמה בינלאומית רחבה יותר לעשות שימוש </w:t>
      </w:r>
      <w:r w:rsidR="00014821">
        <w:rPr>
          <w:rFonts w:cs="David" w:hint="cs"/>
          <w:sz w:val="28"/>
          <w:szCs w:val="28"/>
          <w:rtl/>
        </w:rPr>
        <w:t>בוועדות</w:t>
      </w:r>
      <w:r>
        <w:rPr>
          <w:rFonts w:cs="David" w:hint="cs"/>
          <w:sz w:val="28"/>
          <w:szCs w:val="28"/>
          <w:rtl/>
        </w:rPr>
        <w:t xml:space="preserve"> מעין אלה, אך אין ספק כי מנת חלקה של ישראל בתהליך הזה גדולה בהרבה מחלקה היחסי בקהילה הבינלאומית. </w:t>
      </w:r>
      <w:r w:rsidR="005C71A3">
        <w:rPr>
          <w:rFonts w:cs="David" w:hint="cs"/>
          <w:sz w:val="28"/>
          <w:szCs w:val="28"/>
          <w:rtl/>
        </w:rPr>
        <w:t xml:space="preserve">לא זו אף זו, ישראל נמצאת על הכוונת הבינלאומית בדרך כלל מטעמים פוליטיים ולא ענייניים, ונאלצת להתמודד עם מוסדות בינלאומיים בעלי הטיה אינהרנטית כלפיה, כדוגמת מועצת זכויות האדם, אשר הופכים את אתגר ההתמודדות עם </w:t>
      </w:r>
      <w:r w:rsidR="009C039C">
        <w:rPr>
          <w:rFonts w:cs="David" w:hint="cs"/>
          <w:sz w:val="28"/>
          <w:szCs w:val="28"/>
          <w:rtl/>
        </w:rPr>
        <w:t>ועדות החקירה</w:t>
      </w:r>
      <w:r w:rsidR="005C71A3">
        <w:rPr>
          <w:rFonts w:cs="David" w:hint="cs"/>
          <w:sz w:val="28"/>
          <w:szCs w:val="28"/>
          <w:rtl/>
        </w:rPr>
        <w:t xml:space="preserve"> למסובך הרבה יותר. </w:t>
      </w:r>
      <w:r>
        <w:rPr>
          <w:rFonts w:cs="David" w:hint="cs"/>
          <w:sz w:val="28"/>
          <w:szCs w:val="28"/>
          <w:rtl/>
        </w:rPr>
        <w:t>חלק מהדוחות שפורסמו</w:t>
      </w:r>
      <w:r w:rsidR="00692192">
        <w:rPr>
          <w:rFonts w:cs="David" w:hint="cs"/>
          <w:sz w:val="28"/>
          <w:szCs w:val="28"/>
          <w:rtl/>
        </w:rPr>
        <w:t xml:space="preserve"> על ידי </w:t>
      </w:r>
      <w:r w:rsidR="009C039C">
        <w:rPr>
          <w:rFonts w:cs="David" w:hint="cs"/>
          <w:sz w:val="28"/>
          <w:szCs w:val="28"/>
          <w:rtl/>
        </w:rPr>
        <w:t>ועדות החקירה</w:t>
      </w:r>
      <w:r>
        <w:rPr>
          <w:rFonts w:cs="David" w:hint="cs"/>
          <w:sz w:val="28"/>
          <w:szCs w:val="28"/>
          <w:rtl/>
        </w:rPr>
        <w:t xml:space="preserve"> הללו גרם ועוד יגרום לנזק תדמיתי משמעותי למדינת ישראל</w:t>
      </w:r>
      <w:r w:rsidR="00692D77">
        <w:rPr>
          <w:rFonts w:cs="David" w:hint="cs"/>
          <w:sz w:val="28"/>
          <w:szCs w:val="28"/>
          <w:rtl/>
        </w:rPr>
        <w:t>, אם כי יש שיאמרו כי הוא נזק נסבל בסך כל המחירים שישראל נאלצת לשלם בגין היותה צד קבוע לעימותים צבאיים מאז היווסדה</w:t>
      </w:r>
      <w:r>
        <w:rPr>
          <w:rFonts w:cs="David" w:hint="cs"/>
          <w:sz w:val="28"/>
          <w:szCs w:val="28"/>
          <w:rtl/>
        </w:rPr>
        <w:t xml:space="preserve">. </w:t>
      </w:r>
      <w:r w:rsidR="00692D77">
        <w:rPr>
          <w:rFonts w:cs="David" w:hint="cs"/>
          <w:sz w:val="28"/>
          <w:szCs w:val="28"/>
          <w:rtl/>
        </w:rPr>
        <w:t xml:space="preserve">עם זאת, ייתכן שבעידן שבו יקנה בית הדין הפלילי הבינלאומי סמכות לדון בעימותים הצבאיים של ישראל, יהיה בכך כדי להגדיל את הנזק הפוטנציאלי לישראל באופן משמעותי. </w:t>
      </w:r>
      <w:r>
        <w:rPr>
          <w:rFonts w:cs="David" w:hint="cs"/>
          <w:sz w:val="28"/>
          <w:szCs w:val="28"/>
          <w:rtl/>
        </w:rPr>
        <w:t xml:space="preserve">בדרך כלל בחרה מדינת ישראל להימנע משיתוף פעולה עם </w:t>
      </w:r>
      <w:r w:rsidR="009C039C">
        <w:rPr>
          <w:rFonts w:cs="David" w:hint="cs"/>
          <w:sz w:val="28"/>
          <w:szCs w:val="28"/>
          <w:rtl/>
        </w:rPr>
        <w:t>ועדות החקירה</w:t>
      </w:r>
      <w:r>
        <w:rPr>
          <w:rFonts w:cs="David" w:hint="cs"/>
          <w:sz w:val="28"/>
          <w:szCs w:val="28"/>
          <w:rtl/>
        </w:rPr>
        <w:t xml:space="preserve">, מטעמים שונים. </w:t>
      </w:r>
      <w:r w:rsidR="00692D77">
        <w:rPr>
          <w:rFonts w:cs="David" w:hint="cs"/>
          <w:sz w:val="28"/>
          <w:szCs w:val="28"/>
          <w:rtl/>
        </w:rPr>
        <w:t xml:space="preserve">לאור הסביבה בה פועלת ישראל, </w:t>
      </w:r>
      <w:r>
        <w:rPr>
          <w:rFonts w:cs="David" w:hint="cs"/>
          <w:sz w:val="28"/>
          <w:szCs w:val="28"/>
          <w:rtl/>
        </w:rPr>
        <w:t xml:space="preserve">נשאלת השאלה, האם ניתן </w:t>
      </w:r>
      <w:r w:rsidR="000352B1">
        <w:rPr>
          <w:rFonts w:cs="David" w:hint="cs"/>
          <w:sz w:val="28"/>
          <w:szCs w:val="28"/>
          <w:rtl/>
        </w:rPr>
        <w:t xml:space="preserve">לצמצם </w:t>
      </w:r>
      <w:r>
        <w:rPr>
          <w:rFonts w:cs="David" w:hint="cs"/>
          <w:sz w:val="28"/>
          <w:szCs w:val="28"/>
          <w:rtl/>
        </w:rPr>
        <w:t xml:space="preserve">את נזקם של דוחות </w:t>
      </w:r>
      <w:r w:rsidR="001165FD">
        <w:rPr>
          <w:rFonts w:cs="David" w:hint="cs"/>
          <w:sz w:val="28"/>
          <w:szCs w:val="28"/>
          <w:rtl/>
        </w:rPr>
        <w:t>הוועדות</w:t>
      </w:r>
      <w:r>
        <w:rPr>
          <w:rFonts w:cs="David" w:hint="cs"/>
          <w:sz w:val="28"/>
          <w:szCs w:val="28"/>
          <w:rtl/>
        </w:rPr>
        <w:t xml:space="preserve"> האלה, ומה הפעולות שצריכה המדינה לנקוט לשם כך</w:t>
      </w:r>
      <w:r w:rsidR="000352B1">
        <w:rPr>
          <w:rFonts w:cs="David" w:hint="cs"/>
          <w:sz w:val="28"/>
          <w:szCs w:val="28"/>
          <w:rtl/>
        </w:rPr>
        <w:t>?</w:t>
      </w:r>
    </w:p>
    <w:p w:rsidR="001E5054" w:rsidRDefault="001E5054" w:rsidP="008B316C">
      <w:pPr>
        <w:spacing w:after="0" w:line="360" w:lineRule="auto"/>
        <w:jc w:val="both"/>
        <w:rPr>
          <w:rFonts w:cs="David"/>
          <w:sz w:val="28"/>
          <w:szCs w:val="28"/>
          <w:rtl/>
        </w:rPr>
      </w:pPr>
    </w:p>
    <w:p w:rsidR="001E5054" w:rsidRDefault="001E5054" w:rsidP="00BF0349">
      <w:pPr>
        <w:spacing w:after="0" w:line="360" w:lineRule="auto"/>
        <w:jc w:val="both"/>
        <w:rPr>
          <w:rFonts w:cs="David"/>
          <w:sz w:val="28"/>
          <w:szCs w:val="28"/>
          <w:rtl/>
        </w:rPr>
      </w:pPr>
      <w:r>
        <w:rPr>
          <w:rFonts w:cs="David" w:hint="cs"/>
          <w:sz w:val="28"/>
          <w:szCs w:val="28"/>
          <w:rtl/>
        </w:rPr>
        <w:t xml:space="preserve">העבודה הציגה בהרחבה את האינטרסים הרחבים של מדינת ישראל בנטילת חלק פעיל בקהילה הבינלאומית ובשימור תדמיתה ומעמדה כדמוקרטיה מערבית מובילה, השומרת על שלטון החוק, מאפשרת ביקורת ובחינה של פעולותיה, בזירה הפנימית ובזירה הבינלאומית, ומכבדת את המשפט הבינלאומי, הן במעשיה והן בדבריה. כל אלה </w:t>
      </w:r>
      <w:r w:rsidR="008E0383">
        <w:rPr>
          <w:rFonts w:cs="David" w:hint="cs"/>
          <w:sz w:val="28"/>
          <w:szCs w:val="28"/>
          <w:rtl/>
        </w:rPr>
        <w:t xml:space="preserve">מבטיחים את האמון של הקהילה הבינלאומית בשותפותה של המדינה </w:t>
      </w:r>
      <w:r w:rsidR="00BF0349">
        <w:rPr>
          <w:rFonts w:cs="David" w:hint="cs"/>
          <w:sz w:val="28"/>
          <w:szCs w:val="28"/>
          <w:rtl/>
        </w:rPr>
        <w:t>ב</w:t>
      </w:r>
      <w:r w:rsidR="008E0383">
        <w:rPr>
          <w:rFonts w:cs="David" w:hint="cs"/>
          <w:sz w:val="28"/>
          <w:szCs w:val="28"/>
          <w:rtl/>
        </w:rPr>
        <w:t>קהילה ו</w:t>
      </w:r>
      <w:r w:rsidR="00BF0349">
        <w:rPr>
          <w:rFonts w:cs="David" w:hint="cs"/>
          <w:sz w:val="28"/>
          <w:szCs w:val="28"/>
          <w:rtl/>
        </w:rPr>
        <w:t>ב</w:t>
      </w:r>
      <w:r w:rsidR="008E0383">
        <w:rPr>
          <w:rFonts w:cs="David" w:hint="cs"/>
          <w:sz w:val="28"/>
          <w:szCs w:val="28"/>
          <w:rtl/>
        </w:rPr>
        <w:t>ערכיה ו</w:t>
      </w:r>
      <w:r w:rsidR="00BF0349">
        <w:rPr>
          <w:rFonts w:cs="David" w:hint="cs"/>
          <w:sz w:val="28"/>
          <w:szCs w:val="28"/>
          <w:rtl/>
        </w:rPr>
        <w:t>ב</w:t>
      </w:r>
      <w:r w:rsidR="008E0383">
        <w:rPr>
          <w:rFonts w:cs="David" w:hint="cs"/>
          <w:sz w:val="28"/>
          <w:szCs w:val="28"/>
          <w:rtl/>
        </w:rPr>
        <w:t xml:space="preserve">מחויבותה כלפי כללי ההתנהלות הנהוגים בה. </w:t>
      </w:r>
      <w:r>
        <w:rPr>
          <w:rFonts w:cs="David" w:hint="cs"/>
          <w:sz w:val="28"/>
          <w:szCs w:val="28"/>
          <w:rtl/>
        </w:rPr>
        <w:t>ערכם של האינטרסים האלה לא יסולא בפז והם שימשו כנקודת המוצא לדיון.</w:t>
      </w:r>
      <w:r w:rsidR="008E0383">
        <w:rPr>
          <w:rFonts w:cs="David" w:hint="cs"/>
          <w:sz w:val="28"/>
          <w:szCs w:val="28"/>
          <w:rtl/>
        </w:rPr>
        <w:t xml:space="preserve"> נמצא</w:t>
      </w:r>
      <w:r w:rsidR="00BF0349">
        <w:rPr>
          <w:rFonts w:cs="David" w:hint="cs"/>
          <w:sz w:val="28"/>
          <w:szCs w:val="28"/>
          <w:rtl/>
        </w:rPr>
        <w:t>,</w:t>
      </w:r>
      <w:r w:rsidR="008E0383">
        <w:rPr>
          <w:rFonts w:cs="David" w:hint="cs"/>
          <w:sz w:val="28"/>
          <w:szCs w:val="28"/>
          <w:rtl/>
        </w:rPr>
        <w:t xml:space="preserve"> כי </w:t>
      </w:r>
      <w:r w:rsidR="00BF0349">
        <w:rPr>
          <w:rFonts w:cs="David" w:hint="cs"/>
          <w:sz w:val="28"/>
          <w:szCs w:val="28"/>
          <w:rtl/>
        </w:rPr>
        <w:t xml:space="preserve">בדרך כלל </w:t>
      </w:r>
      <w:r w:rsidR="008E0383">
        <w:rPr>
          <w:rFonts w:cs="David" w:hint="cs"/>
          <w:sz w:val="28"/>
          <w:szCs w:val="28"/>
          <w:rtl/>
        </w:rPr>
        <w:t xml:space="preserve">לא יהיה מצב שבו השיקולים הרחבים של שאלת שיתוף הפעולה עם </w:t>
      </w:r>
      <w:r w:rsidR="009C039C">
        <w:rPr>
          <w:rFonts w:cs="David" w:hint="cs"/>
          <w:sz w:val="28"/>
          <w:szCs w:val="28"/>
          <w:rtl/>
        </w:rPr>
        <w:t>ועדת חקירה בינלאומית</w:t>
      </w:r>
      <w:r w:rsidR="008E0383">
        <w:rPr>
          <w:rFonts w:cs="David" w:hint="cs"/>
          <w:sz w:val="28"/>
          <w:szCs w:val="28"/>
          <w:rtl/>
        </w:rPr>
        <w:t xml:space="preserve"> יוליכו להחלטה שאין מקום לשיתוף פעולה. הימנעות משיתוף פעולה </w:t>
      </w:r>
      <w:r w:rsidR="000352B1">
        <w:rPr>
          <w:rFonts w:cs="David" w:hint="cs"/>
          <w:sz w:val="28"/>
          <w:szCs w:val="28"/>
          <w:rtl/>
        </w:rPr>
        <w:t xml:space="preserve">תגרום </w:t>
      </w:r>
      <w:r w:rsidR="008E0383">
        <w:rPr>
          <w:rFonts w:cs="David" w:hint="cs"/>
          <w:sz w:val="28"/>
          <w:szCs w:val="28"/>
          <w:rtl/>
        </w:rPr>
        <w:t>תמיד נזק למדינת ישראל, בכמה רכיבים. היא משווה לה דימוי של מדינה סרבנית ומתבדלת, פוגעת בערכי השותפות והמחויבות שלה בקהילה הבינלאומית ונתפסת כרצון ישראלי להסתיר דברים שיש סיבות טובות להסתירם.</w:t>
      </w:r>
      <w:r w:rsidR="009D5CC7">
        <w:rPr>
          <w:rFonts w:cs="David" w:hint="cs"/>
          <w:sz w:val="28"/>
          <w:szCs w:val="28"/>
          <w:rtl/>
        </w:rPr>
        <w:t xml:space="preserve"> </w:t>
      </w:r>
      <w:r w:rsidR="009D5CC7">
        <w:rPr>
          <w:rFonts w:cs="David" w:hint="cs"/>
          <w:sz w:val="28"/>
          <w:szCs w:val="28"/>
          <w:rtl/>
        </w:rPr>
        <w:lastRenderedPageBreak/>
        <w:t xml:space="preserve">גם לגופו של עניין, הימנעות משיתוף פעולה מסכלת את היכולת להשפיע לחיוב על עבודת </w:t>
      </w:r>
      <w:r w:rsidR="001165FD">
        <w:rPr>
          <w:rFonts w:cs="David" w:hint="cs"/>
          <w:sz w:val="28"/>
          <w:szCs w:val="28"/>
          <w:rtl/>
        </w:rPr>
        <w:t>הוועדה</w:t>
      </w:r>
      <w:r w:rsidR="009D5CC7">
        <w:rPr>
          <w:rFonts w:cs="David" w:hint="cs"/>
          <w:sz w:val="28"/>
          <w:szCs w:val="28"/>
          <w:rtl/>
        </w:rPr>
        <w:t>.</w:t>
      </w:r>
    </w:p>
    <w:p w:rsidR="008E0383" w:rsidRDefault="008E0383" w:rsidP="008E0383">
      <w:pPr>
        <w:spacing w:after="0" w:line="360" w:lineRule="auto"/>
        <w:jc w:val="both"/>
        <w:rPr>
          <w:rFonts w:cs="David"/>
          <w:sz w:val="28"/>
          <w:szCs w:val="28"/>
          <w:rtl/>
        </w:rPr>
      </w:pPr>
    </w:p>
    <w:p w:rsidR="008E0383" w:rsidRDefault="008E0383" w:rsidP="00BF0349">
      <w:pPr>
        <w:spacing w:after="0" w:line="360" w:lineRule="auto"/>
        <w:jc w:val="both"/>
        <w:rPr>
          <w:rFonts w:cs="David"/>
          <w:sz w:val="28"/>
          <w:szCs w:val="28"/>
          <w:rtl/>
        </w:rPr>
      </w:pPr>
      <w:r>
        <w:rPr>
          <w:rFonts w:cs="David" w:hint="cs"/>
          <w:sz w:val="28"/>
          <w:szCs w:val="28"/>
          <w:rtl/>
        </w:rPr>
        <w:t>חשוב לזכור, כי לא לכל הקהלים בעולם מייחסת מדינת ישראל אותה רמה של חשיבות. כך, ישנם קהלים, בעיקר במדינות לא מערביות, אך גם במדינות מערביות, שאוחזים בדעה שלילית כה מוצקה על מדינת ישראל, שהסיכוי להשפיע על דעתם קלוש</w:t>
      </w:r>
      <w:r w:rsidR="00824BB8">
        <w:rPr>
          <w:rFonts w:cs="David" w:hint="cs"/>
          <w:sz w:val="28"/>
          <w:szCs w:val="28"/>
          <w:rtl/>
        </w:rPr>
        <w:t>, ונראה שההישג המרבי שניתן להשיג מולם הוא ב</w:t>
      </w:r>
      <w:r w:rsidR="00BF0349">
        <w:rPr>
          <w:rFonts w:cs="David" w:hint="cs"/>
          <w:sz w:val="28"/>
          <w:szCs w:val="28"/>
          <w:rtl/>
        </w:rPr>
        <w:t>צמצום ה</w:t>
      </w:r>
      <w:r w:rsidR="00824BB8">
        <w:rPr>
          <w:rFonts w:cs="David" w:hint="cs"/>
          <w:sz w:val="28"/>
          <w:szCs w:val="28"/>
          <w:rtl/>
        </w:rPr>
        <w:t xml:space="preserve">"תחמושת" </w:t>
      </w:r>
      <w:r w:rsidR="00BF0349">
        <w:rPr>
          <w:rFonts w:cs="David" w:hint="cs"/>
          <w:sz w:val="28"/>
          <w:szCs w:val="28"/>
          <w:rtl/>
        </w:rPr>
        <w:t xml:space="preserve">התעמולתית שהם מחזיקים </w:t>
      </w:r>
      <w:r w:rsidR="00824BB8">
        <w:rPr>
          <w:rFonts w:cs="David" w:hint="cs"/>
          <w:sz w:val="28"/>
          <w:szCs w:val="28"/>
          <w:rtl/>
        </w:rPr>
        <w:t>כנגד ישראל</w:t>
      </w:r>
      <w:r>
        <w:rPr>
          <w:rFonts w:cs="David" w:hint="cs"/>
          <w:sz w:val="28"/>
          <w:szCs w:val="28"/>
          <w:rtl/>
        </w:rPr>
        <w:t xml:space="preserve">. לעומתם, יש קהלים, קטנים יחסית, שהדימוי של מדינת ישראל בעיניהם הוא כה גבוה, שבדרך כלל נדרש רק "לתחזק" אותו ולספק להם הצדקה מתמשכת להמשיך ולהחזיק בו. ולבסוף, קהל היעד העיקרי של מדינת ישראל הוא הקהל המערבי "הניטראלי", קובע הטון העיקרי בעולם, אשר מתגורר במדינות שקשריהן עם מדינת ישראל אמיצים ובעלי חשיבות רבה לקיומה ולשגשוגה במישורים רבים. קהל זה, כך נראה, מצריך "שכנוע" רב יותר מצדה של </w:t>
      </w:r>
      <w:r w:rsidR="00824BB8">
        <w:rPr>
          <w:rFonts w:cs="David" w:hint="cs"/>
          <w:sz w:val="28"/>
          <w:szCs w:val="28"/>
          <w:rtl/>
        </w:rPr>
        <w:t xml:space="preserve">ישראל </w:t>
      </w:r>
      <w:r>
        <w:rPr>
          <w:rFonts w:cs="David" w:hint="cs"/>
          <w:sz w:val="28"/>
          <w:szCs w:val="28"/>
          <w:rtl/>
        </w:rPr>
        <w:t>באשר למחויבותה לסטנדרטים המשפטיים הבינלאומיים, לכיבוד זכויות אדם וערכים מערביים ולנטילת חלק פעיל ומועיל בקהילה הבינלאומית.</w:t>
      </w:r>
      <w:r w:rsidR="000B438F">
        <w:rPr>
          <w:rFonts w:cs="David" w:hint="cs"/>
          <w:sz w:val="28"/>
          <w:szCs w:val="28"/>
          <w:rtl/>
        </w:rPr>
        <w:t xml:space="preserve"> הקהל </w:t>
      </w:r>
      <w:r w:rsidR="000352B1">
        <w:rPr>
          <w:rFonts w:cs="David" w:hint="cs"/>
          <w:sz w:val="28"/>
          <w:szCs w:val="28"/>
          <w:rtl/>
        </w:rPr>
        <w:t xml:space="preserve">הזה הוא </w:t>
      </w:r>
      <w:r w:rsidR="000B438F">
        <w:rPr>
          <w:rFonts w:cs="David" w:hint="cs"/>
          <w:sz w:val="28"/>
          <w:szCs w:val="28"/>
          <w:rtl/>
        </w:rPr>
        <w:t xml:space="preserve">שצריך לעמוד לנגד עיני מקבלי ההחלטות בישראל בעת קבלת החלטה באשר לשיתוף פעולה עם </w:t>
      </w:r>
      <w:r w:rsidR="009C039C">
        <w:rPr>
          <w:rFonts w:cs="David" w:hint="cs"/>
          <w:sz w:val="28"/>
          <w:szCs w:val="28"/>
          <w:rtl/>
        </w:rPr>
        <w:t>ועדת חקירה בינלאומית</w:t>
      </w:r>
      <w:r w:rsidR="000B438F">
        <w:rPr>
          <w:rFonts w:cs="David" w:hint="cs"/>
          <w:sz w:val="28"/>
          <w:szCs w:val="28"/>
          <w:rtl/>
        </w:rPr>
        <w:t>. זה הקהל שהשיח עמו חשוב ל</w:t>
      </w:r>
      <w:r w:rsidR="00BF0349">
        <w:rPr>
          <w:rFonts w:cs="David" w:hint="cs"/>
          <w:sz w:val="28"/>
          <w:szCs w:val="28"/>
          <w:rtl/>
        </w:rPr>
        <w:t xml:space="preserve">שימור </w:t>
      </w:r>
      <w:r w:rsidR="000B438F">
        <w:rPr>
          <w:rFonts w:cs="David" w:hint="cs"/>
          <w:sz w:val="28"/>
          <w:szCs w:val="28"/>
          <w:rtl/>
        </w:rPr>
        <w:t>מעמדה הבינלאומי של המדינה.</w:t>
      </w:r>
    </w:p>
    <w:p w:rsidR="000B438F" w:rsidRDefault="000B438F" w:rsidP="008E0383">
      <w:pPr>
        <w:spacing w:after="0" w:line="360" w:lineRule="auto"/>
        <w:jc w:val="both"/>
        <w:rPr>
          <w:rFonts w:cs="David"/>
          <w:sz w:val="28"/>
          <w:szCs w:val="28"/>
          <w:rtl/>
        </w:rPr>
      </w:pPr>
    </w:p>
    <w:p w:rsidR="004554C9" w:rsidRDefault="000B438F" w:rsidP="00840B74">
      <w:pPr>
        <w:spacing w:after="0" w:line="360" w:lineRule="auto"/>
        <w:jc w:val="both"/>
        <w:rPr>
          <w:rFonts w:cs="David"/>
          <w:sz w:val="28"/>
          <w:szCs w:val="28"/>
          <w:rtl/>
        </w:rPr>
      </w:pPr>
      <w:r>
        <w:rPr>
          <w:rFonts w:cs="David" w:hint="cs"/>
          <w:sz w:val="28"/>
          <w:szCs w:val="28"/>
          <w:rtl/>
        </w:rPr>
        <w:t xml:space="preserve">לצד השיקולים והאינטרסים הרחבים, בחנה העבודה גם שיקולים פרטניים-צרים שמשפיעים על ההחלטה אם לשתף פעולה עם </w:t>
      </w:r>
      <w:r w:rsidR="009C039C">
        <w:rPr>
          <w:rFonts w:cs="David" w:hint="cs"/>
          <w:sz w:val="28"/>
          <w:szCs w:val="28"/>
          <w:rtl/>
        </w:rPr>
        <w:t>ועדות חקירה בינלאומיות</w:t>
      </w:r>
      <w:r>
        <w:rPr>
          <w:rFonts w:cs="David" w:hint="cs"/>
          <w:sz w:val="28"/>
          <w:szCs w:val="28"/>
          <w:rtl/>
        </w:rPr>
        <w:t xml:space="preserve">. העבודה הסיקה, כי לאור ריבוי השיקולים הללו וייחודם בהתאם למקרה הנבחן, לא ניתן לייצר "נוסחה" לקביעת החלטה אחידה, ויש לבחון את כולם ולתת להם משקל יחסי בהחלטה הכוללת. חלק מהשיקולים </w:t>
      </w:r>
      <w:r w:rsidR="002F7A44">
        <w:rPr>
          <w:rFonts w:cs="David" w:hint="cs"/>
          <w:sz w:val="28"/>
          <w:szCs w:val="28"/>
          <w:rtl/>
        </w:rPr>
        <w:t xml:space="preserve">הפרטניים </w:t>
      </w:r>
      <w:r>
        <w:rPr>
          <w:rFonts w:cs="David" w:hint="cs"/>
          <w:sz w:val="28"/>
          <w:szCs w:val="28"/>
          <w:rtl/>
        </w:rPr>
        <w:t xml:space="preserve">הללו הם בעלי אופי חיצוני, </w:t>
      </w:r>
      <w:r w:rsidR="00840B74">
        <w:rPr>
          <w:rFonts w:cs="David" w:hint="cs"/>
          <w:sz w:val="28"/>
          <w:szCs w:val="28"/>
          <w:rtl/>
        </w:rPr>
        <w:t>לדוגמה</w:t>
      </w:r>
      <w:r>
        <w:rPr>
          <w:rFonts w:cs="David" w:hint="cs"/>
          <w:sz w:val="28"/>
          <w:szCs w:val="28"/>
          <w:rtl/>
        </w:rPr>
        <w:t xml:space="preserve">: מי הגוף שמינה את </w:t>
      </w:r>
      <w:r w:rsidR="009C039C">
        <w:rPr>
          <w:rFonts w:cs="David" w:hint="cs"/>
          <w:sz w:val="28"/>
          <w:szCs w:val="28"/>
          <w:rtl/>
        </w:rPr>
        <w:t>ועדת החקירה</w:t>
      </w:r>
      <w:r>
        <w:rPr>
          <w:rFonts w:cs="David" w:hint="cs"/>
          <w:sz w:val="28"/>
          <w:szCs w:val="28"/>
          <w:rtl/>
        </w:rPr>
        <w:t>, מה המנדט שניתן ל</w:t>
      </w:r>
      <w:r w:rsidR="00BF0349">
        <w:rPr>
          <w:rFonts w:cs="David" w:hint="cs"/>
          <w:sz w:val="28"/>
          <w:szCs w:val="28"/>
          <w:rtl/>
        </w:rPr>
        <w:t>ה</w:t>
      </w:r>
      <w:r>
        <w:rPr>
          <w:rFonts w:cs="David" w:hint="cs"/>
          <w:sz w:val="28"/>
          <w:szCs w:val="28"/>
          <w:rtl/>
        </w:rPr>
        <w:t>, מי חברי ההרכב</w:t>
      </w:r>
      <w:r w:rsidR="00BF0349">
        <w:rPr>
          <w:rFonts w:cs="David" w:hint="cs"/>
          <w:sz w:val="28"/>
          <w:szCs w:val="28"/>
          <w:rtl/>
        </w:rPr>
        <w:t>, מיהם חברי המזכירות והצוות של הוועדה</w:t>
      </w:r>
      <w:r w:rsidR="00840B74">
        <w:rPr>
          <w:rFonts w:cs="David" w:hint="cs"/>
          <w:sz w:val="28"/>
          <w:szCs w:val="28"/>
          <w:rtl/>
        </w:rPr>
        <w:t xml:space="preserve"> ו</w:t>
      </w:r>
      <w:r w:rsidR="00BF0349">
        <w:rPr>
          <w:rFonts w:cs="David" w:hint="cs"/>
          <w:sz w:val="28"/>
          <w:szCs w:val="28"/>
          <w:rtl/>
        </w:rPr>
        <w:t>מהו ה-</w:t>
      </w:r>
      <w:r w:rsidR="00BF0349">
        <w:rPr>
          <w:rFonts w:cs="David" w:hint="cs"/>
          <w:sz w:val="28"/>
          <w:szCs w:val="28"/>
        </w:rPr>
        <w:t>TOR</w:t>
      </w:r>
      <w:r w:rsidR="00BF0349">
        <w:rPr>
          <w:rFonts w:cs="David" w:hint="cs"/>
          <w:sz w:val="28"/>
          <w:szCs w:val="28"/>
          <w:rtl/>
        </w:rPr>
        <w:t xml:space="preserve"> של הוועדה</w:t>
      </w:r>
      <w:r>
        <w:rPr>
          <w:rFonts w:cs="David" w:hint="cs"/>
          <w:sz w:val="28"/>
          <w:szCs w:val="28"/>
          <w:rtl/>
        </w:rPr>
        <w:t>. מדינת ישראל צריכה לנסות ולהשפיע על כל אחד מהרכיבים האלה</w:t>
      </w:r>
      <w:r w:rsidR="00BF0349">
        <w:rPr>
          <w:rFonts w:cs="David" w:hint="cs"/>
          <w:sz w:val="28"/>
          <w:szCs w:val="28"/>
          <w:rtl/>
        </w:rPr>
        <w:t xml:space="preserve"> בשלבים שקודמים להקמת הוועדה ובשלבים הראשונים לעבודתה</w:t>
      </w:r>
      <w:r>
        <w:rPr>
          <w:rFonts w:cs="David" w:hint="cs"/>
          <w:sz w:val="28"/>
          <w:szCs w:val="28"/>
          <w:rtl/>
        </w:rPr>
        <w:t>, הגם שיכולת</w:t>
      </w:r>
      <w:r w:rsidR="000352B1">
        <w:rPr>
          <w:rFonts w:cs="David" w:hint="cs"/>
          <w:sz w:val="28"/>
          <w:szCs w:val="28"/>
          <w:rtl/>
        </w:rPr>
        <w:t>ה</w:t>
      </w:r>
      <w:r>
        <w:rPr>
          <w:rFonts w:cs="David" w:hint="cs"/>
          <w:sz w:val="28"/>
          <w:szCs w:val="28"/>
          <w:rtl/>
        </w:rPr>
        <w:t xml:space="preserve"> המעשית לעשות זו </w:t>
      </w:r>
      <w:r w:rsidR="00BF0349">
        <w:rPr>
          <w:rFonts w:cs="David" w:hint="cs"/>
          <w:sz w:val="28"/>
          <w:szCs w:val="28"/>
          <w:rtl/>
        </w:rPr>
        <w:t>בדרך כלל מוגבלת</w:t>
      </w:r>
      <w:r>
        <w:rPr>
          <w:rFonts w:cs="David" w:hint="cs"/>
          <w:sz w:val="28"/>
          <w:szCs w:val="28"/>
          <w:rtl/>
        </w:rPr>
        <w:t xml:space="preserve">. </w:t>
      </w:r>
      <w:r w:rsidR="00B13B15">
        <w:rPr>
          <w:rFonts w:cs="David" w:hint="cs"/>
          <w:sz w:val="28"/>
          <w:szCs w:val="28"/>
          <w:rtl/>
        </w:rPr>
        <w:t xml:space="preserve">יהיו מקומות שבהם תוכל מדינת ישראל לבקש כי נציג ישראלי או נציג אחר מטעמה יוכנס להרכב הוועדה. כפי שצוין בעבודה, במקומות שהדבר אפשרי, על מדינת ישראל לבחון את האפשרות להקים ועדה חלופית, פנימית או בינלאומית, שתפעל באופן הוגן יותר ותמנע הקמתה של ועדה בעייתית יותר מבחינת המדינה. </w:t>
      </w:r>
      <w:r>
        <w:rPr>
          <w:rFonts w:cs="David" w:hint="cs"/>
          <w:sz w:val="28"/>
          <w:szCs w:val="28"/>
          <w:rtl/>
        </w:rPr>
        <w:t xml:space="preserve">תפקידן של ידידותיה של ישראל בעולם בעניין זה יכול להיות רב משמעות. וכמובן </w:t>
      </w:r>
      <w:r>
        <w:rPr>
          <w:rFonts w:cs="David" w:hint="cs"/>
          <w:sz w:val="28"/>
          <w:szCs w:val="28"/>
          <w:rtl/>
        </w:rPr>
        <w:lastRenderedPageBreak/>
        <w:t xml:space="preserve">שיש קשר ישיר בין דימויה של ישראל בעיני אותן ידידות, לרבות נכונותה לשתף פעולה עם </w:t>
      </w:r>
      <w:r w:rsidR="0074404A">
        <w:rPr>
          <w:rFonts w:cs="David" w:hint="cs"/>
          <w:sz w:val="28"/>
          <w:szCs w:val="28"/>
          <w:rtl/>
        </w:rPr>
        <w:t>ועדות</w:t>
      </w:r>
      <w:r w:rsidR="00BF0349">
        <w:rPr>
          <w:rFonts w:cs="David" w:hint="cs"/>
          <w:sz w:val="28"/>
          <w:szCs w:val="28"/>
          <w:rtl/>
        </w:rPr>
        <w:t xml:space="preserve"> בינלאומיות</w:t>
      </w:r>
      <w:r>
        <w:rPr>
          <w:rFonts w:cs="David" w:hint="cs"/>
          <w:sz w:val="28"/>
          <w:szCs w:val="28"/>
          <w:rtl/>
        </w:rPr>
        <w:t xml:space="preserve">, למידת הסיוע שהן יושיטו לה על מנת להבטיח פעילות הוגנת מצד </w:t>
      </w:r>
      <w:r w:rsidR="001165FD">
        <w:rPr>
          <w:rFonts w:cs="David" w:hint="cs"/>
          <w:sz w:val="28"/>
          <w:szCs w:val="28"/>
          <w:rtl/>
        </w:rPr>
        <w:t>הוועדות</w:t>
      </w:r>
      <w:r w:rsidR="00BF0349">
        <w:rPr>
          <w:rFonts w:cs="David" w:hint="cs"/>
          <w:sz w:val="28"/>
          <w:szCs w:val="28"/>
          <w:rtl/>
        </w:rPr>
        <w:t xml:space="preserve"> האמורות</w:t>
      </w:r>
      <w:r>
        <w:rPr>
          <w:rFonts w:cs="David" w:hint="cs"/>
          <w:sz w:val="28"/>
          <w:szCs w:val="28"/>
          <w:rtl/>
        </w:rPr>
        <w:t>. העבודה ניסתה לבחון את הערך היחסי</w:t>
      </w:r>
      <w:r w:rsidR="000352B1">
        <w:rPr>
          <w:rFonts w:cs="David" w:hint="cs"/>
          <w:sz w:val="28"/>
          <w:szCs w:val="28"/>
          <w:rtl/>
        </w:rPr>
        <w:t>,</w:t>
      </w:r>
      <w:r>
        <w:rPr>
          <w:rFonts w:cs="David" w:hint="cs"/>
          <w:sz w:val="28"/>
          <w:szCs w:val="28"/>
          <w:rtl/>
        </w:rPr>
        <w:t xml:space="preserve"> שיש לכל אחד מהשיקולים החיצוניים ומצאה כי יש לייחס את הערך הרב ביותר להרכב </w:t>
      </w:r>
      <w:r w:rsidR="001165FD">
        <w:rPr>
          <w:rFonts w:cs="David" w:hint="cs"/>
          <w:sz w:val="28"/>
          <w:szCs w:val="28"/>
          <w:rtl/>
        </w:rPr>
        <w:t>הוועדה</w:t>
      </w:r>
      <w:r>
        <w:rPr>
          <w:rFonts w:cs="David" w:hint="cs"/>
          <w:sz w:val="28"/>
          <w:szCs w:val="28"/>
          <w:rtl/>
        </w:rPr>
        <w:t>, אחריו למנדט של</w:t>
      </w:r>
      <w:r w:rsidR="00BF0349">
        <w:rPr>
          <w:rFonts w:cs="David" w:hint="cs"/>
          <w:sz w:val="28"/>
          <w:szCs w:val="28"/>
          <w:rtl/>
        </w:rPr>
        <w:t>ה</w:t>
      </w:r>
      <w:r>
        <w:rPr>
          <w:rFonts w:cs="David" w:hint="cs"/>
          <w:sz w:val="28"/>
          <w:szCs w:val="28"/>
          <w:rtl/>
        </w:rPr>
        <w:t xml:space="preserve"> ורק לבסוף לגוף שמינה אות</w:t>
      </w:r>
      <w:r w:rsidR="00BF0349">
        <w:rPr>
          <w:rFonts w:cs="David" w:hint="cs"/>
          <w:sz w:val="28"/>
          <w:szCs w:val="28"/>
          <w:rtl/>
        </w:rPr>
        <w:t>ה</w:t>
      </w:r>
      <w:r>
        <w:rPr>
          <w:rFonts w:cs="David" w:hint="cs"/>
          <w:sz w:val="28"/>
          <w:szCs w:val="28"/>
          <w:rtl/>
        </w:rPr>
        <w:t xml:space="preserve">. כן מצאה העבודה, שהשיקולים של הגוף הממנה והמנדט אינם צריכים להיות מכריעים בהחלטה שלא לשתף פעולה עם </w:t>
      </w:r>
      <w:r w:rsidR="009C039C">
        <w:rPr>
          <w:rFonts w:cs="David" w:hint="cs"/>
          <w:sz w:val="28"/>
          <w:szCs w:val="28"/>
          <w:rtl/>
        </w:rPr>
        <w:t>ועדת חקירה</w:t>
      </w:r>
      <w:r>
        <w:rPr>
          <w:rFonts w:cs="David" w:hint="cs"/>
          <w:sz w:val="28"/>
          <w:szCs w:val="28"/>
          <w:rtl/>
        </w:rPr>
        <w:t xml:space="preserve">, להבדיל מהשיקול של הרכב מוטה, שיכול לשמש כשיקול יחיד להחלטה מעין זו, אם כי גם כן בכפוף לבחינה של היכולת </w:t>
      </w:r>
      <w:r w:rsidR="00BF0349">
        <w:rPr>
          <w:rFonts w:cs="David" w:hint="cs"/>
          <w:sz w:val="28"/>
          <w:szCs w:val="28"/>
          <w:rtl/>
        </w:rPr>
        <w:t>לצמצם</w:t>
      </w:r>
      <w:r>
        <w:rPr>
          <w:rFonts w:cs="David" w:hint="cs"/>
          <w:sz w:val="28"/>
          <w:szCs w:val="28"/>
          <w:rtl/>
        </w:rPr>
        <w:t xml:space="preserve"> את הנזק מ</w:t>
      </w:r>
      <w:r w:rsidR="00BF0349">
        <w:rPr>
          <w:rFonts w:cs="David" w:hint="cs"/>
          <w:sz w:val="28"/>
          <w:szCs w:val="28"/>
          <w:rtl/>
        </w:rPr>
        <w:t>ו</w:t>
      </w:r>
      <w:r w:rsidR="009C039C">
        <w:rPr>
          <w:rFonts w:cs="David" w:hint="cs"/>
          <w:sz w:val="28"/>
          <w:szCs w:val="28"/>
          <w:rtl/>
        </w:rPr>
        <w:t>ועדת החקירה</w:t>
      </w:r>
      <w:r>
        <w:rPr>
          <w:rFonts w:cs="David" w:hint="cs"/>
          <w:sz w:val="28"/>
          <w:szCs w:val="28"/>
          <w:rtl/>
        </w:rPr>
        <w:t xml:space="preserve"> בדרכים אחרות.</w:t>
      </w:r>
      <w:r w:rsidR="004554C9">
        <w:rPr>
          <w:rFonts w:cs="David" w:hint="cs"/>
          <w:sz w:val="28"/>
          <w:szCs w:val="28"/>
          <w:rtl/>
        </w:rPr>
        <w:t xml:space="preserve"> </w:t>
      </w:r>
    </w:p>
    <w:p w:rsidR="004554C9" w:rsidRDefault="004554C9" w:rsidP="000B438F">
      <w:pPr>
        <w:spacing w:after="0" w:line="360" w:lineRule="auto"/>
        <w:jc w:val="both"/>
        <w:rPr>
          <w:rFonts w:cs="David"/>
          <w:sz w:val="28"/>
          <w:szCs w:val="28"/>
          <w:rtl/>
        </w:rPr>
      </w:pPr>
    </w:p>
    <w:p w:rsidR="000B438F" w:rsidRDefault="004554C9" w:rsidP="00840B74">
      <w:pPr>
        <w:spacing w:after="0" w:line="360" w:lineRule="auto"/>
        <w:jc w:val="both"/>
        <w:rPr>
          <w:rFonts w:cs="David"/>
          <w:sz w:val="28"/>
          <w:szCs w:val="28"/>
          <w:rtl/>
        </w:rPr>
      </w:pPr>
      <w:r>
        <w:rPr>
          <w:rFonts w:cs="David" w:hint="cs"/>
          <w:sz w:val="28"/>
          <w:szCs w:val="28"/>
          <w:rtl/>
        </w:rPr>
        <w:t xml:space="preserve">לצד השיקולים </w:t>
      </w:r>
      <w:r w:rsidR="002F7A44">
        <w:rPr>
          <w:rFonts w:cs="David" w:hint="cs"/>
          <w:sz w:val="28"/>
          <w:szCs w:val="28"/>
          <w:rtl/>
        </w:rPr>
        <w:t xml:space="preserve">הפרטניים </w:t>
      </w:r>
      <w:r>
        <w:rPr>
          <w:rFonts w:cs="David" w:hint="cs"/>
          <w:sz w:val="28"/>
          <w:szCs w:val="28"/>
          <w:rtl/>
        </w:rPr>
        <w:t xml:space="preserve">החיצוניים בחנה העבודה גם שיקולים </w:t>
      </w:r>
      <w:r w:rsidR="002F7A44">
        <w:rPr>
          <w:rFonts w:cs="David" w:hint="cs"/>
          <w:sz w:val="28"/>
          <w:szCs w:val="28"/>
          <w:rtl/>
        </w:rPr>
        <w:t xml:space="preserve">פרטניים </w:t>
      </w:r>
      <w:r>
        <w:rPr>
          <w:rFonts w:cs="David" w:hint="cs"/>
          <w:sz w:val="28"/>
          <w:szCs w:val="28"/>
          <w:rtl/>
        </w:rPr>
        <w:t>פנימיים</w:t>
      </w:r>
      <w:r w:rsidR="000352B1">
        <w:rPr>
          <w:rFonts w:cs="David" w:hint="cs"/>
          <w:sz w:val="28"/>
          <w:szCs w:val="28"/>
          <w:rtl/>
        </w:rPr>
        <w:t>,</w:t>
      </w:r>
      <w:r>
        <w:rPr>
          <w:rFonts w:cs="David" w:hint="cs"/>
          <w:sz w:val="28"/>
          <w:szCs w:val="28"/>
          <w:rtl/>
        </w:rPr>
        <w:t xml:space="preserve"> שנוגעים</w:t>
      </w:r>
      <w:r w:rsidR="00840B74">
        <w:rPr>
          <w:rFonts w:cs="David" w:hint="cs"/>
          <w:sz w:val="28"/>
          <w:szCs w:val="28"/>
          <w:rtl/>
        </w:rPr>
        <w:t>, לדוגמה,</w:t>
      </w:r>
      <w:r>
        <w:rPr>
          <w:rFonts w:cs="David" w:hint="cs"/>
          <w:sz w:val="28"/>
          <w:szCs w:val="28"/>
          <w:rtl/>
        </w:rPr>
        <w:t xml:space="preserve"> לאירוע הספציפי שנבחן ולהיקפו, להערכת הסיכון של המדינה ביחס לבחינה של אותו אירוע</w:t>
      </w:r>
      <w:r w:rsidR="00840B74">
        <w:rPr>
          <w:rFonts w:cs="David" w:hint="cs"/>
          <w:sz w:val="28"/>
          <w:szCs w:val="28"/>
          <w:rtl/>
        </w:rPr>
        <w:t xml:space="preserve"> ו</w:t>
      </w:r>
      <w:r>
        <w:rPr>
          <w:rFonts w:cs="David" w:hint="cs"/>
          <w:sz w:val="28"/>
          <w:szCs w:val="28"/>
          <w:rtl/>
        </w:rPr>
        <w:t xml:space="preserve">לסוג החומר שתידרש המדינה לחשוף בעת הבדיקה. מטבע הדברים, יש מערכת קשרים בין השיקולים הפנימיים והחיצוניים וכולם ביחד צריכים לבסס את ההכרעה לגבי החלטת שיתוף הפעולה. ייתכן גם שההכרעה הזו </w:t>
      </w:r>
      <w:r w:rsidR="002F7A44">
        <w:rPr>
          <w:rFonts w:cs="David" w:hint="cs"/>
          <w:sz w:val="28"/>
          <w:szCs w:val="28"/>
          <w:rtl/>
        </w:rPr>
        <w:t>תיעשה בשלבים</w:t>
      </w:r>
      <w:r>
        <w:rPr>
          <w:rFonts w:cs="David" w:hint="cs"/>
          <w:sz w:val="28"/>
          <w:szCs w:val="28"/>
          <w:rtl/>
        </w:rPr>
        <w:t xml:space="preserve">, מפני שחלק מהמידע הנוגע לאותם שיקולים </w:t>
      </w:r>
      <w:r w:rsidR="00824BB8">
        <w:rPr>
          <w:rFonts w:cs="David" w:hint="cs"/>
          <w:sz w:val="28"/>
          <w:szCs w:val="28"/>
          <w:rtl/>
        </w:rPr>
        <w:t xml:space="preserve">(בעיקר השיקולים הפנימיים) </w:t>
      </w:r>
      <w:r>
        <w:rPr>
          <w:rFonts w:cs="David" w:hint="cs"/>
          <w:sz w:val="28"/>
          <w:szCs w:val="28"/>
          <w:rtl/>
        </w:rPr>
        <w:t xml:space="preserve">אינו מצוי בידי המדינה כבר בעת ההחלטה למנות את </w:t>
      </w:r>
      <w:r w:rsidR="001165FD">
        <w:rPr>
          <w:rFonts w:cs="David" w:hint="cs"/>
          <w:sz w:val="28"/>
          <w:szCs w:val="28"/>
          <w:rtl/>
        </w:rPr>
        <w:t>הוועדה</w:t>
      </w:r>
      <w:r w:rsidR="002F7A44">
        <w:rPr>
          <w:rFonts w:cs="David" w:hint="cs"/>
          <w:sz w:val="28"/>
          <w:szCs w:val="28"/>
          <w:rtl/>
        </w:rPr>
        <w:t>. כ</w:t>
      </w:r>
      <w:r>
        <w:rPr>
          <w:rFonts w:cs="David" w:hint="cs"/>
          <w:sz w:val="28"/>
          <w:szCs w:val="28"/>
          <w:rtl/>
        </w:rPr>
        <w:t>דוגמה</w:t>
      </w:r>
      <w:r w:rsidR="002F7A44">
        <w:rPr>
          <w:rFonts w:cs="David" w:hint="cs"/>
          <w:sz w:val="28"/>
          <w:szCs w:val="28"/>
          <w:rtl/>
        </w:rPr>
        <w:t xml:space="preserve"> לכך ניתן לציין</w:t>
      </w:r>
      <w:r>
        <w:rPr>
          <w:rFonts w:cs="David" w:hint="cs"/>
          <w:sz w:val="28"/>
          <w:szCs w:val="28"/>
          <w:rtl/>
        </w:rPr>
        <w:t xml:space="preserve"> מידע על אירועים בולטים במבצע צבאי, שמתגבש רק לאחר תהליך בדיקה פנימי שמקיים הצבא. לפיכך, נדרש לקיים תהליך הערכת מצב ארוך טווח</w:t>
      </w:r>
      <w:r w:rsidR="002F7A44">
        <w:rPr>
          <w:rFonts w:cs="David" w:hint="cs"/>
          <w:sz w:val="28"/>
          <w:szCs w:val="28"/>
          <w:rtl/>
        </w:rPr>
        <w:t>,</w:t>
      </w:r>
      <w:r>
        <w:rPr>
          <w:rFonts w:cs="David" w:hint="cs"/>
          <w:sz w:val="28"/>
          <w:szCs w:val="28"/>
          <w:rtl/>
        </w:rPr>
        <w:t xml:space="preserve"> שילווה בשיח עם </w:t>
      </w:r>
      <w:r w:rsidR="001165FD">
        <w:rPr>
          <w:rFonts w:cs="David" w:hint="cs"/>
          <w:sz w:val="28"/>
          <w:szCs w:val="28"/>
          <w:rtl/>
        </w:rPr>
        <w:t>הוועדה</w:t>
      </w:r>
      <w:r>
        <w:rPr>
          <w:rFonts w:cs="David" w:hint="cs"/>
          <w:sz w:val="28"/>
          <w:szCs w:val="28"/>
          <w:rtl/>
        </w:rPr>
        <w:t xml:space="preserve"> והגוף שמינה אות</w:t>
      </w:r>
      <w:r w:rsidR="00BF0349">
        <w:rPr>
          <w:rFonts w:cs="David" w:hint="cs"/>
          <w:sz w:val="28"/>
          <w:szCs w:val="28"/>
          <w:rtl/>
        </w:rPr>
        <w:t>ה</w:t>
      </w:r>
      <w:r>
        <w:rPr>
          <w:rFonts w:cs="David" w:hint="cs"/>
          <w:sz w:val="28"/>
          <w:szCs w:val="28"/>
          <w:rtl/>
        </w:rPr>
        <w:t xml:space="preserve"> וכן עם ידידותיה של ישראל בעולם. עם זאת, ההכרעה העקרונית באשר לעצם שיתוף הפעולה יכולה בדרך כלל להתקבל בתחילת התהליך על סמך המידע הקיים כבר בעת מינוי </w:t>
      </w:r>
      <w:r w:rsidR="001165FD">
        <w:rPr>
          <w:rFonts w:cs="David" w:hint="cs"/>
          <w:sz w:val="28"/>
          <w:szCs w:val="28"/>
          <w:rtl/>
        </w:rPr>
        <w:t>הוועדה</w:t>
      </w:r>
      <w:r>
        <w:rPr>
          <w:rFonts w:cs="David" w:hint="cs"/>
          <w:sz w:val="28"/>
          <w:szCs w:val="28"/>
          <w:rtl/>
        </w:rPr>
        <w:t xml:space="preserve">, ומידע שנצבר לאחר מכן יכול בדרך כלל להשפיע יותר על מידת שיתוף הפעולה ועל אופן שיתוף הפעולה. מכל מקום, אמירה עקרונית של המדינה כי היא החליטה לשתף פעולה עם </w:t>
      </w:r>
      <w:r w:rsidR="001165FD">
        <w:rPr>
          <w:rFonts w:cs="David" w:hint="cs"/>
          <w:sz w:val="28"/>
          <w:szCs w:val="28"/>
          <w:rtl/>
        </w:rPr>
        <w:t>הוועדה</w:t>
      </w:r>
      <w:r>
        <w:rPr>
          <w:rFonts w:cs="David" w:hint="cs"/>
          <w:sz w:val="28"/>
          <w:szCs w:val="28"/>
          <w:rtl/>
        </w:rPr>
        <w:t xml:space="preserve">, לאחר שהוסרו המכשולים העיקריים לכך, חשובה גם כלפי הקהילה הבינלאומית וגם כלפי רשויות המדינה שנדרשות להיערך באופן משמעותי לתהליך זה. </w:t>
      </w:r>
    </w:p>
    <w:p w:rsidR="004554C9" w:rsidRDefault="004554C9" w:rsidP="004554C9">
      <w:pPr>
        <w:spacing w:after="0" w:line="360" w:lineRule="auto"/>
        <w:jc w:val="both"/>
        <w:rPr>
          <w:rFonts w:cs="David"/>
          <w:sz w:val="28"/>
          <w:szCs w:val="28"/>
          <w:rtl/>
        </w:rPr>
      </w:pPr>
    </w:p>
    <w:p w:rsidR="001E5054" w:rsidRDefault="004554C9" w:rsidP="00BF0349">
      <w:pPr>
        <w:spacing w:after="0" w:line="360" w:lineRule="auto"/>
        <w:jc w:val="both"/>
        <w:rPr>
          <w:rFonts w:cs="David"/>
          <w:sz w:val="28"/>
          <w:szCs w:val="28"/>
          <w:rtl/>
        </w:rPr>
      </w:pPr>
      <w:r>
        <w:rPr>
          <w:rFonts w:cs="David" w:hint="cs"/>
          <w:sz w:val="28"/>
          <w:szCs w:val="28"/>
          <w:rtl/>
        </w:rPr>
        <w:t xml:space="preserve">בסופו של דבר, ההכרעה צריכה לבחון תועלתנית את היכולת להשפיע באופן חיובי על עבודת </w:t>
      </w:r>
      <w:r w:rsidR="001165FD">
        <w:rPr>
          <w:rFonts w:cs="David" w:hint="cs"/>
          <w:sz w:val="28"/>
          <w:szCs w:val="28"/>
          <w:rtl/>
        </w:rPr>
        <w:t>הוועדה</w:t>
      </w:r>
      <w:r>
        <w:rPr>
          <w:rFonts w:cs="David" w:hint="cs"/>
          <w:sz w:val="28"/>
          <w:szCs w:val="28"/>
          <w:rtl/>
        </w:rPr>
        <w:t xml:space="preserve">. אם ההערכה היא שגם שיתוף פעולה מלא </w:t>
      </w:r>
      <w:r w:rsidR="005C71A3">
        <w:rPr>
          <w:rFonts w:cs="David" w:hint="cs"/>
          <w:sz w:val="28"/>
          <w:szCs w:val="28"/>
          <w:rtl/>
        </w:rPr>
        <w:t xml:space="preserve">וגלוי </w:t>
      </w:r>
      <w:r>
        <w:rPr>
          <w:rFonts w:cs="David" w:hint="cs"/>
          <w:sz w:val="28"/>
          <w:szCs w:val="28"/>
          <w:rtl/>
        </w:rPr>
        <w:t xml:space="preserve">לא יועיל בשל פגמים שקשורים </w:t>
      </w:r>
      <w:r w:rsidR="00014821">
        <w:rPr>
          <w:rFonts w:cs="David" w:hint="cs"/>
          <w:sz w:val="28"/>
          <w:szCs w:val="28"/>
          <w:rtl/>
        </w:rPr>
        <w:t>בוועדה</w:t>
      </w:r>
      <w:r>
        <w:rPr>
          <w:rFonts w:cs="David" w:hint="cs"/>
          <w:sz w:val="28"/>
          <w:szCs w:val="28"/>
          <w:rtl/>
        </w:rPr>
        <w:t xml:space="preserve">, </w:t>
      </w:r>
      <w:r w:rsidR="005C71A3">
        <w:rPr>
          <w:rFonts w:cs="David" w:hint="cs"/>
          <w:sz w:val="28"/>
          <w:szCs w:val="28"/>
          <w:rtl/>
        </w:rPr>
        <w:t>ייתכן שעדיף להימנע משיתוף גלוי מעין ז</w:t>
      </w:r>
      <w:r w:rsidR="00824BB8">
        <w:rPr>
          <w:rFonts w:cs="David" w:hint="cs"/>
          <w:sz w:val="28"/>
          <w:szCs w:val="28"/>
          <w:rtl/>
        </w:rPr>
        <w:t>ה</w:t>
      </w:r>
      <w:r w:rsidR="005C71A3">
        <w:rPr>
          <w:rFonts w:cs="David" w:hint="cs"/>
          <w:sz w:val="28"/>
          <w:szCs w:val="28"/>
          <w:rtl/>
        </w:rPr>
        <w:t xml:space="preserve"> ולהתמודד עם עבודת </w:t>
      </w:r>
      <w:r w:rsidR="001165FD">
        <w:rPr>
          <w:rFonts w:cs="David" w:hint="cs"/>
          <w:sz w:val="28"/>
          <w:szCs w:val="28"/>
          <w:rtl/>
        </w:rPr>
        <w:t>הוועדה</w:t>
      </w:r>
      <w:r w:rsidR="005C71A3">
        <w:rPr>
          <w:rFonts w:cs="David" w:hint="cs"/>
          <w:sz w:val="28"/>
          <w:szCs w:val="28"/>
          <w:rtl/>
        </w:rPr>
        <w:t xml:space="preserve"> ועם תוצאותיה בדרכים אחרות. לעניין זה נראה, שכאשר הדוח שמפרס</w:t>
      </w:r>
      <w:r w:rsidR="00BF0349">
        <w:rPr>
          <w:rFonts w:cs="David" w:hint="cs"/>
          <w:sz w:val="28"/>
          <w:szCs w:val="28"/>
          <w:rtl/>
        </w:rPr>
        <w:t>מת</w:t>
      </w:r>
      <w:r w:rsidR="005C71A3">
        <w:rPr>
          <w:rFonts w:cs="David" w:hint="cs"/>
          <w:sz w:val="28"/>
          <w:szCs w:val="28"/>
          <w:rtl/>
        </w:rPr>
        <w:t xml:space="preserve"> </w:t>
      </w:r>
      <w:r w:rsidR="001165FD">
        <w:rPr>
          <w:rFonts w:cs="David" w:hint="cs"/>
          <w:sz w:val="28"/>
          <w:szCs w:val="28"/>
          <w:rtl/>
        </w:rPr>
        <w:t>הוועדה</w:t>
      </w:r>
      <w:r w:rsidR="005C71A3">
        <w:rPr>
          <w:rFonts w:cs="David" w:hint="cs"/>
          <w:sz w:val="28"/>
          <w:szCs w:val="28"/>
          <w:rtl/>
        </w:rPr>
        <w:t xml:space="preserve"> הוא גרוע מבחינתה של ישראל, אין ערך רב בשיתוף הפעולה </w:t>
      </w:r>
      <w:r w:rsidR="005C71A3">
        <w:rPr>
          <w:rFonts w:cs="David" w:hint="cs"/>
          <w:sz w:val="28"/>
          <w:szCs w:val="28"/>
          <w:rtl/>
        </w:rPr>
        <w:lastRenderedPageBreak/>
        <w:t xml:space="preserve">כשלעצמו, גם כלפי כל אותם גורמים בקהל היעד המערבי של המדינה, שיזכרו בעיקר את הדוח הרע שפורסם ולא את התנהלותה </w:t>
      </w:r>
      <w:r w:rsidR="00BF0349">
        <w:rPr>
          <w:rFonts w:cs="David" w:hint="cs"/>
          <w:sz w:val="28"/>
          <w:szCs w:val="28"/>
          <w:rtl/>
        </w:rPr>
        <w:t xml:space="preserve">החיובית </w:t>
      </w:r>
      <w:r w:rsidR="005C71A3">
        <w:rPr>
          <w:rFonts w:cs="David" w:hint="cs"/>
          <w:sz w:val="28"/>
          <w:szCs w:val="28"/>
          <w:rtl/>
        </w:rPr>
        <w:t xml:space="preserve">של ישראל מול </w:t>
      </w:r>
      <w:r w:rsidR="001165FD">
        <w:rPr>
          <w:rFonts w:cs="David" w:hint="cs"/>
          <w:sz w:val="28"/>
          <w:szCs w:val="28"/>
          <w:rtl/>
        </w:rPr>
        <w:t>הוועדה</w:t>
      </w:r>
      <w:r w:rsidR="005C71A3">
        <w:rPr>
          <w:rFonts w:cs="David" w:hint="cs"/>
          <w:sz w:val="28"/>
          <w:szCs w:val="28"/>
          <w:rtl/>
        </w:rPr>
        <w:t>.</w:t>
      </w:r>
    </w:p>
    <w:p w:rsidR="005C71A3" w:rsidRDefault="005C71A3" w:rsidP="005C71A3">
      <w:pPr>
        <w:spacing w:after="0" w:line="360" w:lineRule="auto"/>
        <w:jc w:val="both"/>
        <w:rPr>
          <w:rFonts w:cs="David"/>
          <w:sz w:val="28"/>
          <w:szCs w:val="28"/>
          <w:rtl/>
        </w:rPr>
      </w:pPr>
    </w:p>
    <w:p w:rsidR="009C6668" w:rsidRDefault="009C6668" w:rsidP="00BF0349">
      <w:pPr>
        <w:spacing w:after="0" w:line="360" w:lineRule="auto"/>
        <w:jc w:val="both"/>
        <w:rPr>
          <w:rFonts w:cs="David"/>
          <w:sz w:val="28"/>
          <w:szCs w:val="28"/>
          <w:rtl/>
        </w:rPr>
      </w:pPr>
      <w:r>
        <w:rPr>
          <w:rFonts w:cs="David" w:hint="cs"/>
          <w:sz w:val="28"/>
          <w:szCs w:val="28"/>
          <w:rtl/>
        </w:rPr>
        <w:t>בשורה התחתונה, שיתוף פעולה כשלעצמו אינו מבטיח דוחות טובים. עם זאת, יש סיכוי לא מבוטל שבזכות שיתוף פעולה</w:t>
      </w:r>
      <w:r w:rsidR="000352B1">
        <w:rPr>
          <w:rFonts w:cs="David" w:hint="cs"/>
          <w:sz w:val="28"/>
          <w:szCs w:val="28"/>
          <w:rtl/>
        </w:rPr>
        <w:t xml:space="preserve"> יהיה</w:t>
      </w:r>
      <w:r>
        <w:rPr>
          <w:rFonts w:cs="David" w:hint="cs"/>
          <w:sz w:val="28"/>
          <w:szCs w:val="28"/>
          <w:rtl/>
        </w:rPr>
        <w:t xml:space="preserve"> הדוח </w:t>
      </w:r>
      <w:r w:rsidR="00824BB8">
        <w:rPr>
          <w:rFonts w:cs="David" w:hint="cs"/>
          <w:sz w:val="28"/>
          <w:szCs w:val="28"/>
          <w:rtl/>
        </w:rPr>
        <w:t>שמפרס</w:t>
      </w:r>
      <w:r w:rsidR="00BF0349">
        <w:rPr>
          <w:rFonts w:cs="David" w:hint="cs"/>
          <w:sz w:val="28"/>
          <w:szCs w:val="28"/>
          <w:rtl/>
        </w:rPr>
        <w:t>מת</w:t>
      </w:r>
      <w:r w:rsidR="00824BB8">
        <w:rPr>
          <w:rFonts w:cs="David" w:hint="cs"/>
          <w:sz w:val="28"/>
          <w:szCs w:val="28"/>
          <w:rtl/>
        </w:rPr>
        <w:t xml:space="preserve"> </w:t>
      </w:r>
      <w:r w:rsidR="009C039C">
        <w:rPr>
          <w:rFonts w:cs="David" w:hint="cs"/>
          <w:sz w:val="28"/>
          <w:szCs w:val="28"/>
          <w:rtl/>
        </w:rPr>
        <w:t>ועדת החקירה</w:t>
      </w:r>
      <w:r w:rsidR="00824BB8">
        <w:rPr>
          <w:rFonts w:cs="David" w:hint="cs"/>
          <w:sz w:val="28"/>
          <w:szCs w:val="28"/>
          <w:rtl/>
        </w:rPr>
        <w:t xml:space="preserve"> </w:t>
      </w:r>
      <w:r>
        <w:rPr>
          <w:rFonts w:cs="David" w:hint="cs"/>
          <w:sz w:val="28"/>
          <w:szCs w:val="28"/>
          <w:rtl/>
        </w:rPr>
        <w:t>מאוזן</w:t>
      </w:r>
      <w:r w:rsidR="000352B1">
        <w:rPr>
          <w:rFonts w:cs="David" w:hint="cs"/>
          <w:sz w:val="28"/>
          <w:szCs w:val="28"/>
          <w:rtl/>
        </w:rPr>
        <w:t xml:space="preserve"> יותר</w:t>
      </w:r>
      <w:r>
        <w:rPr>
          <w:rFonts w:cs="David" w:hint="cs"/>
          <w:sz w:val="28"/>
          <w:szCs w:val="28"/>
          <w:rtl/>
        </w:rPr>
        <w:t>. וצריך גם להכיר בכך שבחלק מהמקרים הביקורת על פעולות שנקטה ישראל או דחיית המדיניות הישראלית הן מקובלות ולגיטימיות</w:t>
      </w:r>
      <w:r w:rsidR="00824BB8">
        <w:rPr>
          <w:rFonts w:cs="David" w:hint="cs"/>
          <w:sz w:val="28"/>
          <w:szCs w:val="28"/>
          <w:rtl/>
        </w:rPr>
        <w:t xml:space="preserve"> ושבחלק מהמקרים המדינה גם צריכה ליטול אחריות על טעויות שעשתה</w:t>
      </w:r>
      <w:r>
        <w:rPr>
          <w:rFonts w:cs="David" w:hint="cs"/>
          <w:sz w:val="28"/>
          <w:szCs w:val="28"/>
          <w:rtl/>
        </w:rPr>
        <w:t>.</w:t>
      </w:r>
      <w:r w:rsidR="00824BB8">
        <w:rPr>
          <w:rFonts w:cs="David" w:hint="cs"/>
          <w:sz w:val="28"/>
          <w:szCs w:val="28"/>
          <w:rtl/>
        </w:rPr>
        <w:t xml:space="preserve"> זה יחזק את תוקף עמדתה במקומות שבהם היא טוענת לצדקתה.</w:t>
      </w:r>
    </w:p>
    <w:p w:rsidR="00824BB8" w:rsidRDefault="00824BB8" w:rsidP="009C6668">
      <w:pPr>
        <w:spacing w:after="0" w:line="360" w:lineRule="auto"/>
        <w:jc w:val="both"/>
        <w:rPr>
          <w:rFonts w:cs="David"/>
          <w:sz w:val="28"/>
          <w:szCs w:val="28"/>
          <w:rtl/>
        </w:rPr>
      </w:pPr>
    </w:p>
    <w:p w:rsidR="009C6668" w:rsidRDefault="00824BB8" w:rsidP="00840B74">
      <w:pPr>
        <w:spacing w:after="0" w:line="360" w:lineRule="auto"/>
        <w:jc w:val="both"/>
        <w:rPr>
          <w:rFonts w:cs="David"/>
          <w:sz w:val="28"/>
          <w:szCs w:val="28"/>
          <w:rtl/>
        </w:rPr>
      </w:pPr>
      <w:r>
        <w:rPr>
          <w:rFonts w:cs="David" w:hint="cs"/>
          <w:sz w:val="28"/>
          <w:szCs w:val="28"/>
          <w:rtl/>
        </w:rPr>
        <w:t xml:space="preserve">קבלת ההחלטה בעניין שיתוף הפעולה צריכה להתקבל כשליד השולחן יושבים כל הגורמים בעלי העניין והידע במדינת ישראל לעניין זה: משרד המשפטים, משרד החוץ, המטה לביטחון לאומי, צה"ל בכלל והפרקליטות הצבאית בפרט </w:t>
      </w:r>
      <w:r w:rsidR="00D321F7">
        <w:rPr>
          <w:rFonts w:cs="David" w:hint="cs"/>
          <w:sz w:val="28"/>
          <w:szCs w:val="28"/>
          <w:rtl/>
        </w:rPr>
        <w:t>וכל גוף אחר הנוגע בדבר, לפי העניין</w:t>
      </w:r>
      <w:r>
        <w:rPr>
          <w:rFonts w:cs="David" w:hint="cs"/>
          <w:sz w:val="28"/>
          <w:szCs w:val="28"/>
          <w:rtl/>
        </w:rPr>
        <w:t xml:space="preserve">. הראיונות שקוימו במסגרת עבודה זו המחישו את נקודת הראות הייחודית שיש לכל אחד מהגופים הללו ואת הערך המוסף </w:t>
      </w:r>
      <w:r w:rsidR="00B13B15">
        <w:rPr>
          <w:rFonts w:cs="David" w:hint="cs"/>
          <w:sz w:val="28"/>
          <w:szCs w:val="28"/>
          <w:rtl/>
        </w:rPr>
        <w:t xml:space="preserve">הייחודי </w:t>
      </w:r>
      <w:r>
        <w:rPr>
          <w:rFonts w:cs="David" w:hint="cs"/>
          <w:sz w:val="28"/>
          <w:szCs w:val="28"/>
          <w:rtl/>
        </w:rPr>
        <w:t xml:space="preserve">שהוא מביא לשולחן. </w:t>
      </w:r>
      <w:r w:rsidR="00D321F7">
        <w:rPr>
          <w:rFonts w:cs="David" w:hint="cs"/>
          <w:sz w:val="28"/>
          <w:szCs w:val="28"/>
          <w:rtl/>
        </w:rPr>
        <w:t>לאחר תהליך סדור הגופים האלה צריכים להעביר את המלצתם המקצועית</w:t>
      </w:r>
      <w:r w:rsidR="00D20373">
        <w:rPr>
          <w:rFonts w:cs="David" w:hint="cs"/>
          <w:sz w:val="28"/>
          <w:szCs w:val="28"/>
          <w:rtl/>
        </w:rPr>
        <w:t xml:space="preserve"> למקבלי ההחלטות. ההמלצה צריכה להתייחס לכל השיקולים שנבחנו ולאופן שיתוף הפעולה המומלץ עם הוועדה, אם בכלל. מפאת רגישותם של העניינים הללו, בדרך כלל תתקבל ההחלטה על ידי ראש הממשלה.</w:t>
      </w:r>
      <w:r w:rsidR="00D321F7">
        <w:rPr>
          <w:rFonts w:cs="David" w:hint="cs"/>
          <w:sz w:val="28"/>
          <w:szCs w:val="28"/>
          <w:rtl/>
        </w:rPr>
        <w:t xml:space="preserve"> </w:t>
      </w:r>
      <w:r>
        <w:rPr>
          <w:rFonts w:cs="David" w:hint="cs"/>
          <w:sz w:val="28"/>
          <w:szCs w:val="28"/>
          <w:rtl/>
        </w:rPr>
        <w:t>מאחר ש</w:t>
      </w:r>
      <w:r w:rsidR="009F6ED1">
        <w:rPr>
          <w:rFonts w:cs="David" w:hint="cs"/>
          <w:sz w:val="28"/>
          <w:szCs w:val="28"/>
          <w:rtl/>
        </w:rPr>
        <w:t xml:space="preserve">ועדות חקירה </w:t>
      </w:r>
      <w:r w:rsidR="00D20373">
        <w:rPr>
          <w:rFonts w:cs="David" w:hint="cs"/>
          <w:sz w:val="28"/>
          <w:szCs w:val="28"/>
          <w:rtl/>
        </w:rPr>
        <w:t>מוקמות</w:t>
      </w:r>
      <w:r>
        <w:rPr>
          <w:rFonts w:cs="David" w:hint="cs"/>
          <w:sz w:val="28"/>
          <w:szCs w:val="28"/>
          <w:rtl/>
        </w:rPr>
        <w:t xml:space="preserve"> בהקשר הישראלי כמעט כרפלקס מותנה של המוסדות הבינלאומיים, בעיקר של מועצת זכויות האדם, במהלך כל מבצע צבאי ארוך מספיק בשביל לכנס את המועצה </w:t>
      </w:r>
      <w:r w:rsidR="00C52DDA">
        <w:rPr>
          <w:rFonts w:cs="David" w:hint="cs"/>
          <w:sz w:val="28"/>
          <w:szCs w:val="28"/>
          <w:rtl/>
        </w:rPr>
        <w:t>למושב</w:t>
      </w:r>
      <w:r>
        <w:rPr>
          <w:rFonts w:cs="David" w:hint="cs"/>
          <w:sz w:val="28"/>
          <w:szCs w:val="28"/>
          <w:rtl/>
        </w:rPr>
        <w:t xml:space="preserve"> חירום</w:t>
      </w:r>
      <w:r>
        <w:rPr>
          <w:rStyle w:val="a7"/>
          <w:rFonts w:cs="David"/>
          <w:sz w:val="28"/>
          <w:szCs w:val="28"/>
          <w:rtl/>
        </w:rPr>
        <w:footnoteReference w:id="280"/>
      </w:r>
      <w:r w:rsidR="00C52DDA">
        <w:rPr>
          <w:rFonts w:cs="David" w:hint="cs"/>
          <w:sz w:val="28"/>
          <w:szCs w:val="28"/>
          <w:rtl/>
        </w:rPr>
        <w:t xml:space="preserve">, יש מקום לבחינת התהליך הבינלאומי לעניין זה כבר מיומו הראשון של המבצע. כך, יש מקום לשיח עם ידידותיה של ישראל בעולם, כדי להשפיע על </w:t>
      </w:r>
      <w:r w:rsidR="00840B74">
        <w:rPr>
          <w:rFonts w:cs="David" w:hint="cs"/>
          <w:sz w:val="28"/>
          <w:szCs w:val="28"/>
          <w:rtl/>
        </w:rPr>
        <w:t xml:space="preserve">גורמים חשובים כדוגמת </w:t>
      </w:r>
      <w:r w:rsidR="00C52DDA">
        <w:rPr>
          <w:rFonts w:cs="David" w:hint="cs"/>
          <w:sz w:val="28"/>
          <w:szCs w:val="28"/>
          <w:rtl/>
        </w:rPr>
        <w:t>עיתוי התכנסות המועצה, אופי ההחלטה שתתקבל</w:t>
      </w:r>
      <w:r w:rsidR="00840B74">
        <w:rPr>
          <w:rFonts w:cs="David" w:hint="cs"/>
          <w:sz w:val="28"/>
          <w:szCs w:val="28"/>
          <w:rtl/>
        </w:rPr>
        <w:t xml:space="preserve"> ו</w:t>
      </w:r>
      <w:r w:rsidR="00C52DDA">
        <w:rPr>
          <w:rFonts w:cs="David" w:hint="cs"/>
          <w:sz w:val="28"/>
          <w:szCs w:val="28"/>
          <w:rtl/>
        </w:rPr>
        <w:t xml:space="preserve">הצעה להקמת </w:t>
      </w:r>
      <w:r w:rsidR="009F6ED1">
        <w:rPr>
          <w:rFonts w:cs="David" w:hint="cs"/>
          <w:sz w:val="28"/>
          <w:szCs w:val="28"/>
          <w:rtl/>
        </w:rPr>
        <w:t xml:space="preserve">ועדות חקירה </w:t>
      </w:r>
      <w:r w:rsidR="00C52DDA">
        <w:rPr>
          <w:rFonts w:cs="David" w:hint="cs"/>
          <w:sz w:val="28"/>
          <w:szCs w:val="28"/>
          <w:rtl/>
        </w:rPr>
        <w:t xml:space="preserve">חלופיים ולאו דווקא ועדת חקירה. תהליך זה יימשך כמובן לאחר ההחלטה שמקנה </w:t>
      </w:r>
      <w:r w:rsidR="00014821">
        <w:rPr>
          <w:rFonts w:cs="David" w:hint="cs"/>
          <w:sz w:val="28"/>
          <w:szCs w:val="28"/>
          <w:rtl/>
        </w:rPr>
        <w:t>לוועדת</w:t>
      </w:r>
      <w:r w:rsidR="009C039C">
        <w:rPr>
          <w:rFonts w:cs="David" w:hint="cs"/>
          <w:sz w:val="28"/>
          <w:szCs w:val="28"/>
          <w:rtl/>
        </w:rPr>
        <w:t xml:space="preserve"> החקירה</w:t>
      </w:r>
      <w:r w:rsidR="00C52DDA">
        <w:rPr>
          <w:rFonts w:cs="David" w:hint="cs"/>
          <w:sz w:val="28"/>
          <w:szCs w:val="28"/>
          <w:rtl/>
        </w:rPr>
        <w:t xml:space="preserve"> מנדט, במסגרת השיח סביב פירוש המנדט, מינוי חברי ההרכב וקביעת ה-</w:t>
      </w:r>
      <w:r w:rsidR="00C52DDA">
        <w:rPr>
          <w:rFonts w:cs="David" w:hint="cs"/>
          <w:sz w:val="28"/>
          <w:szCs w:val="28"/>
        </w:rPr>
        <w:t>TOR</w:t>
      </w:r>
      <w:r w:rsidR="00C52DDA">
        <w:rPr>
          <w:rFonts w:cs="David" w:hint="cs"/>
          <w:sz w:val="28"/>
          <w:szCs w:val="28"/>
          <w:rtl/>
        </w:rPr>
        <w:t xml:space="preserve"> של </w:t>
      </w:r>
      <w:r w:rsidR="001165FD">
        <w:rPr>
          <w:rFonts w:cs="David" w:hint="cs"/>
          <w:sz w:val="28"/>
          <w:szCs w:val="28"/>
          <w:rtl/>
        </w:rPr>
        <w:t>הוועדה</w:t>
      </w:r>
      <w:r w:rsidR="00C52DDA">
        <w:rPr>
          <w:rFonts w:cs="David" w:hint="cs"/>
          <w:sz w:val="28"/>
          <w:szCs w:val="28"/>
          <w:rtl/>
        </w:rPr>
        <w:t xml:space="preserve">. לאחר סיום עבודת </w:t>
      </w:r>
      <w:r w:rsidR="001165FD">
        <w:rPr>
          <w:rFonts w:cs="David" w:hint="cs"/>
          <w:sz w:val="28"/>
          <w:szCs w:val="28"/>
          <w:rtl/>
        </w:rPr>
        <w:t>הוועדה</w:t>
      </w:r>
      <w:r w:rsidR="00C52DDA">
        <w:rPr>
          <w:rFonts w:cs="David" w:hint="cs"/>
          <w:sz w:val="28"/>
          <w:szCs w:val="28"/>
          <w:rtl/>
        </w:rPr>
        <w:t xml:space="preserve"> ובהתאם לתוצאותיו, יש להיערך לדרך שבה יטופל הדוח ולסוג המעקב שיוצמד אליו, אם בכלל.</w:t>
      </w:r>
    </w:p>
    <w:p w:rsidR="00D20373" w:rsidRDefault="00D20373" w:rsidP="00D20373">
      <w:pPr>
        <w:spacing w:after="0" w:line="360" w:lineRule="auto"/>
        <w:jc w:val="both"/>
        <w:rPr>
          <w:rFonts w:cs="David"/>
          <w:sz w:val="28"/>
          <w:szCs w:val="28"/>
          <w:rtl/>
        </w:rPr>
      </w:pPr>
    </w:p>
    <w:p w:rsidR="00D20373" w:rsidRDefault="00D20373" w:rsidP="00D20373">
      <w:pPr>
        <w:spacing w:after="0" w:line="360" w:lineRule="auto"/>
        <w:jc w:val="both"/>
        <w:rPr>
          <w:rFonts w:cs="David"/>
          <w:sz w:val="28"/>
          <w:szCs w:val="28"/>
          <w:rtl/>
        </w:rPr>
      </w:pPr>
      <w:r>
        <w:rPr>
          <w:rFonts w:cs="David" w:hint="cs"/>
          <w:sz w:val="28"/>
          <w:szCs w:val="28"/>
          <w:rtl/>
        </w:rPr>
        <w:lastRenderedPageBreak/>
        <w:t>כאמור בעבודה, גם במקרה שמחליטה המדינה שלא לשתף פעולה עם הוועדה, מומלץ לקיים עמה לכל הפחות קשר נימוסין דיפלומטי שיאפשר העברת מידע דן-כיוונית בין המדינה לוועדה. מומלץ גם למנות איש קשר קבוע לוועדה. במקרה שמוחלט על שיתוף פעולה עם הוועדה, באופן מלא, חלקי או דיסקרטי, יש לבחור את אנשי הקשר הקבועים לוועדה בשלב מוקדם ככל הניתן, תוך מתן הדעת לכלל הכישורים המקצועיים והאישיותיים הנדרשים מהם.</w:t>
      </w:r>
    </w:p>
    <w:p w:rsidR="005C71A3" w:rsidRDefault="005C71A3" w:rsidP="005C71A3">
      <w:pPr>
        <w:spacing w:after="0" w:line="360" w:lineRule="auto"/>
        <w:jc w:val="both"/>
        <w:rPr>
          <w:rFonts w:cs="David"/>
          <w:sz w:val="28"/>
          <w:szCs w:val="28"/>
          <w:rtl/>
        </w:rPr>
      </w:pPr>
    </w:p>
    <w:p w:rsidR="00C52DDA" w:rsidRDefault="00C52DDA" w:rsidP="00840B74">
      <w:pPr>
        <w:spacing w:after="0" w:line="360" w:lineRule="auto"/>
        <w:jc w:val="both"/>
        <w:rPr>
          <w:rFonts w:cs="David"/>
          <w:sz w:val="28"/>
          <w:szCs w:val="28"/>
          <w:rtl/>
        </w:rPr>
      </w:pPr>
      <w:r>
        <w:rPr>
          <w:rFonts w:cs="David" w:hint="cs"/>
          <w:sz w:val="28"/>
          <w:szCs w:val="28"/>
          <w:rtl/>
        </w:rPr>
        <w:t>היערכות ראויה כוללת גם איסוף מידע ותיעוד קפדני לאורך כל מבצע צבאי באמצעות גוף צבאי ייעודי</w:t>
      </w:r>
      <w:r w:rsidR="000352B1">
        <w:rPr>
          <w:rFonts w:cs="David" w:hint="cs"/>
          <w:sz w:val="28"/>
          <w:szCs w:val="28"/>
          <w:rtl/>
        </w:rPr>
        <w:t>,</w:t>
      </w:r>
      <w:r>
        <w:rPr>
          <w:rFonts w:cs="David" w:hint="cs"/>
          <w:sz w:val="28"/>
          <w:szCs w:val="28"/>
          <w:rtl/>
        </w:rPr>
        <w:t xml:space="preserve"> שיפעל מול כל יתר גופי הצבא בעניין זה. </w:t>
      </w:r>
      <w:r w:rsidR="00D20373">
        <w:rPr>
          <w:rFonts w:cs="David" w:hint="cs"/>
          <w:sz w:val="28"/>
          <w:szCs w:val="28"/>
          <w:rtl/>
        </w:rPr>
        <w:t>גוף זה גם ידאג</w:t>
      </w:r>
      <w:r w:rsidR="00840B74">
        <w:rPr>
          <w:rFonts w:cs="David" w:hint="cs"/>
          <w:sz w:val="28"/>
          <w:szCs w:val="28"/>
          <w:rtl/>
        </w:rPr>
        <w:t>, בין היתר,</w:t>
      </w:r>
      <w:r w:rsidR="00D20373">
        <w:rPr>
          <w:rFonts w:cs="David" w:hint="cs"/>
          <w:sz w:val="28"/>
          <w:szCs w:val="28"/>
          <w:rtl/>
        </w:rPr>
        <w:t xml:space="preserve"> </w:t>
      </w:r>
      <w:r w:rsidR="00D20373" w:rsidRPr="00D20373">
        <w:rPr>
          <w:rFonts w:cs="David" w:hint="cs"/>
          <w:sz w:val="28"/>
          <w:szCs w:val="28"/>
          <w:rtl/>
        </w:rPr>
        <w:t>לקיומה של תפיסת הפעלה</w:t>
      </w:r>
      <w:r w:rsidR="00D20373">
        <w:rPr>
          <w:rFonts w:cs="David" w:hint="cs"/>
          <w:sz w:val="28"/>
          <w:szCs w:val="28"/>
          <w:rtl/>
        </w:rPr>
        <w:t xml:space="preserve"> ומדיניות</w:t>
      </w:r>
      <w:r w:rsidR="00D20373" w:rsidRPr="00D20373">
        <w:rPr>
          <w:rFonts w:cs="David" w:hint="cs"/>
          <w:sz w:val="28"/>
          <w:szCs w:val="28"/>
          <w:rtl/>
        </w:rPr>
        <w:t xml:space="preserve"> מסודרת בקרב כל גופי הצבא, </w:t>
      </w:r>
      <w:r w:rsidR="00840B74">
        <w:rPr>
          <w:rFonts w:cs="David" w:hint="cs"/>
          <w:sz w:val="28"/>
          <w:szCs w:val="28"/>
          <w:rtl/>
        </w:rPr>
        <w:t>ל</w:t>
      </w:r>
      <w:r w:rsidR="00D20373" w:rsidRPr="00D20373">
        <w:rPr>
          <w:rFonts w:cs="David" w:hint="cs"/>
          <w:sz w:val="28"/>
          <w:szCs w:val="28"/>
          <w:rtl/>
        </w:rPr>
        <w:t xml:space="preserve">נהלי עבודה תוך-ארגוניים ובין-ארגוניים, </w:t>
      </w:r>
      <w:r w:rsidR="00840B74">
        <w:rPr>
          <w:rFonts w:cs="David" w:hint="cs"/>
          <w:sz w:val="28"/>
          <w:szCs w:val="28"/>
          <w:rtl/>
        </w:rPr>
        <w:t>ל</w:t>
      </w:r>
      <w:r w:rsidR="00D20373" w:rsidRPr="00D20373">
        <w:rPr>
          <w:rFonts w:cs="David" w:hint="cs"/>
          <w:sz w:val="28"/>
          <w:szCs w:val="28"/>
          <w:rtl/>
        </w:rPr>
        <w:t xml:space="preserve">שיטת תחקור אירועים מסודרת, </w:t>
      </w:r>
      <w:r w:rsidR="00840B74">
        <w:rPr>
          <w:rFonts w:cs="David" w:hint="cs"/>
          <w:sz w:val="28"/>
          <w:szCs w:val="28"/>
          <w:rtl/>
        </w:rPr>
        <w:t>ל</w:t>
      </w:r>
      <w:r w:rsidR="00D20373" w:rsidRPr="00D20373">
        <w:rPr>
          <w:rFonts w:cs="David" w:hint="cs"/>
          <w:sz w:val="28"/>
          <w:szCs w:val="28"/>
          <w:rtl/>
        </w:rPr>
        <w:t>טיפול באירועים שעשויים להיות נושא לבדיקה בינלאומית או פנימית ו</w:t>
      </w:r>
      <w:r w:rsidR="00840B74">
        <w:rPr>
          <w:rFonts w:cs="David" w:hint="cs"/>
          <w:sz w:val="28"/>
          <w:szCs w:val="28"/>
          <w:rtl/>
        </w:rPr>
        <w:t>ל</w:t>
      </w:r>
      <w:r w:rsidR="00D20373" w:rsidRPr="00D20373">
        <w:rPr>
          <w:rFonts w:cs="David" w:hint="cs"/>
          <w:sz w:val="28"/>
          <w:szCs w:val="28"/>
          <w:rtl/>
        </w:rPr>
        <w:t xml:space="preserve">צמצום נזקים בזמן אמת, </w:t>
      </w:r>
      <w:r w:rsidR="00840B74">
        <w:rPr>
          <w:rFonts w:cs="David" w:hint="cs"/>
          <w:sz w:val="28"/>
          <w:szCs w:val="28"/>
          <w:rtl/>
        </w:rPr>
        <w:t>ול</w:t>
      </w:r>
      <w:r w:rsidR="00D20373" w:rsidRPr="00D20373">
        <w:rPr>
          <w:rFonts w:cs="David" w:hint="cs"/>
          <w:sz w:val="28"/>
          <w:szCs w:val="28"/>
          <w:rtl/>
        </w:rPr>
        <w:t xml:space="preserve">היערכות תקשורתית מפולחת לפי קהלי יעד. </w:t>
      </w:r>
      <w:r w:rsidRPr="00D20373">
        <w:rPr>
          <w:rFonts w:cs="David" w:hint="cs"/>
          <w:sz w:val="28"/>
          <w:szCs w:val="28"/>
          <w:rtl/>
        </w:rPr>
        <w:t>דומה שהמנהלת שהוקמה בצה"ל</w:t>
      </w:r>
      <w:r>
        <w:rPr>
          <w:rFonts w:cs="David" w:hint="cs"/>
          <w:sz w:val="28"/>
          <w:szCs w:val="28"/>
          <w:rtl/>
        </w:rPr>
        <w:t xml:space="preserve"> לאחר מבצע "צוק איתן" היא דוגמה טובה לעניין זה, ויש מקום כי להבא יפעל גוף כזה כדבר שבשגרה ולא רק לאחר סיומו של מבצע. </w:t>
      </w:r>
    </w:p>
    <w:p w:rsidR="00C52DDA" w:rsidRDefault="00C52DDA" w:rsidP="00C52DDA">
      <w:pPr>
        <w:spacing w:after="0" w:line="360" w:lineRule="auto"/>
        <w:jc w:val="both"/>
        <w:rPr>
          <w:rFonts w:cs="David"/>
          <w:sz w:val="28"/>
          <w:szCs w:val="28"/>
          <w:rtl/>
        </w:rPr>
      </w:pPr>
    </w:p>
    <w:p w:rsidR="00C52DDA" w:rsidRDefault="00C52DDA" w:rsidP="00C52DDA">
      <w:pPr>
        <w:spacing w:after="0" w:line="360" w:lineRule="auto"/>
        <w:jc w:val="both"/>
        <w:rPr>
          <w:rFonts w:cs="David"/>
          <w:sz w:val="28"/>
          <w:szCs w:val="28"/>
          <w:rtl/>
        </w:rPr>
      </w:pPr>
      <w:r>
        <w:rPr>
          <w:rFonts w:cs="David" w:hint="cs"/>
          <w:sz w:val="28"/>
          <w:szCs w:val="28"/>
          <w:rtl/>
        </w:rPr>
        <w:t>המחויבות לקיים חקירות שוטפות בגין אירועים חריגים שבהם יש חשש להפרת המשפט הבינלאומי חייבת להישמר מכל משמר ולהוכיח את יעילותה ורצינותה, על מנת לתת תוקף לעמדתה של מדינת ישראל כי אירועים כאלה צריכים להיחקר</w:t>
      </w:r>
      <w:r w:rsidR="00692192">
        <w:rPr>
          <w:rFonts w:cs="David" w:hint="cs"/>
          <w:sz w:val="28"/>
          <w:szCs w:val="28"/>
          <w:rtl/>
        </w:rPr>
        <w:t xml:space="preserve"> על ידי </w:t>
      </w:r>
      <w:r>
        <w:rPr>
          <w:rFonts w:cs="David" w:hint="cs"/>
          <w:sz w:val="28"/>
          <w:szCs w:val="28"/>
          <w:rtl/>
        </w:rPr>
        <w:t>מערכת המשפט שלה ולא</w:t>
      </w:r>
      <w:r w:rsidR="00692192">
        <w:rPr>
          <w:rFonts w:cs="David" w:hint="cs"/>
          <w:sz w:val="28"/>
          <w:szCs w:val="28"/>
          <w:rtl/>
        </w:rPr>
        <w:t xml:space="preserve"> על ידי </w:t>
      </w:r>
      <w:r>
        <w:rPr>
          <w:rFonts w:cs="David" w:hint="cs"/>
          <w:sz w:val="28"/>
          <w:szCs w:val="28"/>
          <w:rtl/>
        </w:rPr>
        <w:t>גופים חיצוניים.</w:t>
      </w:r>
    </w:p>
    <w:p w:rsidR="00D20373" w:rsidRDefault="00D20373" w:rsidP="00C52DDA">
      <w:pPr>
        <w:spacing w:after="0" w:line="360" w:lineRule="auto"/>
        <w:jc w:val="both"/>
        <w:rPr>
          <w:rFonts w:cs="David"/>
          <w:sz w:val="28"/>
          <w:szCs w:val="28"/>
          <w:rtl/>
        </w:rPr>
      </w:pPr>
    </w:p>
    <w:p w:rsidR="00D20373" w:rsidRDefault="00D20373" w:rsidP="009B02CD">
      <w:pPr>
        <w:spacing w:after="0" w:line="360" w:lineRule="auto"/>
        <w:jc w:val="both"/>
        <w:rPr>
          <w:rFonts w:cs="David"/>
          <w:sz w:val="28"/>
          <w:szCs w:val="28"/>
          <w:rtl/>
        </w:rPr>
      </w:pPr>
      <w:r>
        <w:rPr>
          <w:rFonts w:cs="David" w:hint="cs"/>
          <w:sz w:val="28"/>
          <w:szCs w:val="28"/>
          <w:rtl/>
        </w:rPr>
        <w:t xml:space="preserve">לבסוף, על המדינה לשאוף לקידומם של סטנדרטים ראויים מחייבים לפעולתן של ועדות החקירה הבינלאומיות. העבודה מונה מקורות רבים </w:t>
      </w:r>
      <w:r w:rsidR="009B02CD">
        <w:rPr>
          <w:rFonts w:cs="David" w:hint="cs"/>
          <w:sz w:val="28"/>
          <w:szCs w:val="28"/>
          <w:rtl/>
        </w:rPr>
        <w:t xml:space="preserve">מהם ניתן לשאוב השראה לשם </w:t>
      </w:r>
      <w:r>
        <w:rPr>
          <w:rFonts w:cs="David" w:hint="cs"/>
          <w:sz w:val="28"/>
          <w:szCs w:val="28"/>
          <w:rtl/>
        </w:rPr>
        <w:t>כך.</w:t>
      </w:r>
      <w:r w:rsidR="00631DE1">
        <w:rPr>
          <w:rFonts w:cs="David" w:hint="cs"/>
          <w:sz w:val="28"/>
          <w:szCs w:val="28"/>
          <w:rtl/>
        </w:rPr>
        <w:t xml:space="preserve"> כן יש לקדם אימוץ מתודולוגיה אחידה לבחינתם של מבצעים צבאיים על ידי ועדות חקירה בינלאומיות.</w:t>
      </w:r>
      <w:r w:rsidR="009B02CD">
        <w:rPr>
          <w:rFonts w:cs="David" w:hint="cs"/>
          <w:sz w:val="28"/>
          <w:szCs w:val="28"/>
          <w:rtl/>
        </w:rPr>
        <w:t xml:space="preserve"> דומה, כי המאמץ בעניין יכול להיות מובל על ידי ידידותיה של ישראל בעולם, על ידי מוסד אקדמי או על ידי גופים מתאימים אחרים, שיש להם סיכוי רב יותר מזה של ישראל להוביל מהלך מעין זה.</w:t>
      </w:r>
    </w:p>
    <w:p w:rsidR="009B02CD" w:rsidRDefault="009B02CD" w:rsidP="009B02CD">
      <w:pPr>
        <w:spacing w:after="0" w:line="360" w:lineRule="auto"/>
        <w:jc w:val="both"/>
        <w:rPr>
          <w:rFonts w:cs="David"/>
          <w:sz w:val="28"/>
          <w:szCs w:val="28"/>
          <w:rtl/>
        </w:rPr>
      </w:pPr>
    </w:p>
    <w:p w:rsidR="00631DE1" w:rsidRDefault="00631DE1" w:rsidP="00631DE1">
      <w:pPr>
        <w:spacing w:after="0" w:line="360" w:lineRule="auto"/>
        <w:jc w:val="both"/>
        <w:rPr>
          <w:rFonts w:cs="David"/>
          <w:sz w:val="28"/>
          <w:szCs w:val="28"/>
          <w:rtl/>
        </w:rPr>
      </w:pPr>
      <w:r>
        <w:rPr>
          <w:rFonts w:cs="David" w:hint="cs"/>
          <w:sz w:val="28"/>
          <w:szCs w:val="28"/>
          <w:rtl/>
        </w:rPr>
        <w:t>הגם שבסופו של דבר הוחלט שלא להכליל במסגרת עבודה זו מוסדות בינלאומיים כמו בית הדין הבינלאומי לצדק (</w:t>
      </w:r>
      <w:r>
        <w:rPr>
          <w:rFonts w:cs="David" w:hint="cs"/>
          <w:sz w:val="28"/>
          <w:szCs w:val="28"/>
        </w:rPr>
        <w:t>ICJ</w:t>
      </w:r>
      <w:r>
        <w:rPr>
          <w:rFonts w:cs="David" w:hint="cs"/>
          <w:sz w:val="28"/>
          <w:szCs w:val="28"/>
          <w:rtl/>
        </w:rPr>
        <w:t>) או בית הדין הפלילי הבינלאומי (</w:t>
      </w:r>
      <w:r>
        <w:rPr>
          <w:rFonts w:cs="David" w:hint="cs"/>
          <w:sz w:val="28"/>
          <w:szCs w:val="28"/>
        </w:rPr>
        <w:t>ICC</w:t>
      </w:r>
      <w:r>
        <w:rPr>
          <w:rFonts w:cs="David" w:hint="cs"/>
          <w:sz w:val="28"/>
          <w:szCs w:val="28"/>
          <w:rtl/>
        </w:rPr>
        <w:t>), נראה שרבים מלקחי עבודה זו ביחס לשיתוף פעולה עם ועדות חקירה בינלאומיות, יפים גם לגבי שיתוף פעולה עם המוסדות הללו.</w:t>
      </w:r>
    </w:p>
    <w:p w:rsidR="00631DE1" w:rsidRDefault="00631DE1" w:rsidP="009B02CD">
      <w:pPr>
        <w:spacing w:after="0" w:line="360" w:lineRule="auto"/>
        <w:jc w:val="both"/>
        <w:rPr>
          <w:rFonts w:cs="David"/>
          <w:sz w:val="28"/>
          <w:szCs w:val="28"/>
          <w:rtl/>
        </w:rPr>
      </w:pPr>
    </w:p>
    <w:p w:rsidR="009B02CD" w:rsidRDefault="009B02CD" w:rsidP="009B02CD">
      <w:pPr>
        <w:spacing w:after="0" w:line="360" w:lineRule="auto"/>
        <w:jc w:val="both"/>
        <w:rPr>
          <w:rFonts w:cs="David"/>
          <w:sz w:val="28"/>
          <w:szCs w:val="28"/>
          <w:rtl/>
        </w:rPr>
      </w:pPr>
      <w:r>
        <w:rPr>
          <w:rFonts w:cs="David" w:hint="cs"/>
          <w:sz w:val="28"/>
          <w:szCs w:val="28"/>
          <w:rtl/>
        </w:rPr>
        <w:lastRenderedPageBreak/>
        <w:t>סוף דבר, דומה כי באמצעות התנהלות נכונה, כפי שמפרטת העבודה, יכולה מדינת ישראל להתמודד בהצלחה יחסית עם האתגר שמציבות לפתחה ועדות החקירה הרבות שמתמנות לבחון פעילויות של צה"ל. הדבר דורש תיאום בין גופי המדינה השונים, מגמה של פתיחות כלפי המוסדות הבינלאומיים והשקעה שוטפת וארוכת טווח במנגנונים פנימיים במדינה, שיבטיחו מוכנות קבועה של המדינה לטיפול באתגר זה.</w:t>
      </w:r>
    </w:p>
    <w:p w:rsidR="00631DE1" w:rsidRDefault="00631DE1" w:rsidP="009B02CD">
      <w:pPr>
        <w:spacing w:after="0" w:line="360" w:lineRule="auto"/>
        <w:jc w:val="both"/>
        <w:rPr>
          <w:rFonts w:cs="David"/>
          <w:sz w:val="28"/>
          <w:szCs w:val="28"/>
          <w:rtl/>
        </w:rPr>
      </w:pPr>
    </w:p>
    <w:p w:rsidR="00A16FFD" w:rsidRDefault="00A16FFD">
      <w:pPr>
        <w:bidi w:val="0"/>
        <w:rPr>
          <w:rFonts w:cs="David"/>
          <w:sz w:val="28"/>
          <w:szCs w:val="28"/>
        </w:rPr>
      </w:pPr>
      <w:r>
        <w:rPr>
          <w:rFonts w:cs="David"/>
          <w:sz w:val="28"/>
          <w:szCs w:val="28"/>
          <w:rtl/>
        </w:rPr>
        <w:br w:type="page"/>
      </w:r>
    </w:p>
    <w:p w:rsidR="00A16FFD" w:rsidRPr="00C22118" w:rsidRDefault="00A16FFD" w:rsidP="00C22118">
      <w:pPr>
        <w:pStyle w:val="1"/>
        <w:bidi/>
        <w:spacing w:before="0" w:beforeAutospacing="0" w:after="0" w:afterAutospacing="0" w:line="360" w:lineRule="auto"/>
        <w:jc w:val="both"/>
        <w:rPr>
          <w:rFonts w:cs="David"/>
          <w:sz w:val="32"/>
          <w:szCs w:val="32"/>
          <w:rtl/>
        </w:rPr>
      </w:pPr>
      <w:bookmarkStart w:id="77" w:name="_Toc456027347"/>
      <w:r w:rsidRPr="00C22118">
        <w:rPr>
          <w:rFonts w:cs="David" w:hint="cs"/>
          <w:sz w:val="32"/>
          <w:szCs w:val="32"/>
          <w:rtl/>
        </w:rPr>
        <w:lastRenderedPageBreak/>
        <w:t xml:space="preserve">נספח </w:t>
      </w:r>
      <w:r w:rsidRPr="00C22118">
        <w:rPr>
          <w:rFonts w:cs="David"/>
          <w:sz w:val="32"/>
          <w:szCs w:val="32"/>
          <w:rtl/>
        </w:rPr>
        <w:t xml:space="preserve">- </w:t>
      </w:r>
      <w:r w:rsidRPr="00C22118">
        <w:rPr>
          <w:rFonts w:cs="David" w:hint="eastAsia"/>
          <w:sz w:val="32"/>
          <w:szCs w:val="32"/>
          <w:rtl/>
        </w:rPr>
        <w:t xml:space="preserve">ועדות חקירה </w:t>
      </w:r>
      <w:r w:rsidRPr="00C22118">
        <w:rPr>
          <w:rFonts w:cs="David" w:hint="cs"/>
          <w:sz w:val="32"/>
          <w:szCs w:val="32"/>
          <w:rtl/>
        </w:rPr>
        <w:t xml:space="preserve">בינלאומיות </w:t>
      </w:r>
      <w:r w:rsidRPr="00C22118">
        <w:rPr>
          <w:rFonts w:cs="David" w:hint="eastAsia"/>
          <w:sz w:val="32"/>
          <w:szCs w:val="32"/>
          <w:rtl/>
        </w:rPr>
        <w:t>שחקרו</w:t>
      </w:r>
      <w:r w:rsidRPr="00C22118">
        <w:rPr>
          <w:rFonts w:cs="David"/>
          <w:sz w:val="32"/>
          <w:szCs w:val="32"/>
          <w:rtl/>
        </w:rPr>
        <w:t xml:space="preserve"> פעילויות של </w:t>
      </w:r>
      <w:r w:rsidRPr="00C22118">
        <w:rPr>
          <w:rFonts w:cs="David" w:hint="eastAsia"/>
          <w:sz w:val="32"/>
          <w:szCs w:val="32"/>
          <w:rtl/>
        </w:rPr>
        <w:t>צה</w:t>
      </w:r>
      <w:r w:rsidRPr="00C22118">
        <w:rPr>
          <w:rFonts w:cs="David"/>
          <w:sz w:val="32"/>
          <w:szCs w:val="32"/>
          <w:rtl/>
        </w:rPr>
        <w:t>"ל</w:t>
      </w:r>
      <w:bookmarkEnd w:id="77"/>
    </w:p>
    <w:p w:rsidR="00A16FFD" w:rsidRPr="0004711E" w:rsidRDefault="00A16FFD" w:rsidP="00A16FFD">
      <w:pPr>
        <w:spacing w:after="0" w:line="360" w:lineRule="auto"/>
        <w:jc w:val="both"/>
        <w:rPr>
          <w:rFonts w:cs="David"/>
          <w:sz w:val="28"/>
          <w:szCs w:val="28"/>
          <w:rtl/>
        </w:rPr>
      </w:pPr>
    </w:p>
    <w:p w:rsidR="00A16FFD" w:rsidRDefault="00A16FFD" w:rsidP="00A16FFD">
      <w:pPr>
        <w:spacing w:after="0" w:line="360" w:lineRule="auto"/>
        <w:jc w:val="both"/>
        <w:rPr>
          <w:rFonts w:cs="David"/>
          <w:sz w:val="28"/>
          <w:szCs w:val="28"/>
          <w:rtl/>
        </w:rPr>
      </w:pPr>
      <w:r w:rsidRPr="0004711E">
        <w:rPr>
          <w:rFonts w:cs="David" w:hint="cs"/>
          <w:sz w:val="28"/>
          <w:szCs w:val="28"/>
          <w:rtl/>
        </w:rPr>
        <w:t>ב</w:t>
      </w:r>
      <w:r>
        <w:rPr>
          <w:rFonts w:cs="David" w:hint="cs"/>
          <w:sz w:val="28"/>
          <w:szCs w:val="28"/>
          <w:rtl/>
        </w:rPr>
        <w:t xml:space="preserve">נספח </w:t>
      </w:r>
      <w:r w:rsidRPr="0004711E">
        <w:rPr>
          <w:rFonts w:cs="David" w:hint="cs"/>
          <w:sz w:val="28"/>
          <w:szCs w:val="28"/>
          <w:rtl/>
        </w:rPr>
        <w:t xml:space="preserve">זה </w:t>
      </w:r>
      <w:r>
        <w:rPr>
          <w:rFonts w:cs="David" w:hint="cs"/>
          <w:sz w:val="28"/>
          <w:szCs w:val="28"/>
          <w:rtl/>
        </w:rPr>
        <w:t>תוצג</w:t>
      </w:r>
      <w:r w:rsidRPr="0004711E">
        <w:rPr>
          <w:rFonts w:cs="David" w:hint="cs"/>
          <w:sz w:val="28"/>
          <w:szCs w:val="28"/>
          <w:rtl/>
        </w:rPr>
        <w:t xml:space="preserve"> בקיצור נמרץ רשימת </w:t>
      </w:r>
      <w:r>
        <w:rPr>
          <w:rFonts w:cs="David" w:hint="cs"/>
          <w:sz w:val="28"/>
          <w:szCs w:val="28"/>
          <w:rtl/>
        </w:rPr>
        <w:t>ועדות חקירה,</w:t>
      </w:r>
      <w:r w:rsidRPr="0004711E">
        <w:rPr>
          <w:rFonts w:cs="David" w:hint="cs"/>
          <w:sz w:val="28"/>
          <w:szCs w:val="28"/>
          <w:rtl/>
        </w:rPr>
        <w:t xml:space="preserve"> שחקרו פעילויות של מדינת ישראל. הרשימה אינה מתיימרת להיות </w:t>
      </w:r>
      <w:r>
        <w:rPr>
          <w:rFonts w:cs="David" w:hint="cs"/>
          <w:sz w:val="28"/>
          <w:szCs w:val="28"/>
          <w:rtl/>
        </w:rPr>
        <w:t xml:space="preserve">מלאה </w:t>
      </w:r>
      <w:r w:rsidRPr="0004711E">
        <w:rPr>
          <w:rFonts w:cs="David" w:hint="cs"/>
          <w:sz w:val="28"/>
          <w:szCs w:val="28"/>
          <w:rtl/>
        </w:rPr>
        <w:t xml:space="preserve">ולהתייחס לכל הוועדות שחקרו בעניינה של ישראל. חלק זה טכני בעיקרו ונועד </w:t>
      </w:r>
      <w:r>
        <w:rPr>
          <w:rFonts w:cs="David" w:hint="cs"/>
          <w:sz w:val="28"/>
          <w:szCs w:val="28"/>
          <w:rtl/>
        </w:rPr>
        <w:t>להקל</w:t>
      </w:r>
      <w:r w:rsidRPr="0004711E">
        <w:rPr>
          <w:rFonts w:cs="David" w:hint="cs"/>
          <w:sz w:val="28"/>
          <w:szCs w:val="28"/>
          <w:rtl/>
        </w:rPr>
        <w:t xml:space="preserve"> </w:t>
      </w:r>
      <w:r>
        <w:rPr>
          <w:rFonts w:cs="David" w:hint="cs"/>
          <w:sz w:val="28"/>
          <w:szCs w:val="28"/>
          <w:rtl/>
        </w:rPr>
        <w:t>על ה</w:t>
      </w:r>
      <w:r w:rsidRPr="0004711E">
        <w:rPr>
          <w:rFonts w:cs="David" w:hint="cs"/>
          <w:sz w:val="28"/>
          <w:szCs w:val="28"/>
          <w:rtl/>
        </w:rPr>
        <w:t xml:space="preserve">התייחסות לוועדות הללו </w:t>
      </w:r>
      <w:r>
        <w:rPr>
          <w:rFonts w:cs="David" w:hint="cs"/>
          <w:sz w:val="28"/>
          <w:szCs w:val="28"/>
          <w:rtl/>
        </w:rPr>
        <w:t>במסגרת העבודה</w:t>
      </w:r>
      <w:r w:rsidRPr="0004711E">
        <w:rPr>
          <w:rFonts w:cs="David" w:hint="cs"/>
          <w:sz w:val="28"/>
          <w:szCs w:val="28"/>
          <w:rtl/>
        </w:rPr>
        <w:t xml:space="preserve">. לפיכך, </w:t>
      </w:r>
      <w:r>
        <w:rPr>
          <w:rFonts w:cs="David" w:hint="cs"/>
          <w:sz w:val="28"/>
          <w:szCs w:val="28"/>
          <w:rtl/>
        </w:rPr>
        <w:t xml:space="preserve">יצוינו </w:t>
      </w:r>
      <w:r w:rsidRPr="0004711E">
        <w:rPr>
          <w:rFonts w:cs="David" w:hint="cs"/>
          <w:sz w:val="28"/>
          <w:szCs w:val="28"/>
          <w:rtl/>
        </w:rPr>
        <w:t>כאן הגורם שמינה את הוועדה, מי עמד בראש הוועדה, מועד ההחלטה על מינוי הוועדה, מנדט הוועדה, מועד הגשת הדוח שלה והתייחסות הוועדה לסוגיית שיתוף הפעולה מצד ישראל.</w:t>
      </w:r>
    </w:p>
    <w:p w:rsidR="00A16FFD" w:rsidRDefault="00A16FFD" w:rsidP="00A16FFD">
      <w:pPr>
        <w:spacing w:after="0" w:line="360" w:lineRule="auto"/>
        <w:jc w:val="both"/>
        <w:rPr>
          <w:rFonts w:cs="David"/>
          <w:sz w:val="28"/>
          <w:szCs w:val="28"/>
          <w:rtl/>
        </w:rPr>
      </w:pPr>
    </w:p>
    <w:p w:rsidR="00A16FFD" w:rsidRPr="00A16FFD" w:rsidRDefault="00A16FFD" w:rsidP="00A16FFD">
      <w:pPr>
        <w:spacing w:after="0" w:line="360" w:lineRule="auto"/>
        <w:jc w:val="both"/>
        <w:rPr>
          <w:rFonts w:cs="David"/>
          <w:b/>
          <w:bCs/>
          <w:sz w:val="28"/>
          <w:szCs w:val="28"/>
          <w:rtl/>
        </w:rPr>
      </w:pPr>
      <w:r w:rsidRPr="00A16FFD">
        <w:rPr>
          <w:rFonts w:cs="David" w:hint="cs"/>
          <w:b/>
          <w:bCs/>
          <w:sz w:val="28"/>
          <w:szCs w:val="28"/>
          <w:rtl/>
        </w:rPr>
        <w:t xml:space="preserve">שימת הלב מופנית לכך ששמות </w:t>
      </w:r>
      <w:r w:rsidR="001165FD">
        <w:rPr>
          <w:rFonts w:cs="David" w:hint="cs"/>
          <w:b/>
          <w:bCs/>
          <w:sz w:val="28"/>
          <w:szCs w:val="28"/>
          <w:rtl/>
        </w:rPr>
        <w:t>הוועדות</w:t>
      </w:r>
      <w:r w:rsidRPr="00A16FFD">
        <w:rPr>
          <w:rFonts w:cs="David" w:hint="cs"/>
          <w:b/>
          <w:bCs/>
          <w:sz w:val="28"/>
          <w:szCs w:val="28"/>
          <w:rtl/>
        </w:rPr>
        <w:t xml:space="preserve"> בהם ייעשה שימוש במסגרת העבודה הם השמות הנזכרים בנספח זה.</w:t>
      </w:r>
    </w:p>
    <w:p w:rsidR="00A16FFD" w:rsidRPr="0004711E" w:rsidRDefault="00A16FFD" w:rsidP="00A16FFD">
      <w:pPr>
        <w:spacing w:after="0" w:line="360" w:lineRule="auto"/>
        <w:jc w:val="both"/>
        <w:rPr>
          <w:rFonts w:cs="David"/>
          <w:sz w:val="28"/>
          <w:szCs w:val="28"/>
          <w:rtl/>
        </w:rPr>
      </w:pPr>
    </w:p>
    <w:p w:rsidR="00A16FFD" w:rsidRPr="00C22118" w:rsidRDefault="00A16FFD" w:rsidP="00C22118">
      <w:pPr>
        <w:pStyle w:val="a9"/>
        <w:numPr>
          <w:ilvl w:val="0"/>
          <w:numId w:val="28"/>
        </w:numPr>
        <w:spacing w:after="0" w:line="360" w:lineRule="auto"/>
        <w:jc w:val="both"/>
        <w:outlineLvl w:val="1"/>
        <w:rPr>
          <w:rFonts w:cs="David"/>
          <w:b/>
          <w:bCs/>
          <w:sz w:val="28"/>
          <w:szCs w:val="28"/>
          <w:rtl/>
        </w:rPr>
      </w:pPr>
      <w:bookmarkStart w:id="78" w:name="_Toc456027348"/>
      <w:r w:rsidRPr="00C22118">
        <w:rPr>
          <w:rFonts w:cs="David" w:hint="cs"/>
          <w:b/>
          <w:bCs/>
          <w:sz w:val="28"/>
          <w:szCs w:val="28"/>
          <w:rtl/>
        </w:rPr>
        <w:t>ועדת חקירה מיוחדת מטעם העצרת הכללית של האו"ם לחקירת הפרקטיקה הישראלית הנוגעת לזכויות האדם של האוכלוסייה בשטחים הכבושים (1968)</w:t>
      </w:r>
      <w:bookmarkEnd w:id="78"/>
    </w:p>
    <w:p w:rsidR="00A16FFD" w:rsidRPr="0004711E" w:rsidRDefault="00A16FFD" w:rsidP="00A16FFD">
      <w:pPr>
        <w:spacing w:after="0" w:line="360" w:lineRule="auto"/>
        <w:jc w:val="both"/>
        <w:rPr>
          <w:rFonts w:cs="David"/>
          <w:sz w:val="28"/>
          <w:szCs w:val="28"/>
          <w:rtl/>
        </w:rPr>
      </w:pPr>
    </w:p>
    <w:p w:rsidR="00A16FFD" w:rsidRPr="0004711E" w:rsidRDefault="00A16FFD" w:rsidP="00A16FFD">
      <w:pPr>
        <w:spacing w:after="0" w:line="360" w:lineRule="auto"/>
        <w:jc w:val="both"/>
        <w:rPr>
          <w:rFonts w:cs="David"/>
          <w:sz w:val="28"/>
          <w:szCs w:val="28"/>
          <w:rtl/>
        </w:rPr>
      </w:pPr>
      <w:r w:rsidRPr="0004711E">
        <w:rPr>
          <w:rFonts w:cs="David" w:hint="cs"/>
          <w:sz w:val="28"/>
          <w:szCs w:val="28"/>
          <w:rtl/>
        </w:rPr>
        <w:t>ב-19.12.68 החליטה העצרת הכללית להקים ועדת חקירה מיוחדת (</w:t>
      </w:r>
      <w:r>
        <w:rPr>
          <w:rFonts w:cs="David" w:hint="cs"/>
          <w:sz w:val="28"/>
          <w:szCs w:val="28"/>
          <w:rtl/>
        </w:rPr>
        <w:t>בעבודה זו</w:t>
      </w:r>
      <w:r w:rsidRPr="0004711E">
        <w:rPr>
          <w:rFonts w:cs="David" w:hint="cs"/>
          <w:sz w:val="28"/>
          <w:szCs w:val="28"/>
          <w:rtl/>
        </w:rPr>
        <w:t xml:space="preserve"> </w:t>
      </w:r>
      <w:r w:rsidRPr="0004711E">
        <w:rPr>
          <w:rFonts w:cs="David"/>
          <w:sz w:val="28"/>
          <w:szCs w:val="28"/>
          <w:rtl/>
        </w:rPr>
        <w:t>–</w:t>
      </w:r>
      <w:r w:rsidRPr="0004711E">
        <w:rPr>
          <w:rFonts w:cs="David" w:hint="cs"/>
          <w:sz w:val="28"/>
          <w:szCs w:val="28"/>
          <w:rtl/>
        </w:rPr>
        <w:t xml:space="preserve"> ועדת העצרת הכללית מ-1968) שהמנדט שלה "</w:t>
      </w:r>
      <w:r w:rsidRPr="0004711E">
        <w:rPr>
          <w:rFonts w:cs="David"/>
          <w:sz w:val="28"/>
          <w:szCs w:val="28"/>
        </w:rPr>
        <w:t>to Investigate Israeli Practices Affecting the Human Rights of the Population of the Occupied Territories</w:t>
      </w:r>
      <w:r w:rsidRPr="0004711E">
        <w:rPr>
          <w:rFonts w:cs="David" w:hint="cs"/>
          <w:sz w:val="28"/>
          <w:szCs w:val="28"/>
          <w:rtl/>
        </w:rPr>
        <w:t>"</w:t>
      </w:r>
      <w:r w:rsidRPr="0004711E">
        <w:rPr>
          <w:rStyle w:val="a7"/>
          <w:rFonts w:cs="David"/>
          <w:sz w:val="28"/>
          <w:szCs w:val="28"/>
          <w:rtl/>
        </w:rPr>
        <w:footnoteReference w:id="281"/>
      </w:r>
      <w:r w:rsidRPr="0004711E">
        <w:rPr>
          <w:rFonts w:cs="David" w:hint="cs"/>
          <w:sz w:val="28"/>
          <w:szCs w:val="28"/>
          <w:rtl/>
        </w:rPr>
        <w:t>. ביום 11.12.69 קיבלה העצרת החלטת גינוי כנגד "</w:t>
      </w:r>
      <w:r w:rsidRPr="0004711E">
        <w:rPr>
          <w:rFonts w:cs="David"/>
          <w:sz w:val="28"/>
          <w:szCs w:val="28"/>
        </w:rPr>
        <w:t>policies and practices such as collective and area punishment, the destruction of homes and the deportation of the inhabitants of the territories occupied by Israel</w:t>
      </w:r>
      <w:r w:rsidRPr="0004711E">
        <w:rPr>
          <w:rFonts w:cs="David" w:hint="cs"/>
          <w:sz w:val="28"/>
          <w:szCs w:val="28"/>
          <w:rtl/>
        </w:rPr>
        <w:t>"</w:t>
      </w:r>
      <w:r w:rsidRPr="0004711E">
        <w:rPr>
          <w:rStyle w:val="a7"/>
          <w:rFonts w:cs="David"/>
          <w:sz w:val="28"/>
          <w:szCs w:val="28"/>
          <w:rtl/>
        </w:rPr>
        <w:footnoteReference w:id="282"/>
      </w:r>
      <w:r w:rsidRPr="0004711E">
        <w:rPr>
          <w:rFonts w:cs="David" w:hint="cs"/>
          <w:sz w:val="28"/>
          <w:szCs w:val="28"/>
          <w:rtl/>
        </w:rPr>
        <w:t>. במסגרת החלטת הגינוי ביקשה העצרת מוועדת החקירה, שטרם הגישה את הדוח שלה באותה עת, לקחת לתשומת לבה את הדברים האמורים בהחלטת הגינוי. הוועדה הגישה את הדוח שלה ביום 05.10.70</w:t>
      </w:r>
      <w:bookmarkStart w:id="79" w:name="_Ref454792257"/>
      <w:r w:rsidRPr="0004711E">
        <w:rPr>
          <w:rStyle w:val="a7"/>
          <w:rFonts w:cs="David"/>
          <w:sz w:val="28"/>
          <w:szCs w:val="28"/>
          <w:rtl/>
        </w:rPr>
        <w:footnoteReference w:id="283"/>
      </w:r>
      <w:bookmarkEnd w:id="79"/>
      <w:r w:rsidRPr="0004711E">
        <w:rPr>
          <w:rFonts w:cs="David" w:hint="cs"/>
          <w:sz w:val="28"/>
          <w:szCs w:val="28"/>
          <w:rtl/>
        </w:rPr>
        <w:t>.</w:t>
      </w:r>
    </w:p>
    <w:p w:rsidR="00A16FFD" w:rsidRPr="0004711E" w:rsidRDefault="00A16FFD" w:rsidP="00A16FFD">
      <w:pPr>
        <w:spacing w:after="0" w:line="360" w:lineRule="auto"/>
        <w:jc w:val="both"/>
        <w:rPr>
          <w:rFonts w:cs="David"/>
          <w:sz w:val="28"/>
          <w:szCs w:val="28"/>
          <w:rtl/>
        </w:rPr>
      </w:pPr>
    </w:p>
    <w:p w:rsidR="00A16FFD" w:rsidRPr="00C22118" w:rsidRDefault="00A16FFD" w:rsidP="00C22118">
      <w:pPr>
        <w:pStyle w:val="a9"/>
        <w:numPr>
          <w:ilvl w:val="0"/>
          <w:numId w:val="28"/>
        </w:numPr>
        <w:spacing w:after="0" w:line="360" w:lineRule="auto"/>
        <w:jc w:val="both"/>
        <w:outlineLvl w:val="1"/>
        <w:rPr>
          <w:rFonts w:cs="David"/>
          <w:b/>
          <w:bCs/>
          <w:sz w:val="28"/>
          <w:szCs w:val="28"/>
          <w:rtl/>
        </w:rPr>
      </w:pPr>
      <w:bookmarkStart w:id="80" w:name="_Toc456027349"/>
      <w:r w:rsidRPr="00C22118">
        <w:rPr>
          <w:rFonts w:cs="David" w:hint="cs"/>
          <w:b/>
          <w:bCs/>
          <w:sz w:val="28"/>
          <w:szCs w:val="28"/>
          <w:rtl/>
        </w:rPr>
        <w:lastRenderedPageBreak/>
        <w:t>קבוצת עבודה מיוחדת של מומחים, שמונתה על ידי נציבות זכויות האדם לחקירת הפרות ישראליות של אמנת ג'נבה הרביעית בשטחים הכבושים (1969)</w:t>
      </w:r>
      <w:bookmarkEnd w:id="80"/>
    </w:p>
    <w:p w:rsidR="00A16FFD" w:rsidRPr="0004711E" w:rsidRDefault="00A16FFD" w:rsidP="00A16FFD">
      <w:pPr>
        <w:spacing w:after="0" w:line="360" w:lineRule="auto"/>
        <w:jc w:val="both"/>
        <w:rPr>
          <w:rFonts w:cs="David"/>
          <w:sz w:val="28"/>
          <w:szCs w:val="28"/>
          <w:rtl/>
        </w:rPr>
      </w:pPr>
    </w:p>
    <w:p w:rsidR="00A16FFD" w:rsidRPr="0004711E" w:rsidRDefault="00A16FFD" w:rsidP="00A16FFD">
      <w:pPr>
        <w:pStyle w:val="NormalWeb"/>
        <w:shd w:val="clear" w:color="auto" w:fill="FFFFFF"/>
        <w:bidi/>
        <w:spacing w:before="0" w:beforeAutospacing="0" w:after="0" w:afterAutospacing="0" w:line="360" w:lineRule="auto"/>
        <w:jc w:val="both"/>
        <w:rPr>
          <w:rFonts w:cs="David"/>
          <w:sz w:val="28"/>
          <w:szCs w:val="28"/>
          <w:rtl/>
        </w:rPr>
      </w:pPr>
      <w:r w:rsidRPr="0004711E">
        <w:rPr>
          <w:rFonts w:cs="David" w:hint="cs"/>
          <w:sz w:val="28"/>
          <w:szCs w:val="28"/>
          <w:rtl/>
        </w:rPr>
        <w:t>ב-4.3.69 החליטה נציבות זכויות האדם להקים קבוצת עבודה מיוחדת של מומחים (</w:t>
      </w:r>
      <w:r>
        <w:rPr>
          <w:rFonts w:cs="David" w:hint="cs"/>
          <w:sz w:val="28"/>
          <w:szCs w:val="28"/>
          <w:rtl/>
        </w:rPr>
        <w:t>בעבודה זו</w:t>
      </w:r>
      <w:r w:rsidRPr="0004711E">
        <w:rPr>
          <w:rFonts w:cs="David" w:hint="cs"/>
          <w:sz w:val="28"/>
          <w:szCs w:val="28"/>
          <w:rtl/>
        </w:rPr>
        <w:t xml:space="preserve"> </w:t>
      </w:r>
      <w:r w:rsidRPr="0004711E">
        <w:rPr>
          <w:rFonts w:cs="David"/>
          <w:sz w:val="28"/>
          <w:szCs w:val="28"/>
          <w:rtl/>
        </w:rPr>
        <w:t>–</w:t>
      </w:r>
      <w:r w:rsidRPr="0004711E">
        <w:rPr>
          <w:rFonts w:cs="David" w:hint="cs"/>
          <w:sz w:val="28"/>
          <w:szCs w:val="28"/>
          <w:rtl/>
        </w:rPr>
        <w:t xml:space="preserve"> ועדת הנציבות מ-1969) שהמנדט שלה: </w:t>
      </w:r>
    </w:p>
    <w:p w:rsidR="00A16FFD" w:rsidRDefault="00A16FFD" w:rsidP="00A16FFD">
      <w:pPr>
        <w:pStyle w:val="NormalWeb"/>
        <w:shd w:val="clear" w:color="auto" w:fill="FFFFFF"/>
        <w:spacing w:before="0" w:beforeAutospacing="0" w:after="0" w:afterAutospacing="0"/>
        <w:jc w:val="both"/>
        <w:rPr>
          <w:rFonts w:asciiTheme="minorHAnsi" w:hAnsiTheme="minorHAnsi"/>
          <w:sz w:val="28"/>
          <w:szCs w:val="28"/>
        </w:rPr>
      </w:pPr>
      <w:r w:rsidRPr="00E174DF">
        <w:rPr>
          <w:rFonts w:asciiTheme="minorHAnsi" w:hAnsiTheme="minorHAnsi" w:cs="David"/>
          <w:sz w:val="28"/>
          <w:szCs w:val="28"/>
          <w:rtl/>
        </w:rPr>
        <w:t>"</w:t>
      </w:r>
      <w:r w:rsidRPr="0004711E">
        <w:rPr>
          <w:rFonts w:asciiTheme="minorHAnsi" w:hAnsiTheme="minorHAnsi" w:cs="Courier New"/>
          <w:sz w:val="28"/>
          <w:szCs w:val="28"/>
        </w:rPr>
        <w:t>(a) To investigate allegations, concerning Israel's violations of the Geneva Convention relative to the Protection of Civilian Persons in Time of War of 12 August 1949, in the territories occupied by Israel as a result of hostilities in the Middle East;</w:t>
      </w:r>
    </w:p>
    <w:p w:rsidR="00A16FFD" w:rsidRDefault="00A16FFD" w:rsidP="00A16FFD">
      <w:pPr>
        <w:pStyle w:val="NormalWeb"/>
        <w:shd w:val="clear" w:color="auto" w:fill="FFFFFF"/>
        <w:spacing w:before="0" w:beforeAutospacing="0" w:after="0" w:afterAutospacing="0"/>
        <w:jc w:val="both"/>
        <w:rPr>
          <w:rFonts w:asciiTheme="minorHAnsi" w:hAnsiTheme="minorHAnsi"/>
          <w:sz w:val="28"/>
          <w:szCs w:val="28"/>
        </w:rPr>
      </w:pPr>
      <w:r w:rsidRPr="0004711E">
        <w:rPr>
          <w:rFonts w:asciiTheme="minorHAnsi" w:hAnsiTheme="minorHAnsi" w:cs="Courier New"/>
          <w:sz w:val="28"/>
          <w:szCs w:val="28"/>
        </w:rPr>
        <w:t>"(b) To receive communications to hear witnesses and to use such modalities of procedure as it may deem necessary;</w:t>
      </w:r>
    </w:p>
    <w:p w:rsidR="00A16FFD" w:rsidRDefault="00A16FFD" w:rsidP="00A16FFD">
      <w:pPr>
        <w:bidi w:val="0"/>
        <w:spacing w:after="0" w:line="240" w:lineRule="auto"/>
        <w:jc w:val="both"/>
        <w:rPr>
          <w:rFonts w:cs="David"/>
          <w:sz w:val="28"/>
          <w:szCs w:val="28"/>
        </w:rPr>
      </w:pPr>
      <w:r w:rsidRPr="0004711E">
        <w:rPr>
          <w:rFonts w:cs="Courier New"/>
          <w:sz w:val="28"/>
          <w:szCs w:val="28"/>
        </w:rPr>
        <w:t>"(c) To report, with its conclusions and recommendations, to the Commission's twenty-sixth session;</w:t>
      </w:r>
      <w:r w:rsidRPr="00E174DF">
        <w:rPr>
          <w:rFonts w:cs="David"/>
          <w:sz w:val="28"/>
          <w:szCs w:val="28"/>
          <w:rtl/>
        </w:rPr>
        <w:t>"</w:t>
      </w:r>
    </w:p>
    <w:p w:rsidR="00A16FFD" w:rsidRPr="0004711E" w:rsidRDefault="00A16FFD" w:rsidP="00A16FFD">
      <w:pPr>
        <w:spacing w:after="0" w:line="360" w:lineRule="auto"/>
        <w:jc w:val="both"/>
        <w:rPr>
          <w:rFonts w:cs="David"/>
          <w:sz w:val="28"/>
          <w:szCs w:val="28"/>
          <w:rtl/>
        </w:rPr>
      </w:pPr>
    </w:p>
    <w:p w:rsidR="00A16FFD" w:rsidRPr="0004711E" w:rsidRDefault="00A16FFD" w:rsidP="00A16FFD">
      <w:pPr>
        <w:spacing w:after="0" w:line="360" w:lineRule="auto"/>
        <w:jc w:val="both"/>
        <w:rPr>
          <w:rFonts w:cs="David"/>
          <w:sz w:val="28"/>
          <w:szCs w:val="28"/>
          <w:rtl/>
        </w:rPr>
      </w:pPr>
      <w:r w:rsidRPr="0004711E">
        <w:rPr>
          <w:rFonts w:cs="David" w:hint="cs"/>
          <w:sz w:val="28"/>
          <w:szCs w:val="28"/>
          <w:rtl/>
        </w:rPr>
        <w:t>הוועדה הגישה את הדוח שלה ביום 20.01.70</w:t>
      </w:r>
      <w:bookmarkStart w:id="81" w:name="_Ref454793360"/>
      <w:r w:rsidRPr="0004711E">
        <w:rPr>
          <w:rStyle w:val="a7"/>
          <w:rFonts w:cs="David"/>
          <w:sz w:val="28"/>
          <w:szCs w:val="28"/>
          <w:rtl/>
        </w:rPr>
        <w:footnoteReference w:id="284"/>
      </w:r>
      <w:bookmarkEnd w:id="81"/>
      <w:r w:rsidRPr="0004711E">
        <w:rPr>
          <w:rFonts w:cs="David" w:hint="cs"/>
          <w:sz w:val="28"/>
          <w:szCs w:val="28"/>
          <w:rtl/>
        </w:rPr>
        <w:t>.</w:t>
      </w:r>
    </w:p>
    <w:p w:rsidR="00A16FFD" w:rsidRPr="0004711E" w:rsidRDefault="00A16FFD" w:rsidP="00A16FFD">
      <w:pPr>
        <w:spacing w:after="0" w:line="360" w:lineRule="auto"/>
        <w:jc w:val="both"/>
        <w:rPr>
          <w:rFonts w:cs="David"/>
          <w:sz w:val="28"/>
          <w:szCs w:val="28"/>
          <w:rtl/>
        </w:rPr>
      </w:pPr>
    </w:p>
    <w:p w:rsidR="00A16FFD" w:rsidRPr="00C22118" w:rsidRDefault="00A16FFD" w:rsidP="00C22118">
      <w:pPr>
        <w:pStyle w:val="a9"/>
        <w:numPr>
          <w:ilvl w:val="0"/>
          <w:numId w:val="28"/>
        </w:numPr>
        <w:spacing w:after="0" w:line="360" w:lineRule="auto"/>
        <w:jc w:val="both"/>
        <w:outlineLvl w:val="1"/>
        <w:rPr>
          <w:rFonts w:cs="David"/>
          <w:b/>
          <w:bCs/>
          <w:sz w:val="28"/>
          <w:szCs w:val="28"/>
          <w:rtl/>
        </w:rPr>
      </w:pPr>
      <w:bookmarkStart w:id="82" w:name="_Toc456027350"/>
      <w:r w:rsidRPr="00C22118">
        <w:rPr>
          <w:rFonts w:cs="David" w:hint="cs"/>
          <w:b/>
          <w:bCs/>
          <w:sz w:val="28"/>
          <w:szCs w:val="28"/>
          <w:rtl/>
        </w:rPr>
        <w:t xml:space="preserve">סדרת משלחות מטעם אונסק"ו לבירור עובדות על החינוך הלאומי וחיי התרבות של האוכלוסיות ב"שטחים הערביים הכבושים" (1972 </w:t>
      </w:r>
      <w:r w:rsidRPr="00C22118">
        <w:rPr>
          <w:rFonts w:cs="David"/>
          <w:b/>
          <w:bCs/>
          <w:sz w:val="28"/>
          <w:szCs w:val="28"/>
          <w:rtl/>
        </w:rPr>
        <w:t>–</w:t>
      </w:r>
      <w:r w:rsidRPr="00C22118">
        <w:rPr>
          <w:rFonts w:cs="David" w:hint="cs"/>
          <w:b/>
          <w:bCs/>
          <w:sz w:val="28"/>
          <w:szCs w:val="28"/>
          <w:rtl/>
        </w:rPr>
        <w:t xml:space="preserve"> 1980)</w:t>
      </w:r>
      <w:bookmarkEnd w:id="82"/>
    </w:p>
    <w:p w:rsidR="00A16FFD" w:rsidRPr="0004711E" w:rsidRDefault="00A16FFD" w:rsidP="00A16FFD">
      <w:pPr>
        <w:spacing w:after="0" w:line="360" w:lineRule="auto"/>
        <w:jc w:val="both"/>
        <w:rPr>
          <w:rFonts w:cs="David"/>
          <w:sz w:val="28"/>
          <w:szCs w:val="28"/>
          <w:rtl/>
        </w:rPr>
      </w:pPr>
    </w:p>
    <w:p w:rsidR="00A16FFD" w:rsidRPr="0004711E" w:rsidRDefault="00A16FFD" w:rsidP="00A16FFD">
      <w:pPr>
        <w:spacing w:after="0" w:line="360" w:lineRule="auto"/>
        <w:jc w:val="both"/>
        <w:rPr>
          <w:rFonts w:cs="David"/>
          <w:sz w:val="28"/>
          <w:szCs w:val="28"/>
          <w:rtl/>
        </w:rPr>
      </w:pPr>
      <w:r w:rsidRPr="0004711E">
        <w:rPr>
          <w:rFonts w:cs="David" w:hint="cs"/>
          <w:sz w:val="28"/>
          <w:szCs w:val="28"/>
          <w:rtl/>
        </w:rPr>
        <w:t>בוועידת אונסקו ה-17, בשנת 1972, ביקשה הוועידה הכללית ממנכ"ל הארגון "</w:t>
      </w:r>
      <w:r w:rsidRPr="0004711E">
        <w:rPr>
          <w:rFonts w:cs="David"/>
          <w:sz w:val="28"/>
          <w:szCs w:val="28"/>
        </w:rPr>
        <w:t>to assemble information by all available means at his disposal on the national education and the cultural life of the populations in the occupied Arab territories</w:t>
      </w:r>
      <w:r w:rsidRPr="0004711E">
        <w:rPr>
          <w:rFonts w:cs="David" w:hint="cs"/>
          <w:sz w:val="28"/>
          <w:szCs w:val="28"/>
          <w:rtl/>
        </w:rPr>
        <w:t>"</w:t>
      </w:r>
      <w:r w:rsidRPr="0004711E">
        <w:rPr>
          <w:rStyle w:val="a7"/>
          <w:rFonts w:cs="David"/>
          <w:sz w:val="28"/>
          <w:szCs w:val="28"/>
          <w:rtl/>
        </w:rPr>
        <w:footnoteReference w:id="285"/>
      </w:r>
      <w:r w:rsidRPr="0004711E">
        <w:rPr>
          <w:rFonts w:cs="David" w:hint="cs"/>
          <w:sz w:val="28"/>
          <w:szCs w:val="28"/>
          <w:rtl/>
        </w:rPr>
        <w:t>. בעקבות זאת הקים המנכ"ל משלחת של שני חברים ממזכירות הארגון, שביקרו ב"שטחים הערביים הכבושים" ובמדינות ערב</w:t>
      </w:r>
      <w:r>
        <w:rPr>
          <w:rFonts w:cs="David" w:hint="cs"/>
          <w:sz w:val="28"/>
          <w:szCs w:val="28"/>
          <w:rtl/>
        </w:rPr>
        <w:t xml:space="preserve"> (המדינות </w:t>
      </w:r>
      <w:r w:rsidRPr="0004711E">
        <w:rPr>
          <w:rFonts w:cs="David" w:hint="cs"/>
          <w:sz w:val="28"/>
          <w:szCs w:val="28"/>
          <w:rtl/>
        </w:rPr>
        <w:t>התבקשו מראש למלא שאלון</w:t>
      </w:r>
      <w:r>
        <w:rPr>
          <w:rFonts w:cs="David" w:hint="cs"/>
          <w:sz w:val="28"/>
          <w:szCs w:val="28"/>
          <w:rtl/>
        </w:rPr>
        <w:t>,</w:t>
      </w:r>
      <w:r w:rsidRPr="0004711E">
        <w:rPr>
          <w:rFonts w:cs="David" w:hint="cs"/>
          <w:sz w:val="28"/>
          <w:szCs w:val="28"/>
          <w:rtl/>
        </w:rPr>
        <w:t xml:space="preserve"> ששלח להם המנהל הכללי בנושא הבדיקה</w:t>
      </w:r>
      <w:r>
        <w:rPr>
          <w:rFonts w:cs="David" w:hint="cs"/>
          <w:sz w:val="28"/>
          <w:szCs w:val="28"/>
          <w:rtl/>
        </w:rPr>
        <w:t>)</w:t>
      </w:r>
      <w:r w:rsidRPr="0004711E">
        <w:rPr>
          <w:rFonts w:cs="David" w:hint="cs"/>
          <w:sz w:val="28"/>
          <w:szCs w:val="28"/>
          <w:rtl/>
        </w:rPr>
        <w:t xml:space="preserve">. המשלחת זכתה לשיתוף פעולה מצדה של מדינת ישראל ופגשה את כל האנשים שביקשה לפגוש, ללא עדים, "באווירה של חופש מוחלט", כאמור בדוח המנכ"ל. </w:t>
      </w:r>
      <w:r w:rsidRPr="0004711E">
        <w:rPr>
          <w:rFonts w:cs="David" w:hint="cs"/>
          <w:sz w:val="28"/>
          <w:szCs w:val="28"/>
          <w:rtl/>
        </w:rPr>
        <w:lastRenderedPageBreak/>
        <w:t>המנכ"ל הגיש את דוח המשלחת בוועידת הארגון ה-18, בשנת 1974</w:t>
      </w:r>
      <w:r w:rsidRPr="0004711E">
        <w:rPr>
          <w:rStyle w:val="a7"/>
          <w:rFonts w:cs="David"/>
          <w:sz w:val="28"/>
          <w:szCs w:val="28"/>
          <w:rtl/>
        </w:rPr>
        <w:footnoteReference w:id="286"/>
      </w:r>
      <w:r w:rsidRPr="0004711E">
        <w:rPr>
          <w:rFonts w:cs="David" w:hint="cs"/>
          <w:sz w:val="28"/>
          <w:szCs w:val="28"/>
          <w:rtl/>
        </w:rPr>
        <w:t>. דוח המנכ"ל היה מאוזן למדי ופירט התערבות ישראלית מינימאלית בתוכנן של תוכניות החינוך הפלסטיניות בגדה המערבית ופגיעה משמעותית יותר בחופש העיתונות. חרף זאת, מדינות ערב העבירו החלטה בוועידה ה-18 של הארגון</w:t>
      </w:r>
      <w:r>
        <w:rPr>
          <w:rFonts w:cs="David" w:hint="cs"/>
          <w:sz w:val="28"/>
          <w:szCs w:val="28"/>
          <w:rtl/>
        </w:rPr>
        <w:t>,</w:t>
      </w:r>
      <w:r w:rsidRPr="0004711E">
        <w:rPr>
          <w:rFonts w:cs="David" w:hint="cs"/>
          <w:sz w:val="28"/>
          <w:szCs w:val="28"/>
          <w:rtl/>
        </w:rPr>
        <w:t xml:space="preserve"> לפיה האוכלוסיות ב"שטחים הערביים הכבושים" אינן נהנות מזכויותיהן הטבעיות לחינוך לאומי ולחיי תרבות והזמינו את המנכ"ל "</w:t>
      </w:r>
      <w:r w:rsidRPr="0004711E">
        <w:rPr>
          <w:rFonts w:cs="David"/>
          <w:sz w:val="28"/>
          <w:szCs w:val="28"/>
        </w:rPr>
        <w:t>to exercise full supervision of the operation of educational and cultural institutions in the occupied Arab territories, and to co-operate with the Arab States concerned and with the Palestine Liberation Organization with a view to providing the populations in the occupied Arab territories with every means of enjoying their rights to education and culture so as to preserve their national identity</w:t>
      </w:r>
      <w:r w:rsidRPr="0004711E">
        <w:rPr>
          <w:rFonts w:cs="David" w:hint="cs"/>
          <w:sz w:val="28"/>
          <w:szCs w:val="28"/>
          <w:rtl/>
        </w:rPr>
        <w:t>"</w:t>
      </w:r>
      <w:r w:rsidRPr="0004711E">
        <w:rPr>
          <w:rStyle w:val="a7"/>
          <w:rFonts w:cs="David"/>
          <w:sz w:val="28"/>
          <w:szCs w:val="28"/>
          <w:rtl/>
        </w:rPr>
        <w:footnoteReference w:id="287"/>
      </w:r>
      <w:r w:rsidRPr="0004711E">
        <w:rPr>
          <w:rFonts w:cs="David" w:hint="cs"/>
          <w:sz w:val="28"/>
          <w:szCs w:val="28"/>
          <w:rtl/>
        </w:rPr>
        <w:t xml:space="preserve">. </w:t>
      </w:r>
    </w:p>
    <w:p w:rsidR="00A16FFD" w:rsidRPr="0004711E" w:rsidRDefault="00A16FFD" w:rsidP="00A16FFD">
      <w:pPr>
        <w:spacing w:after="0" w:line="360" w:lineRule="auto"/>
        <w:jc w:val="both"/>
        <w:rPr>
          <w:rFonts w:cs="David"/>
          <w:sz w:val="28"/>
          <w:szCs w:val="28"/>
          <w:rtl/>
        </w:rPr>
      </w:pPr>
    </w:p>
    <w:p w:rsidR="00A16FFD" w:rsidRPr="0004711E" w:rsidRDefault="00A16FFD" w:rsidP="00A16FFD">
      <w:pPr>
        <w:spacing w:after="0" w:line="360" w:lineRule="auto"/>
        <w:jc w:val="both"/>
        <w:rPr>
          <w:rFonts w:cs="David"/>
          <w:sz w:val="28"/>
          <w:szCs w:val="28"/>
          <w:rtl/>
        </w:rPr>
      </w:pPr>
      <w:r w:rsidRPr="0004711E">
        <w:rPr>
          <w:rFonts w:cs="David" w:hint="cs"/>
          <w:sz w:val="28"/>
          <w:szCs w:val="28"/>
          <w:rtl/>
        </w:rPr>
        <w:t>בעקבות המנדט החדש שקיבל, החליט המנכ"ל לחקור בעניינם של כמה ממוסדות החינוך והתרבות בשטחים הכבושים ובאמצעות המחקר לזהות את הצרכים האמיתיים של האנשים, כדי שהארגון יוכל לספק להם את זכויותיהם "ולשמר את זהותם הלאומית"</w:t>
      </w:r>
      <w:r w:rsidRPr="0004711E">
        <w:rPr>
          <w:rStyle w:val="a7"/>
          <w:rFonts w:cs="David"/>
          <w:sz w:val="28"/>
          <w:szCs w:val="28"/>
          <w:rtl/>
        </w:rPr>
        <w:footnoteReference w:id="288"/>
      </w:r>
      <w:r w:rsidRPr="0004711E">
        <w:rPr>
          <w:rFonts w:cs="David" w:hint="cs"/>
          <w:sz w:val="28"/>
          <w:szCs w:val="28"/>
          <w:rtl/>
        </w:rPr>
        <w:t>. לפי דוח המנכ"ל, תחילה סירבה ישראל לשתף פעולה עם הבדיקה, ולאחר מכן הסכימה רק לשלוח מידע נוסף, אך לא לביקור נוסף של המשלחת. לאחר מסע לחצים, הסכימה ישראל לביקור בשנת 1977. בוועידה ה-19 של הארגון הובילו מדינות ערב ואפריקה החלטה בה הונחה המנכ"ל לשלוח משלחת לבירור עובדות מהר ככל הניתן לשטחים הערביים הכבושים בידי ישראל. באותה הנשימה, כללה ההחלטה פסקה לפיה הוועידה "</w:t>
      </w:r>
      <w:r w:rsidRPr="0004711E">
        <w:rPr>
          <w:rFonts w:cs="David"/>
          <w:sz w:val="28"/>
          <w:szCs w:val="28"/>
        </w:rPr>
        <w:t>Condemning as contrary to human rights and fundamental freedoms all violations, resulting from Israeli occupation, of the rights of the populations living in all the occupied Arab territories to national education and cultural life, and particularly the policy of systematic cultural assimilation</w:t>
      </w:r>
      <w:r w:rsidRPr="0004711E">
        <w:rPr>
          <w:rFonts w:cs="David" w:hint="cs"/>
          <w:sz w:val="28"/>
          <w:szCs w:val="28"/>
          <w:rtl/>
        </w:rPr>
        <w:t xml:space="preserve">". בעקבות </w:t>
      </w:r>
      <w:r w:rsidRPr="0004711E">
        <w:rPr>
          <w:rFonts w:cs="David" w:hint="cs"/>
          <w:sz w:val="28"/>
          <w:szCs w:val="28"/>
          <w:rtl/>
        </w:rPr>
        <w:lastRenderedPageBreak/>
        <w:t>ההחלטה הוקמה משלחת מקצועית וישראל אפשרה את ביקורה בכל המקומות, למעט מזרח ירושלים. מנכ"ל הארגון לא הגיש את הדוח המלא של כל חברי המשלחת, אלא רק את הדוחות הנפרדים של חלק מחברי המשלחת</w:t>
      </w:r>
      <w:r w:rsidRPr="0004711E">
        <w:rPr>
          <w:rStyle w:val="a7"/>
          <w:rFonts w:cs="David"/>
          <w:sz w:val="28"/>
          <w:szCs w:val="28"/>
          <w:rtl/>
        </w:rPr>
        <w:footnoteReference w:id="289"/>
      </w:r>
      <w:r w:rsidRPr="0004711E">
        <w:rPr>
          <w:rFonts w:cs="David" w:hint="cs"/>
          <w:sz w:val="28"/>
          <w:szCs w:val="28"/>
          <w:rtl/>
        </w:rPr>
        <w:t>. הדבר עורר דיון ארוך ונוקב בוועידת הארגון</w:t>
      </w:r>
      <w:r w:rsidRPr="0004711E">
        <w:rPr>
          <w:rStyle w:val="a7"/>
          <w:rFonts w:cs="David"/>
          <w:sz w:val="28"/>
          <w:szCs w:val="28"/>
          <w:rtl/>
        </w:rPr>
        <w:footnoteReference w:id="290"/>
      </w:r>
      <w:r w:rsidRPr="0004711E">
        <w:rPr>
          <w:rFonts w:cs="David" w:hint="cs"/>
          <w:sz w:val="28"/>
          <w:szCs w:val="28"/>
          <w:rtl/>
        </w:rPr>
        <w:t>. למרות שדוחות חברי המשלחת שפרסם המנכ"ל (למעט הדוח של הנציגה הצרפתייה, שלא הייתה חברה במשלחת) לא מצאו הוכחה לכך שישראל נוקטת מדיניות שיטתית של הטמעה תרבותית, ואף מצאו הוכחות הפוכות, חזרה הוועידה ה-20 של הארגון על אותו הגינוי</w:t>
      </w:r>
      <w:r>
        <w:rPr>
          <w:rFonts w:cs="David" w:hint="cs"/>
          <w:sz w:val="28"/>
          <w:szCs w:val="28"/>
          <w:rtl/>
        </w:rPr>
        <w:t>,</w:t>
      </w:r>
      <w:r w:rsidRPr="0004711E">
        <w:rPr>
          <w:rFonts w:cs="David" w:hint="cs"/>
          <w:sz w:val="28"/>
          <w:szCs w:val="28"/>
          <w:rtl/>
        </w:rPr>
        <w:t xml:space="preserve"> שהשמיעה כלפי ישראל לעניין זה בוועידה ה-19</w:t>
      </w:r>
      <w:r w:rsidRPr="0004711E">
        <w:rPr>
          <w:rStyle w:val="a7"/>
          <w:rFonts w:cs="David"/>
          <w:sz w:val="28"/>
          <w:szCs w:val="28"/>
          <w:rtl/>
        </w:rPr>
        <w:footnoteReference w:id="291"/>
      </w:r>
      <w:r w:rsidRPr="0004711E">
        <w:rPr>
          <w:rFonts w:cs="David" w:hint="cs"/>
          <w:sz w:val="28"/>
          <w:szCs w:val="28"/>
          <w:rtl/>
        </w:rPr>
        <w:t>. ההחלטה מביעה צער על כך שהמשלחת לא יכלה לבצע את תפקידה בירושלים ומבקשת מהמנכ"ל למנות משלחת נוספת לבצע משימה זו.</w:t>
      </w:r>
    </w:p>
    <w:p w:rsidR="00A16FFD" w:rsidRPr="0004711E" w:rsidRDefault="00A16FFD" w:rsidP="00A16FFD">
      <w:pPr>
        <w:spacing w:after="0" w:line="360" w:lineRule="auto"/>
        <w:jc w:val="both"/>
        <w:rPr>
          <w:rFonts w:cs="David"/>
          <w:sz w:val="28"/>
          <w:szCs w:val="28"/>
          <w:rtl/>
        </w:rPr>
      </w:pPr>
    </w:p>
    <w:p w:rsidR="00A16FFD" w:rsidRPr="0004711E" w:rsidRDefault="00A16FFD" w:rsidP="00A16FFD">
      <w:pPr>
        <w:spacing w:after="0" w:line="360" w:lineRule="auto"/>
        <w:jc w:val="both"/>
        <w:rPr>
          <w:rFonts w:cs="David"/>
          <w:sz w:val="28"/>
          <w:szCs w:val="28"/>
          <w:rtl/>
        </w:rPr>
      </w:pPr>
      <w:r w:rsidRPr="0004711E">
        <w:rPr>
          <w:rFonts w:cs="David" w:hint="cs"/>
          <w:sz w:val="28"/>
          <w:szCs w:val="28"/>
          <w:rtl/>
        </w:rPr>
        <w:t>בדוח הנוסף שהגיש המנכ"ל</w:t>
      </w:r>
      <w:r w:rsidRPr="0004711E">
        <w:rPr>
          <w:rStyle w:val="a7"/>
          <w:rFonts w:cs="David"/>
          <w:sz w:val="28"/>
          <w:szCs w:val="28"/>
          <w:rtl/>
        </w:rPr>
        <w:footnoteReference w:id="292"/>
      </w:r>
      <w:r w:rsidRPr="0004711E">
        <w:rPr>
          <w:rFonts w:cs="David" w:hint="cs"/>
          <w:sz w:val="28"/>
          <w:szCs w:val="28"/>
          <w:rtl/>
        </w:rPr>
        <w:t xml:space="preserve"> הוא מפרט את חלופת המכתבים בינו לבין המשלחת הישראלית לארגון. ישראל הביעה התנגדות לשיתוף פעולה עם משלחות פוליטיות של הארגון, אך לאחר שהמנכ"ל ציין נקודות מקצועיות ספציפיות שהוא מבקש שהמשלחת שישלח תבדוק, הסכימה ישראל לקבל את המשלחת. יחד עם זאת, המנכ"ל ציין כי משך התקופה בה התנהלה התכתובת עם ישראל מנע ממנו להרכיב משלחת שתספיק לדווח לוועידה ה-21 של הארגון. בוועידה ה-21 התקבלה החלטה נוספת המגנה את ישראל ומבקשת מהמנכ"ל להמשיך ולעקוב אחר העניין, אך לא מנחה אותו לשלוח משלחת בירור עובדות נוספת</w:t>
      </w:r>
      <w:r w:rsidRPr="0004711E">
        <w:rPr>
          <w:rStyle w:val="a7"/>
          <w:rFonts w:cs="David"/>
          <w:sz w:val="28"/>
          <w:szCs w:val="28"/>
          <w:rtl/>
        </w:rPr>
        <w:footnoteReference w:id="293"/>
      </w:r>
      <w:r w:rsidRPr="0004711E">
        <w:rPr>
          <w:rFonts w:cs="David" w:hint="cs"/>
          <w:sz w:val="28"/>
          <w:szCs w:val="28"/>
          <w:rtl/>
        </w:rPr>
        <w:t>. הנושא המשיך להיות במעקב של ועידות הארגון שכונסו לאחר מכן.</w:t>
      </w:r>
    </w:p>
    <w:p w:rsidR="00E057C9" w:rsidRDefault="00E057C9">
      <w:pPr>
        <w:bidi w:val="0"/>
        <w:rPr>
          <w:rFonts w:cs="David"/>
          <w:sz w:val="28"/>
          <w:szCs w:val="28"/>
          <w:rtl/>
        </w:rPr>
      </w:pPr>
      <w:r>
        <w:rPr>
          <w:rFonts w:cs="David"/>
          <w:sz w:val="28"/>
          <w:szCs w:val="28"/>
          <w:rtl/>
        </w:rPr>
        <w:br w:type="page"/>
      </w:r>
    </w:p>
    <w:p w:rsidR="00A16FFD" w:rsidRPr="00C22118" w:rsidRDefault="00A16FFD" w:rsidP="00C22118">
      <w:pPr>
        <w:pStyle w:val="a9"/>
        <w:numPr>
          <w:ilvl w:val="0"/>
          <w:numId w:val="28"/>
        </w:numPr>
        <w:spacing w:after="0" w:line="360" w:lineRule="auto"/>
        <w:jc w:val="both"/>
        <w:outlineLvl w:val="1"/>
        <w:rPr>
          <w:rFonts w:cs="David"/>
          <w:b/>
          <w:bCs/>
          <w:sz w:val="28"/>
          <w:szCs w:val="28"/>
          <w:rtl/>
        </w:rPr>
      </w:pPr>
      <w:bookmarkStart w:id="83" w:name="_Toc455336922"/>
      <w:bookmarkStart w:id="84" w:name="_Toc456027351"/>
      <w:bookmarkEnd w:id="83"/>
      <w:r w:rsidRPr="00C22118">
        <w:rPr>
          <w:rFonts w:cs="David" w:hint="cs"/>
          <w:b/>
          <w:bCs/>
          <w:sz w:val="28"/>
          <w:szCs w:val="28"/>
          <w:rtl/>
        </w:rPr>
        <w:lastRenderedPageBreak/>
        <w:t>משלחת מטעם מזכ"ל האו"ם לחקר ההפצצה בכפר קאנא (1996)</w:t>
      </w:r>
      <w:bookmarkEnd w:id="84"/>
    </w:p>
    <w:p w:rsidR="00A16FFD" w:rsidRPr="0004711E" w:rsidRDefault="00A16FFD" w:rsidP="00A16FFD">
      <w:pPr>
        <w:spacing w:after="0" w:line="360" w:lineRule="auto"/>
        <w:jc w:val="both"/>
        <w:rPr>
          <w:rFonts w:cs="David"/>
          <w:sz w:val="28"/>
          <w:szCs w:val="28"/>
          <w:rtl/>
        </w:rPr>
      </w:pPr>
    </w:p>
    <w:p w:rsidR="00A16FFD" w:rsidRPr="0004711E" w:rsidRDefault="00A16FFD" w:rsidP="00A16FFD">
      <w:pPr>
        <w:spacing w:after="0" w:line="360" w:lineRule="auto"/>
        <w:jc w:val="both"/>
        <w:rPr>
          <w:rFonts w:cs="David"/>
          <w:sz w:val="28"/>
          <w:szCs w:val="28"/>
          <w:rtl/>
        </w:rPr>
      </w:pPr>
      <w:r w:rsidRPr="0004711E">
        <w:rPr>
          <w:rFonts w:cs="David" w:hint="cs"/>
          <w:sz w:val="28"/>
          <w:szCs w:val="28"/>
          <w:rtl/>
        </w:rPr>
        <w:t>ב</w:t>
      </w:r>
      <w:r>
        <w:rPr>
          <w:rFonts w:cs="David" w:hint="cs"/>
          <w:sz w:val="28"/>
          <w:szCs w:val="28"/>
          <w:rtl/>
        </w:rPr>
        <w:t xml:space="preserve">יום </w:t>
      </w:r>
      <w:r w:rsidRPr="0004711E">
        <w:rPr>
          <w:rFonts w:cs="David" w:hint="cs"/>
          <w:sz w:val="28"/>
          <w:szCs w:val="28"/>
          <w:rtl/>
        </w:rPr>
        <w:t xml:space="preserve">18.04.96, במסגרת מבצע "ענבי זעם" בלבנון, הופצץ </w:t>
      </w:r>
      <w:r>
        <w:rPr>
          <w:rFonts w:cs="David" w:hint="cs"/>
          <w:sz w:val="28"/>
          <w:szCs w:val="28"/>
          <w:rtl/>
        </w:rPr>
        <w:t>על ידי</w:t>
      </w:r>
      <w:r w:rsidRPr="0004711E">
        <w:rPr>
          <w:rFonts w:cs="David" w:hint="cs"/>
          <w:sz w:val="28"/>
          <w:szCs w:val="28"/>
          <w:rtl/>
        </w:rPr>
        <w:t xml:space="preserve"> צה"ל מוצב או"ם. כתוצאה מההפצצה נהרגו למעלה ממאה אזרחים וחיילי או"ם. בו ביום מינה מזכ"ל האו"ם משלחת בראשותו של הגנרל ההולנדי </w:t>
      </w:r>
      <w:r w:rsidRPr="0004711E">
        <w:rPr>
          <w:rFonts w:cs="David"/>
          <w:sz w:val="28"/>
          <w:szCs w:val="28"/>
        </w:rPr>
        <w:t>Franklin van Kappen</w:t>
      </w:r>
      <w:r w:rsidRPr="0004711E">
        <w:rPr>
          <w:rFonts w:cs="David" w:hint="cs"/>
          <w:sz w:val="28"/>
          <w:szCs w:val="28"/>
          <w:rtl/>
        </w:rPr>
        <w:t xml:space="preserve"> (</w:t>
      </w:r>
      <w:r>
        <w:rPr>
          <w:rFonts w:cs="David" w:hint="cs"/>
          <w:sz w:val="28"/>
          <w:szCs w:val="28"/>
          <w:rtl/>
        </w:rPr>
        <w:t>בעבודה זו</w:t>
      </w:r>
      <w:r w:rsidRPr="0004711E">
        <w:rPr>
          <w:rFonts w:cs="David" w:hint="cs"/>
          <w:sz w:val="28"/>
          <w:szCs w:val="28"/>
          <w:rtl/>
        </w:rPr>
        <w:t xml:space="preserve"> </w:t>
      </w:r>
      <w:r w:rsidRPr="0004711E">
        <w:rPr>
          <w:rFonts w:cs="David"/>
          <w:sz w:val="28"/>
          <w:szCs w:val="28"/>
          <w:rtl/>
        </w:rPr>
        <w:t>–</w:t>
      </w:r>
      <w:r w:rsidRPr="0004711E">
        <w:rPr>
          <w:rFonts w:cs="David" w:hint="cs"/>
          <w:sz w:val="28"/>
          <w:szCs w:val="28"/>
          <w:rtl/>
        </w:rPr>
        <w:t xml:space="preserve"> ועדת כפר קאנא) כדי לחקור את האירוע ולהמליץ על צעדים שימנעו אירוע דומה בעתיד. המשלחת זכתה לשיתוף פעולה מלא של ישראל והדוח שהגישה הועבר לעיון מועצת הביטחון ביום 07.05.96</w:t>
      </w:r>
      <w:r w:rsidRPr="0004711E">
        <w:rPr>
          <w:rStyle w:val="a7"/>
          <w:rFonts w:cs="David"/>
          <w:sz w:val="28"/>
          <w:szCs w:val="28"/>
          <w:rtl/>
        </w:rPr>
        <w:footnoteReference w:id="294"/>
      </w:r>
      <w:r w:rsidRPr="0004711E">
        <w:rPr>
          <w:rFonts w:cs="David" w:hint="cs"/>
          <w:sz w:val="28"/>
          <w:szCs w:val="28"/>
          <w:rtl/>
        </w:rPr>
        <w:t>.</w:t>
      </w:r>
    </w:p>
    <w:p w:rsidR="00A16FFD" w:rsidRPr="0004711E" w:rsidRDefault="00A16FFD" w:rsidP="00A16FFD">
      <w:pPr>
        <w:spacing w:after="0" w:line="360" w:lineRule="auto"/>
        <w:jc w:val="both"/>
        <w:rPr>
          <w:rFonts w:cs="David"/>
          <w:sz w:val="28"/>
          <w:szCs w:val="28"/>
          <w:rtl/>
        </w:rPr>
      </w:pPr>
    </w:p>
    <w:p w:rsidR="00A16FFD" w:rsidRPr="00C22118" w:rsidRDefault="00A16FFD" w:rsidP="00C22118">
      <w:pPr>
        <w:pStyle w:val="a9"/>
        <w:numPr>
          <w:ilvl w:val="0"/>
          <w:numId w:val="28"/>
        </w:numPr>
        <w:spacing w:after="0" w:line="360" w:lineRule="auto"/>
        <w:jc w:val="both"/>
        <w:outlineLvl w:val="1"/>
        <w:rPr>
          <w:rFonts w:cs="David"/>
          <w:b/>
          <w:bCs/>
          <w:sz w:val="28"/>
          <w:szCs w:val="28"/>
          <w:rtl/>
        </w:rPr>
      </w:pPr>
      <w:bookmarkStart w:id="85" w:name="_Toc456027352"/>
      <w:r w:rsidRPr="00C22118">
        <w:rPr>
          <w:rFonts w:cs="David" w:hint="cs"/>
          <w:b/>
          <w:bCs/>
          <w:sz w:val="28"/>
          <w:szCs w:val="28"/>
          <w:rtl/>
        </w:rPr>
        <w:t>משלחת בראשות הנציבה העליונה לזכויות אדם של האו"ם לבחינת האירועים האלימים ב"שטחים הפלסטיניים הכבושים" באוקטובר 2000 (2000)</w:t>
      </w:r>
      <w:bookmarkEnd w:id="85"/>
    </w:p>
    <w:p w:rsidR="00A16FFD" w:rsidRPr="0004711E" w:rsidRDefault="00A16FFD" w:rsidP="00A16FFD">
      <w:pPr>
        <w:spacing w:after="0" w:line="360" w:lineRule="auto"/>
        <w:jc w:val="both"/>
        <w:rPr>
          <w:rFonts w:cs="David"/>
          <w:sz w:val="28"/>
          <w:szCs w:val="28"/>
          <w:rtl/>
        </w:rPr>
      </w:pPr>
    </w:p>
    <w:p w:rsidR="00A16FFD" w:rsidRPr="0004711E" w:rsidRDefault="00A16FFD" w:rsidP="00A16FFD">
      <w:pPr>
        <w:spacing w:after="0" w:line="360" w:lineRule="auto"/>
        <w:jc w:val="both"/>
        <w:rPr>
          <w:rFonts w:cs="David"/>
          <w:sz w:val="28"/>
          <w:szCs w:val="28"/>
          <w:rtl/>
        </w:rPr>
      </w:pPr>
      <w:r w:rsidRPr="0004711E">
        <w:rPr>
          <w:rFonts w:cs="David" w:hint="cs"/>
          <w:sz w:val="28"/>
          <w:szCs w:val="28"/>
          <w:rtl/>
        </w:rPr>
        <w:t>המשלחת (</w:t>
      </w:r>
      <w:r>
        <w:rPr>
          <w:rFonts w:cs="David" w:hint="cs"/>
          <w:sz w:val="28"/>
          <w:szCs w:val="28"/>
          <w:rtl/>
        </w:rPr>
        <w:t>בעבודה זו</w:t>
      </w:r>
      <w:r w:rsidRPr="0004711E">
        <w:rPr>
          <w:rFonts w:cs="David" w:hint="cs"/>
          <w:sz w:val="28"/>
          <w:szCs w:val="28"/>
          <w:rtl/>
        </w:rPr>
        <w:t xml:space="preserve"> </w:t>
      </w:r>
      <w:r w:rsidRPr="0004711E">
        <w:rPr>
          <w:rFonts w:cs="David"/>
          <w:sz w:val="28"/>
          <w:szCs w:val="28"/>
          <w:rtl/>
        </w:rPr>
        <w:t>–</w:t>
      </w:r>
      <w:r w:rsidRPr="0004711E">
        <w:rPr>
          <w:rFonts w:cs="David" w:hint="cs"/>
          <w:sz w:val="28"/>
          <w:szCs w:val="28"/>
          <w:rtl/>
        </w:rPr>
        <w:t xml:space="preserve"> משלחת נציבת זכויות האדם) נשלחה </w:t>
      </w:r>
      <w:r>
        <w:rPr>
          <w:rFonts w:cs="David" w:hint="cs"/>
          <w:sz w:val="28"/>
          <w:szCs w:val="28"/>
          <w:rtl/>
        </w:rPr>
        <w:t>על ידי</w:t>
      </w:r>
      <w:r w:rsidRPr="0004711E">
        <w:rPr>
          <w:rFonts w:cs="David" w:hint="cs"/>
          <w:sz w:val="28"/>
          <w:szCs w:val="28"/>
          <w:rtl/>
        </w:rPr>
        <w:t xml:space="preserve"> נציבות זכויות האדם של האו"ם, בהתאם להחלטת הוועדה מיום 19.10.00</w:t>
      </w:r>
      <w:bookmarkStart w:id="86" w:name="_Ref455330435"/>
      <w:r w:rsidRPr="0004711E">
        <w:rPr>
          <w:rStyle w:val="a7"/>
          <w:rFonts w:cs="David"/>
          <w:sz w:val="28"/>
          <w:szCs w:val="28"/>
          <w:rtl/>
        </w:rPr>
        <w:footnoteReference w:id="295"/>
      </w:r>
      <w:bookmarkEnd w:id="86"/>
      <w:r w:rsidRPr="0004711E">
        <w:rPr>
          <w:rFonts w:cs="David" w:hint="cs"/>
          <w:sz w:val="28"/>
          <w:szCs w:val="28"/>
          <w:rtl/>
        </w:rPr>
        <w:t>. בראש המשלחת עמדה מרי רובינסון מאירלנד, הנציבה העליונה לזכויות אדם של האו"ם. המנדט שקיבלה היה "</w:t>
      </w:r>
      <w:r w:rsidRPr="0004711E">
        <w:rPr>
          <w:color w:val="000000"/>
          <w:sz w:val="28"/>
          <w:szCs w:val="28"/>
          <w:shd w:val="clear" w:color="auto" w:fill="FFFFFF"/>
        </w:rPr>
        <w:t xml:space="preserve">to undertake an urgent visit to the occupied Palestinian territories to take stock of the violations of the human rights of the Palestinian people by the Israeli occupying Power, to facilitate the activities of the mechanisms of the Commission in implementation of the present resolution, to keep it informed of developments and to report to the Commission at its fifty-seventh session and, on an interim basis, to the General Assembly at its </w:t>
      </w:r>
      <w:r w:rsidRPr="0004711E">
        <w:rPr>
          <w:rFonts w:cs="David"/>
          <w:sz w:val="28"/>
          <w:szCs w:val="28"/>
        </w:rPr>
        <w:t>fifty-fifth session</w:t>
      </w:r>
      <w:r w:rsidRPr="0004711E">
        <w:rPr>
          <w:rFonts w:cs="David" w:hint="cs"/>
          <w:sz w:val="28"/>
          <w:szCs w:val="28"/>
          <w:rtl/>
        </w:rPr>
        <w:t>". המשלחת זכתה לשיתוף פעולה מצדה של ישראל. ביום 29.11.00 הגישה המשלחת את הדוח שלה</w:t>
      </w:r>
      <w:r w:rsidRPr="0004711E">
        <w:rPr>
          <w:rStyle w:val="a7"/>
          <w:rFonts w:cs="David"/>
          <w:sz w:val="28"/>
          <w:szCs w:val="28"/>
          <w:rtl/>
        </w:rPr>
        <w:footnoteReference w:id="296"/>
      </w:r>
      <w:r w:rsidRPr="0004711E">
        <w:rPr>
          <w:rFonts w:cs="David" w:hint="cs"/>
          <w:sz w:val="28"/>
          <w:szCs w:val="28"/>
          <w:rtl/>
        </w:rPr>
        <w:t xml:space="preserve"> לנציבות זכויות האדם.</w:t>
      </w:r>
    </w:p>
    <w:p w:rsidR="00A16FFD" w:rsidRPr="0004711E" w:rsidRDefault="00A16FFD" w:rsidP="00A16FFD">
      <w:pPr>
        <w:spacing w:after="0" w:line="360" w:lineRule="auto"/>
        <w:jc w:val="both"/>
        <w:rPr>
          <w:rFonts w:cs="David"/>
          <w:sz w:val="28"/>
          <w:szCs w:val="28"/>
          <w:rtl/>
        </w:rPr>
      </w:pPr>
    </w:p>
    <w:p w:rsidR="00A16FFD" w:rsidRPr="00C22118" w:rsidRDefault="00A16FFD" w:rsidP="00C22118">
      <w:pPr>
        <w:pStyle w:val="a9"/>
        <w:numPr>
          <w:ilvl w:val="0"/>
          <w:numId w:val="28"/>
        </w:numPr>
        <w:spacing w:after="0" w:line="360" w:lineRule="auto"/>
        <w:jc w:val="both"/>
        <w:outlineLvl w:val="1"/>
        <w:rPr>
          <w:rFonts w:cs="David"/>
          <w:b/>
          <w:bCs/>
          <w:sz w:val="28"/>
          <w:szCs w:val="28"/>
          <w:rtl/>
        </w:rPr>
      </w:pPr>
      <w:bookmarkStart w:id="87" w:name="_Toc456027353"/>
      <w:r w:rsidRPr="00C22118">
        <w:rPr>
          <w:rFonts w:cs="David" w:hint="cs"/>
          <w:b/>
          <w:bCs/>
          <w:sz w:val="28"/>
          <w:szCs w:val="28"/>
          <w:rtl/>
        </w:rPr>
        <w:lastRenderedPageBreak/>
        <w:t>ועדת החקירה לבחינת האירועים האלימים ב"שטחים הפלסטיניים הכבושים" באוקטובר 2000 (2000)</w:t>
      </w:r>
      <w:bookmarkEnd w:id="87"/>
    </w:p>
    <w:p w:rsidR="00A16FFD" w:rsidRPr="0004711E" w:rsidRDefault="00A16FFD" w:rsidP="00A16FFD">
      <w:pPr>
        <w:spacing w:after="0" w:line="360" w:lineRule="auto"/>
        <w:jc w:val="both"/>
        <w:rPr>
          <w:rFonts w:cs="David"/>
          <w:sz w:val="28"/>
          <w:szCs w:val="28"/>
          <w:rtl/>
        </w:rPr>
      </w:pPr>
    </w:p>
    <w:p w:rsidR="00A16FFD" w:rsidRPr="0004711E" w:rsidRDefault="00A16FFD" w:rsidP="00A16FFD">
      <w:pPr>
        <w:spacing w:after="0" w:line="360" w:lineRule="auto"/>
        <w:jc w:val="both"/>
        <w:rPr>
          <w:rFonts w:cs="David"/>
          <w:sz w:val="28"/>
          <w:szCs w:val="28"/>
          <w:rtl/>
        </w:rPr>
      </w:pPr>
      <w:r w:rsidRPr="0004711E">
        <w:rPr>
          <w:rFonts w:cs="David" w:hint="cs"/>
          <w:sz w:val="28"/>
          <w:szCs w:val="28"/>
          <w:rtl/>
        </w:rPr>
        <w:t>הוועדה (</w:t>
      </w:r>
      <w:r>
        <w:rPr>
          <w:rFonts w:cs="David" w:hint="cs"/>
          <w:sz w:val="28"/>
          <w:szCs w:val="28"/>
          <w:rtl/>
        </w:rPr>
        <w:t>בעבודה זו</w:t>
      </w:r>
      <w:r w:rsidRPr="0004711E">
        <w:rPr>
          <w:rFonts w:cs="David" w:hint="cs"/>
          <w:sz w:val="28"/>
          <w:szCs w:val="28"/>
          <w:rtl/>
        </w:rPr>
        <w:t xml:space="preserve"> - ועדת האינתיפאדה השנייה) מונתה </w:t>
      </w:r>
      <w:r>
        <w:rPr>
          <w:rFonts w:cs="David" w:hint="cs"/>
          <w:sz w:val="28"/>
          <w:szCs w:val="28"/>
          <w:rtl/>
        </w:rPr>
        <w:t>על ידי</w:t>
      </w:r>
      <w:r w:rsidRPr="0004711E">
        <w:rPr>
          <w:rFonts w:cs="David" w:hint="cs"/>
          <w:sz w:val="28"/>
          <w:szCs w:val="28"/>
          <w:rtl/>
        </w:rPr>
        <w:t xml:space="preserve"> נציבות זכויות האדם של האו"ם כ-</w:t>
      </w:r>
      <w:r w:rsidRPr="0004711E">
        <w:rPr>
          <w:rFonts w:cs="David"/>
          <w:sz w:val="28"/>
          <w:szCs w:val="28"/>
        </w:rPr>
        <w:t>COI</w:t>
      </w:r>
      <w:r w:rsidRPr="0004711E">
        <w:rPr>
          <w:rFonts w:cs="David" w:hint="cs"/>
          <w:sz w:val="28"/>
          <w:szCs w:val="28"/>
          <w:rtl/>
        </w:rPr>
        <w:t>, בהתאם להחלטת הוועדה מיום 19.10.00 (אותה החלטה שמכוחה נשלחה משלחת נציבת זכויות האדם)</w:t>
      </w:r>
      <w:r w:rsidRPr="0004711E">
        <w:rPr>
          <w:rStyle w:val="a7"/>
          <w:rFonts w:cs="David"/>
          <w:sz w:val="28"/>
          <w:szCs w:val="28"/>
          <w:rtl/>
        </w:rPr>
        <w:footnoteReference w:id="297"/>
      </w:r>
      <w:r w:rsidRPr="0004711E">
        <w:rPr>
          <w:rFonts w:cs="David" w:hint="cs"/>
          <w:sz w:val="28"/>
          <w:szCs w:val="28"/>
          <w:rtl/>
        </w:rPr>
        <w:t xml:space="preserve">. בראש הוועדה עמד פרופסור ג'ון דוגארד מדרום אפריקה, שלימים מונה כדווח המיוחד ל"שטחים הפלסטיניים הכבושים" של נציבות זכויות האדם. </w:t>
      </w:r>
      <w:r>
        <w:rPr>
          <w:rFonts w:cs="David" w:hint="cs"/>
          <w:sz w:val="28"/>
          <w:szCs w:val="28"/>
          <w:rtl/>
        </w:rPr>
        <w:t xml:space="preserve">אחד מחבריה היה ריצ'ארד פאלק, שלימים החליף את דוגארד בתפקיד האמור. </w:t>
      </w:r>
      <w:r w:rsidRPr="0004711E">
        <w:rPr>
          <w:rFonts w:cs="David" w:hint="cs"/>
          <w:sz w:val="28"/>
          <w:szCs w:val="28"/>
          <w:rtl/>
        </w:rPr>
        <w:t xml:space="preserve">המנדט שקיבלה </w:t>
      </w:r>
      <w:r>
        <w:rPr>
          <w:rFonts w:cs="David" w:hint="cs"/>
          <w:sz w:val="28"/>
          <w:szCs w:val="28"/>
          <w:rtl/>
        </w:rPr>
        <w:t xml:space="preserve">הוועדה </w:t>
      </w:r>
      <w:r w:rsidRPr="0004711E">
        <w:rPr>
          <w:rFonts w:cs="David" w:hint="cs"/>
          <w:sz w:val="28"/>
          <w:szCs w:val="28"/>
          <w:rtl/>
        </w:rPr>
        <w:t>היה "</w:t>
      </w:r>
      <w:r w:rsidRPr="0004711E">
        <w:rPr>
          <w:rFonts w:cs="David"/>
          <w:sz w:val="28"/>
          <w:szCs w:val="28"/>
        </w:rPr>
        <w:t>to gather and compile information on violations of human rights and acts which constitute grave breaches of international humanitarian law by the Israeli occupying Power in the occupied Palestinian territories and to provide the Commission with its conclusions and recommendations, with the aim of preventing the repetition of the recent human rights violations</w:t>
      </w:r>
      <w:r w:rsidRPr="0004711E">
        <w:rPr>
          <w:rFonts w:cs="David" w:hint="cs"/>
          <w:sz w:val="28"/>
          <w:szCs w:val="28"/>
          <w:rtl/>
        </w:rPr>
        <w:t>". הוועדה הגישה את הדוח שלה ביום 16.03.01</w:t>
      </w:r>
      <w:r w:rsidRPr="0004711E">
        <w:rPr>
          <w:rStyle w:val="a7"/>
          <w:rFonts w:cs="David"/>
          <w:sz w:val="28"/>
          <w:szCs w:val="28"/>
          <w:rtl/>
        </w:rPr>
        <w:footnoteReference w:id="298"/>
      </w:r>
      <w:r w:rsidRPr="0004711E">
        <w:rPr>
          <w:rFonts w:cs="David" w:hint="cs"/>
          <w:sz w:val="28"/>
          <w:szCs w:val="28"/>
          <w:rtl/>
        </w:rPr>
        <w:t xml:space="preserve">. לדברי הוועדה, היא לא זכתה לשיתוף פעולה ממדינת ישראל או ממועצת יש"ע, אליה פנתה גם כן כדי להשמיע </w:t>
      </w:r>
      <w:r>
        <w:rPr>
          <w:rFonts w:cs="David" w:hint="cs"/>
          <w:sz w:val="28"/>
          <w:szCs w:val="28"/>
          <w:rtl/>
        </w:rPr>
        <w:t xml:space="preserve">את </w:t>
      </w:r>
      <w:r w:rsidRPr="0004711E">
        <w:rPr>
          <w:rFonts w:cs="David" w:hint="cs"/>
          <w:sz w:val="28"/>
          <w:szCs w:val="28"/>
          <w:rtl/>
        </w:rPr>
        <w:t>דבריה. עם זאת, אפשרה מדינת ישראל את גישת הוועדה לשטח ולא הפריעה לעבודתה בכל דרך</w:t>
      </w:r>
      <w:r w:rsidRPr="0004711E">
        <w:rPr>
          <w:rStyle w:val="a7"/>
          <w:rFonts w:cs="David"/>
          <w:sz w:val="28"/>
          <w:szCs w:val="28"/>
          <w:rtl/>
        </w:rPr>
        <w:footnoteReference w:id="299"/>
      </w:r>
      <w:r w:rsidRPr="0004711E">
        <w:rPr>
          <w:rFonts w:cs="David" w:hint="cs"/>
          <w:sz w:val="28"/>
          <w:szCs w:val="28"/>
          <w:rtl/>
        </w:rPr>
        <w:t>.</w:t>
      </w:r>
    </w:p>
    <w:p w:rsidR="00A16FFD" w:rsidRPr="0004711E" w:rsidRDefault="00A16FFD" w:rsidP="00A16FFD">
      <w:pPr>
        <w:spacing w:after="0" w:line="360" w:lineRule="auto"/>
        <w:jc w:val="both"/>
        <w:rPr>
          <w:rFonts w:cs="David"/>
          <w:sz w:val="28"/>
          <w:szCs w:val="28"/>
          <w:rtl/>
        </w:rPr>
      </w:pPr>
    </w:p>
    <w:p w:rsidR="00A16FFD" w:rsidRPr="00C22118" w:rsidRDefault="00A16FFD" w:rsidP="00C22118">
      <w:pPr>
        <w:pStyle w:val="a9"/>
        <w:numPr>
          <w:ilvl w:val="0"/>
          <w:numId w:val="28"/>
        </w:numPr>
        <w:spacing w:after="0" w:line="360" w:lineRule="auto"/>
        <w:jc w:val="both"/>
        <w:outlineLvl w:val="1"/>
        <w:rPr>
          <w:rFonts w:cs="David"/>
          <w:b/>
          <w:bCs/>
          <w:sz w:val="28"/>
          <w:szCs w:val="28"/>
          <w:rtl/>
        </w:rPr>
      </w:pPr>
      <w:bookmarkStart w:id="88" w:name="_Toc456027354"/>
      <w:r w:rsidRPr="00C22118">
        <w:rPr>
          <w:rFonts w:cs="David" w:hint="cs"/>
          <w:b/>
          <w:bCs/>
          <w:sz w:val="28"/>
          <w:szCs w:val="28"/>
          <w:rtl/>
        </w:rPr>
        <w:t>הצוות לבירור העובדות על הקרב במחנה הפליטים בג'נין (2002)</w:t>
      </w:r>
      <w:bookmarkEnd w:id="88"/>
    </w:p>
    <w:p w:rsidR="00A16FFD" w:rsidRPr="0004711E" w:rsidRDefault="00A16FFD" w:rsidP="00A16FFD">
      <w:pPr>
        <w:spacing w:after="0" w:line="360" w:lineRule="auto"/>
        <w:jc w:val="both"/>
        <w:rPr>
          <w:rFonts w:cs="David"/>
          <w:sz w:val="28"/>
          <w:szCs w:val="28"/>
          <w:rtl/>
        </w:rPr>
      </w:pPr>
    </w:p>
    <w:p w:rsidR="00A16FFD" w:rsidRPr="0004711E" w:rsidRDefault="00A16FFD" w:rsidP="00A16FFD">
      <w:pPr>
        <w:spacing w:after="0" w:line="360" w:lineRule="auto"/>
        <w:jc w:val="both"/>
        <w:rPr>
          <w:rFonts w:cs="David"/>
          <w:sz w:val="28"/>
          <w:szCs w:val="28"/>
          <w:rtl/>
        </w:rPr>
      </w:pPr>
      <w:r w:rsidRPr="0004711E">
        <w:rPr>
          <w:rFonts w:cs="David" w:hint="cs"/>
          <w:sz w:val="28"/>
          <w:szCs w:val="28"/>
          <w:rtl/>
        </w:rPr>
        <w:t>הצוות לבירור העובדות (</w:t>
      </w:r>
      <w:r>
        <w:rPr>
          <w:rFonts w:cs="David" w:hint="cs"/>
          <w:sz w:val="28"/>
          <w:szCs w:val="28"/>
          <w:rtl/>
        </w:rPr>
        <w:t>בעבודה זו</w:t>
      </w:r>
      <w:r w:rsidRPr="0004711E">
        <w:rPr>
          <w:rFonts w:cs="David" w:hint="cs"/>
          <w:sz w:val="28"/>
          <w:szCs w:val="28"/>
          <w:rtl/>
        </w:rPr>
        <w:t xml:space="preserve"> </w:t>
      </w:r>
      <w:r w:rsidRPr="0004711E">
        <w:rPr>
          <w:rFonts w:cs="David"/>
          <w:sz w:val="28"/>
          <w:szCs w:val="28"/>
          <w:rtl/>
        </w:rPr>
        <w:t>–</w:t>
      </w:r>
      <w:r w:rsidRPr="0004711E">
        <w:rPr>
          <w:rFonts w:cs="David" w:hint="cs"/>
          <w:sz w:val="28"/>
          <w:szCs w:val="28"/>
          <w:rtl/>
        </w:rPr>
        <w:t xml:space="preserve"> ועדת ג'נין), בראשות מרטי אהטיסארי, נשיא פינלנד לשעבר וחתן פרס נובל לשלום, מונה </w:t>
      </w:r>
      <w:r>
        <w:rPr>
          <w:rFonts w:cs="David" w:hint="cs"/>
          <w:sz w:val="28"/>
          <w:szCs w:val="28"/>
          <w:rtl/>
        </w:rPr>
        <w:t>על ידי</w:t>
      </w:r>
      <w:r w:rsidRPr="0004711E">
        <w:rPr>
          <w:rFonts w:cs="David" w:hint="cs"/>
          <w:sz w:val="28"/>
          <w:szCs w:val="28"/>
          <w:rtl/>
        </w:rPr>
        <w:t xml:space="preserve"> מזכ"ל האו"ם, שקיבל את ברכת מועצת הביטחון למינוי הצוות ביום 19.04.02</w:t>
      </w:r>
      <w:r w:rsidRPr="0004711E">
        <w:rPr>
          <w:rStyle w:val="a7"/>
          <w:rFonts w:cs="David"/>
          <w:sz w:val="28"/>
          <w:szCs w:val="28"/>
          <w:rtl/>
        </w:rPr>
        <w:footnoteReference w:id="300"/>
      </w:r>
      <w:r w:rsidRPr="0004711E">
        <w:rPr>
          <w:rFonts w:cs="David" w:hint="cs"/>
          <w:sz w:val="28"/>
          <w:szCs w:val="28"/>
          <w:rtl/>
        </w:rPr>
        <w:t>. ממשלת ישראל מנעה את גישתו של הצוות לשטח, ובעקבות זאת הוחלט לפרק את הצוות</w:t>
      </w:r>
      <w:r w:rsidRPr="0004711E">
        <w:rPr>
          <w:rStyle w:val="a7"/>
          <w:rFonts w:cs="David"/>
          <w:sz w:val="28"/>
          <w:szCs w:val="28"/>
          <w:rtl/>
        </w:rPr>
        <w:footnoteReference w:id="301"/>
      </w:r>
      <w:r w:rsidRPr="0004711E">
        <w:rPr>
          <w:rFonts w:cs="David" w:hint="cs"/>
          <w:sz w:val="28"/>
          <w:szCs w:val="28"/>
          <w:rtl/>
        </w:rPr>
        <w:t xml:space="preserve">. ביום 07.05.02 גינתה העצרת הכללית את ישראל על סירובה לשתף פעולה עם ועדת ג'נין וביקשה </w:t>
      </w:r>
      <w:r w:rsidRPr="0004711E">
        <w:rPr>
          <w:rFonts w:cs="David" w:hint="cs"/>
          <w:sz w:val="28"/>
          <w:szCs w:val="28"/>
          <w:rtl/>
        </w:rPr>
        <w:lastRenderedPageBreak/>
        <w:t>מהמזכ"ל להגיש דוח על האירועים על סמך המידע הזמין</w:t>
      </w:r>
      <w:r w:rsidRPr="0004711E">
        <w:rPr>
          <w:rStyle w:val="a7"/>
          <w:rFonts w:cs="David"/>
          <w:sz w:val="28"/>
          <w:szCs w:val="28"/>
          <w:rtl/>
        </w:rPr>
        <w:footnoteReference w:id="302"/>
      </w:r>
      <w:r w:rsidRPr="0004711E">
        <w:rPr>
          <w:rFonts w:cs="David" w:hint="cs"/>
          <w:sz w:val="28"/>
          <w:szCs w:val="28"/>
          <w:rtl/>
        </w:rPr>
        <w:t>. בעקבות זאת, פרסם המזכ"ל דוח על האירועים על סמך מקורות המידע שהיו זמינים בעניין</w:t>
      </w:r>
      <w:bookmarkStart w:id="89" w:name="_Ref454790742"/>
      <w:r w:rsidRPr="0004711E">
        <w:rPr>
          <w:rStyle w:val="a7"/>
          <w:rFonts w:cs="David"/>
          <w:sz w:val="28"/>
          <w:szCs w:val="28"/>
          <w:rtl/>
        </w:rPr>
        <w:footnoteReference w:id="303"/>
      </w:r>
      <w:bookmarkEnd w:id="89"/>
      <w:r w:rsidRPr="0004711E">
        <w:rPr>
          <w:rFonts w:cs="David" w:hint="cs"/>
          <w:sz w:val="28"/>
          <w:szCs w:val="28"/>
          <w:rtl/>
        </w:rPr>
        <w:t>.</w:t>
      </w:r>
    </w:p>
    <w:p w:rsidR="00A16FFD" w:rsidRPr="0004711E" w:rsidRDefault="00A16FFD" w:rsidP="00A16FFD">
      <w:pPr>
        <w:spacing w:after="0" w:line="360" w:lineRule="auto"/>
        <w:jc w:val="both"/>
        <w:rPr>
          <w:rFonts w:cs="David"/>
          <w:sz w:val="28"/>
          <w:szCs w:val="28"/>
          <w:rtl/>
        </w:rPr>
      </w:pPr>
    </w:p>
    <w:p w:rsidR="00A16FFD" w:rsidRPr="00C22118" w:rsidRDefault="00A16FFD" w:rsidP="00C22118">
      <w:pPr>
        <w:pStyle w:val="a9"/>
        <w:numPr>
          <w:ilvl w:val="0"/>
          <w:numId w:val="28"/>
        </w:numPr>
        <w:spacing w:after="0" w:line="360" w:lineRule="auto"/>
        <w:jc w:val="both"/>
        <w:outlineLvl w:val="1"/>
        <w:rPr>
          <w:rFonts w:cs="David"/>
          <w:b/>
          <w:bCs/>
          <w:sz w:val="28"/>
          <w:szCs w:val="28"/>
          <w:rtl/>
        </w:rPr>
      </w:pPr>
      <w:bookmarkStart w:id="90" w:name="_Toc456027355"/>
      <w:r w:rsidRPr="00C22118">
        <w:rPr>
          <w:rFonts w:cs="David" w:hint="cs"/>
          <w:b/>
          <w:bCs/>
          <w:sz w:val="28"/>
          <w:szCs w:val="28"/>
          <w:rtl/>
        </w:rPr>
        <w:t>ועדת החקירה בעקבות מלחמת לבנון השנייה (2006)</w:t>
      </w:r>
      <w:bookmarkEnd w:id="90"/>
    </w:p>
    <w:p w:rsidR="00A16FFD" w:rsidRPr="0004711E" w:rsidRDefault="00A16FFD" w:rsidP="00A16FFD">
      <w:pPr>
        <w:spacing w:after="0" w:line="360" w:lineRule="auto"/>
        <w:jc w:val="both"/>
        <w:rPr>
          <w:rFonts w:cs="David"/>
          <w:sz w:val="28"/>
          <w:szCs w:val="28"/>
          <w:rtl/>
        </w:rPr>
      </w:pPr>
    </w:p>
    <w:p w:rsidR="00A16FFD" w:rsidRPr="0004711E" w:rsidRDefault="00A16FFD" w:rsidP="00A16FFD">
      <w:pPr>
        <w:spacing w:after="0" w:line="360" w:lineRule="auto"/>
        <w:jc w:val="both"/>
        <w:rPr>
          <w:rFonts w:cs="David"/>
          <w:sz w:val="28"/>
          <w:szCs w:val="28"/>
          <w:rtl/>
        </w:rPr>
      </w:pPr>
      <w:r w:rsidRPr="0004711E">
        <w:rPr>
          <w:rFonts w:cs="David" w:hint="cs"/>
          <w:sz w:val="28"/>
          <w:szCs w:val="28"/>
          <w:rtl/>
        </w:rPr>
        <w:t>הוועדה (</w:t>
      </w:r>
      <w:r>
        <w:rPr>
          <w:rFonts w:cs="David" w:hint="cs"/>
          <w:sz w:val="28"/>
          <w:szCs w:val="28"/>
          <w:rtl/>
        </w:rPr>
        <w:t>בעבודה זו</w:t>
      </w:r>
      <w:r w:rsidRPr="0004711E">
        <w:rPr>
          <w:rFonts w:cs="David" w:hint="cs"/>
          <w:sz w:val="28"/>
          <w:szCs w:val="28"/>
          <w:rtl/>
        </w:rPr>
        <w:t xml:space="preserve"> </w:t>
      </w:r>
      <w:r w:rsidRPr="0004711E">
        <w:rPr>
          <w:rFonts w:cs="David"/>
          <w:sz w:val="28"/>
          <w:szCs w:val="28"/>
          <w:rtl/>
        </w:rPr>
        <w:t>–</w:t>
      </w:r>
      <w:r w:rsidRPr="0004711E">
        <w:rPr>
          <w:rFonts w:cs="David" w:hint="cs"/>
          <w:sz w:val="28"/>
          <w:szCs w:val="28"/>
          <w:rtl/>
        </w:rPr>
        <w:t xml:space="preserve"> ועדת לבנון השנייה) מונתה </w:t>
      </w:r>
      <w:r>
        <w:rPr>
          <w:rFonts w:cs="David" w:hint="cs"/>
          <w:sz w:val="28"/>
          <w:szCs w:val="28"/>
          <w:rtl/>
        </w:rPr>
        <w:t>על ידי</w:t>
      </w:r>
      <w:r w:rsidRPr="0004711E">
        <w:rPr>
          <w:rFonts w:cs="David" w:hint="cs"/>
          <w:sz w:val="28"/>
          <w:szCs w:val="28"/>
          <w:rtl/>
        </w:rPr>
        <w:t xml:space="preserve"> מועצת זכויות האדם של האו"ם כ-</w:t>
      </w:r>
      <w:r w:rsidRPr="0004711E">
        <w:rPr>
          <w:rFonts w:cs="David"/>
          <w:sz w:val="28"/>
          <w:szCs w:val="28"/>
        </w:rPr>
        <w:t>COI</w:t>
      </w:r>
      <w:r w:rsidRPr="0004711E">
        <w:rPr>
          <w:rFonts w:cs="David" w:hint="cs"/>
          <w:sz w:val="28"/>
          <w:szCs w:val="28"/>
          <w:rtl/>
        </w:rPr>
        <w:t>, בהתאם להחלטת המועצה מיום 11.08.06</w:t>
      </w:r>
      <w:r w:rsidRPr="0004711E">
        <w:rPr>
          <w:rStyle w:val="a7"/>
          <w:rFonts w:cs="David"/>
          <w:sz w:val="28"/>
          <w:szCs w:val="28"/>
          <w:rtl/>
        </w:rPr>
        <w:footnoteReference w:id="304"/>
      </w:r>
      <w:r w:rsidRPr="0004711E">
        <w:rPr>
          <w:rFonts w:cs="David" w:hint="cs"/>
          <w:sz w:val="28"/>
          <w:szCs w:val="28"/>
          <w:rtl/>
        </w:rPr>
        <w:t xml:space="preserve">, עוד לפני סיומה של מלחמת לבנון השנייה. בראש הוועדה עמד </w:t>
      </w:r>
      <w:r w:rsidRPr="0004711E">
        <w:rPr>
          <w:rFonts w:cs="David"/>
          <w:sz w:val="28"/>
          <w:szCs w:val="28"/>
        </w:rPr>
        <w:t>Joao Clemente Baena Soares</w:t>
      </w:r>
      <w:r w:rsidRPr="0004711E">
        <w:rPr>
          <w:rFonts w:cs="David" w:hint="cs"/>
          <w:sz w:val="28"/>
          <w:szCs w:val="28"/>
          <w:rtl/>
        </w:rPr>
        <w:t xml:space="preserve"> מברזיל. המנדט שקיבלה היה "</w:t>
      </w:r>
      <w:r w:rsidRPr="0004711E">
        <w:rPr>
          <w:rFonts w:cs="David"/>
          <w:sz w:val="28"/>
          <w:szCs w:val="28"/>
        </w:rPr>
        <w:t>(a) to investigate the systematic targeting and killings of civilians by Israel in Lebanon; (b) to examine the types of weapons used by Israel and their conformity with international law; [and] (c) to assess the extent and deadly impact of Israeli attacks on human life, property, critical infrastructure and the environment</w:t>
      </w:r>
      <w:r w:rsidRPr="0004711E">
        <w:rPr>
          <w:rFonts w:cs="David" w:hint="cs"/>
          <w:sz w:val="28"/>
          <w:szCs w:val="28"/>
          <w:rtl/>
        </w:rPr>
        <w:t>". הוועדה הגישה את הדוח שלה ביום 23.11.06</w:t>
      </w:r>
      <w:bookmarkStart w:id="91" w:name="_Ref454786127"/>
      <w:r w:rsidRPr="0004711E">
        <w:rPr>
          <w:rStyle w:val="a7"/>
          <w:rFonts w:cs="David"/>
          <w:sz w:val="28"/>
          <w:szCs w:val="28"/>
          <w:rtl/>
        </w:rPr>
        <w:footnoteReference w:id="305"/>
      </w:r>
      <w:bookmarkEnd w:id="91"/>
      <w:r w:rsidRPr="0004711E">
        <w:rPr>
          <w:rFonts w:cs="David" w:hint="cs"/>
          <w:sz w:val="28"/>
          <w:szCs w:val="28"/>
          <w:rtl/>
        </w:rPr>
        <w:t>. הוועדה מציינת שלא זכתה לשיתוף פעולה מצד מדינת ישראל</w:t>
      </w:r>
      <w:r w:rsidRPr="0004711E">
        <w:rPr>
          <w:rStyle w:val="a7"/>
          <w:rFonts w:cs="David"/>
          <w:sz w:val="28"/>
          <w:szCs w:val="28"/>
          <w:rtl/>
        </w:rPr>
        <w:footnoteReference w:id="306"/>
      </w:r>
      <w:r w:rsidRPr="0004711E">
        <w:rPr>
          <w:rFonts w:cs="David" w:hint="cs"/>
          <w:sz w:val="28"/>
          <w:szCs w:val="28"/>
          <w:rtl/>
        </w:rPr>
        <w:t>.</w:t>
      </w:r>
    </w:p>
    <w:p w:rsidR="00A16FFD" w:rsidRPr="0004711E" w:rsidRDefault="00A16FFD" w:rsidP="00A16FFD">
      <w:pPr>
        <w:spacing w:after="0" w:line="360" w:lineRule="auto"/>
        <w:jc w:val="both"/>
        <w:rPr>
          <w:rFonts w:cs="David"/>
          <w:sz w:val="28"/>
          <w:szCs w:val="28"/>
          <w:rtl/>
        </w:rPr>
      </w:pPr>
    </w:p>
    <w:p w:rsidR="00A16FFD" w:rsidRPr="00C22118" w:rsidRDefault="00A16FFD" w:rsidP="00C22118">
      <w:pPr>
        <w:pStyle w:val="a9"/>
        <w:numPr>
          <w:ilvl w:val="0"/>
          <w:numId w:val="28"/>
        </w:numPr>
        <w:spacing w:after="0" w:line="360" w:lineRule="auto"/>
        <w:jc w:val="both"/>
        <w:outlineLvl w:val="1"/>
        <w:rPr>
          <w:rFonts w:cs="David"/>
          <w:b/>
          <w:bCs/>
          <w:sz w:val="28"/>
          <w:szCs w:val="28"/>
          <w:rtl/>
        </w:rPr>
      </w:pPr>
      <w:bookmarkStart w:id="92" w:name="_Toc456027356"/>
      <w:r w:rsidRPr="00C22118">
        <w:rPr>
          <w:rFonts w:cs="David" w:hint="cs"/>
          <w:b/>
          <w:bCs/>
          <w:sz w:val="28"/>
          <w:szCs w:val="28"/>
          <w:rtl/>
        </w:rPr>
        <w:t>ועדה לבירור עובדות האירוע בבית חנון (2006)</w:t>
      </w:r>
      <w:bookmarkEnd w:id="92"/>
    </w:p>
    <w:p w:rsidR="00A16FFD" w:rsidRPr="0004711E" w:rsidRDefault="00A16FFD" w:rsidP="00A16FFD">
      <w:pPr>
        <w:spacing w:after="0" w:line="360" w:lineRule="auto"/>
        <w:jc w:val="both"/>
        <w:rPr>
          <w:rFonts w:cs="David"/>
          <w:sz w:val="28"/>
          <w:szCs w:val="28"/>
          <w:rtl/>
        </w:rPr>
      </w:pPr>
    </w:p>
    <w:p w:rsidR="00A16FFD" w:rsidRPr="0004711E" w:rsidRDefault="00A16FFD" w:rsidP="00A16FFD">
      <w:pPr>
        <w:spacing w:after="0" w:line="360" w:lineRule="auto"/>
        <w:jc w:val="both"/>
        <w:rPr>
          <w:rFonts w:cs="David"/>
          <w:sz w:val="28"/>
          <w:szCs w:val="28"/>
          <w:rtl/>
        </w:rPr>
      </w:pPr>
      <w:r w:rsidRPr="0004711E">
        <w:rPr>
          <w:rFonts w:cs="David" w:hint="cs"/>
          <w:sz w:val="28"/>
          <w:szCs w:val="28"/>
          <w:rtl/>
        </w:rPr>
        <w:t>הוועדה (</w:t>
      </w:r>
      <w:r>
        <w:rPr>
          <w:rFonts w:cs="David" w:hint="cs"/>
          <w:sz w:val="28"/>
          <w:szCs w:val="28"/>
          <w:rtl/>
        </w:rPr>
        <w:t>בעבודה זו</w:t>
      </w:r>
      <w:r w:rsidRPr="0004711E">
        <w:rPr>
          <w:rFonts w:cs="David" w:hint="cs"/>
          <w:sz w:val="28"/>
          <w:szCs w:val="28"/>
          <w:rtl/>
        </w:rPr>
        <w:t xml:space="preserve"> </w:t>
      </w:r>
      <w:r w:rsidRPr="0004711E">
        <w:rPr>
          <w:rFonts w:cs="David"/>
          <w:sz w:val="28"/>
          <w:szCs w:val="28"/>
          <w:rtl/>
        </w:rPr>
        <w:t>–</w:t>
      </w:r>
      <w:r w:rsidRPr="0004711E">
        <w:rPr>
          <w:rFonts w:cs="David" w:hint="cs"/>
          <w:sz w:val="28"/>
          <w:szCs w:val="28"/>
          <w:rtl/>
        </w:rPr>
        <w:t xml:space="preserve"> ועדת בית חנון) מונתה </w:t>
      </w:r>
      <w:r>
        <w:rPr>
          <w:rFonts w:cs="David" w:hint="cs"/>
          <w:sz w:val="28"/>
          <w:szCs w:val="28"/>
          <w:rtl/>
        </w:rPr>
        <w:t>על ידי</w:t>
      </w:r>
      <w:r w:rsidRPr="0004711E">
        <w:rPr>
          <w:rFonts w:cs="David" w:hint="cs"/>
          <w:sz w:val="28"/>
          <w:szCs w:val="28"/>
          <w:rtl/>
        </w:rPr>
        <w:t xml:space="preserve"> מועצת זכויות האדם של האו"ם כ-</w:t>
      </w:r>
      <w:r w:rsidRPr="0004711E">
        <w:rPr>
          <w:rFonts w:cs="David"/>
          <w:sz w:val="28"/>
          <w:szCs w:val="28"/>
        </w:rPr>
        <w:t>FFM</w:t>
      </w:r>
      <w:r w:rsidRPr="0004711E">
        <w:rPr>
          <w:rFonts w:cs="David" w:hint="cs"/>
          <w:sz w:val="28"/>
          <w:szCs w:val="28"/>
          <w:rtl/>
        </w:rPr>
        <w:t>, בהתאם להחלטת המועצה מיום 15.11.06</w:t>
      </w:r>
      <w:r w:rsidRPr="0004711E">
        <w:rPr>
          <w:rStyle w:val="a7"/>
          <w:rFonts w:cs="David"/>
          <w:sz w:val="28"/>
          <w:szCs w:val="28"/>
          <w:rtl/>
        </w:rPr>
        <w:footnoteReference w:id="307"/>
      </w:r>
      <w:r w:rsidRPr="0004711E">
        <w:rPr>
          <w:rFonts w:cs="David" w:hint="cs"/>
          <w:sz w:val="28"/>
          <w:szCs w:val="28"/>
          <w:rtl/>
        </w:rPr>
        <w:t xml:space="preserve">, בעקבות אירוע מיום </w:t>
      </w:r>
      <w:r w:rsidRPr="0004711E">
        <w:rPr>
          <w:rFonts w:cs="David" w:hint="cs"/>
          <w:sz w:val="28"/>
          <w:szCs w:val="28"/>
          <w:rtl/>
        </w:rPr>
        <w:lastRenderedPageBreak/>
        <w:t xml:space="preserve">07.11.06, בו נהרגו </w:t>
      </w:r>
      <w:r>
        <w:rPr>
          <w:rFonts w:cs="David" w:hint="cs"/>
          <w:sz w:val="28"/>
          <w:szCs w:val="28"/>
          <w:rtl/>
        </w:rPr>
        <w:t>תשעה עשר</w:t>
      </w:r>
      <w:r w:rsidRPr="0004711E">
        <w:rPr>
          <w:rFonts w:cs="David" w:hint="cs"/>
          <w:sz w:val="28"/>
          <w:szCs w:val="28"/>
          <w:rtl/>
        </w:rPr>
        <w:t xml:space="preserve"> אזרחים בבית חנון ברצועת עזה כתוצאה מירי של צה"ל. בראש הוועדה עמד הארכיבישוף דזמונד טוטו מדרום אפריקה. המנדט שקיבלה הוועדה היה "</w:t>
      </w:r>
      <w:r w:rsidRPr="0004711E">
        <w:rPr>
          <w:rFonts w:cs="David"/>
          <w:sz w:val="28"/>
          <w:szCs w:val="28"/>
        </w:rPr>
        <w:t>to travel to Beit Hanoun to (a) assess the situation of victims; (b) address the needs of survivors; and (c) make recommendations on ways and means to protect Palestinian civilians against any further Israeli assaults</w:t>
      </w:r>
      <w:r w:rsidRPr="0004711E">
        <w:rPr>
          <w:rFonts w:cs="David" w:hint="cs"/>
          <w:sz w:val="28"/>
          <w:szCs w:val="28"/>
          <w:rtl/>
        </w:rPr>
        <w:t>". הוועדה הגישה את הדוח</w:t>
      </w:r>
      <w:r>
        <w:rPr>
          <w:rFonts w:cs="David" w:hint="cs"/>
          <w:sz w:val="28"/>
          <w:szCs w:val="28"/>
          <w:rtl/>
        </w:rPr>
        <w:t>ות</w:t>
      </w:r>
      <w:r w:rsidRPr="0004711E">
        <w:rPr>
          <w:rFonts w:cs="David" w:hint="cs"/>
          <w:sz w:val="28"/>
          <w:szCs w:val="28"/>
          <w:rtl/>
        </w:rPr>
        <w:t xml:space="preserve"> שלה ביום 18.06.07</w:t>
      </w:r>
      <w:r w:rsidRPr="0004711E">
        <w:rPr>
          <w:rStyle w:val="a7"/>
          <w:rFonts w:cs="David"/>
          <w:sz w:val="28"/>
          <w:szCs w:val="28"/>
          <w:rtl/>
        </w:rPr>
        <w:footnoteReference w:id="308"/>
      </w:r>
      <w:r w:rsidRPr="0004711E">
        <w:rPr>
          <w:rFonts w:cs="David" w:hint="cs"/>
          <w:sz w:val="28"/>
          <w:szCs w:val="28"/>
          <w:rtl/>
        </w:rPr>
        <w:t xml:space="preserve"> וביום 01.09.08</w:t>
      </w:r>
      <w:r w:rsidRPr="0004711E">
        <w:rPr>
          <w:rStyle w:val="a7"/>
          <w:rFonts w:cs="David"/>
          <w:sz w:val="28"/>
          <w:szCs w:val="28"/>
          <w:rtl/>
        </w:rPr>
        <w:footnoteReference w:id="309"/>
      </w:r>
      <w:r w:rsidRPr="0004711E">
        <w:rPr>
          <w:rFonts w:cs="David" w:hint="cs"/>
          <w:sz w:val="28"/>
          <w:szCs w:val="28"/>
          <w:rtl/>
        </w:rPr>
        <w:t xml:space="preserve">. הוועדה מציינת כי לא זכתה לשיתוף פעולה מצד ישראל ואף לא קיבלה רשות להיכנס לבית חנון מישראל. </w:t>
      </w:r>
      <w:r>
        <w:rPr>
          <w:rFonts w:cs="David" w:hint="cs"/>
          <w:sz w:val="28"/>
          <w:szCs w:val="28"/>
          <w:rtl/>
        </w:rPr>
        <w:t xml:space="preserve">לדברי הוועדה, </w:t>
      </w:r>
      <w:r w:rsidRPr="0004711E">
        <w:rPr>
          <w:rFonts w:cs="David" w:hint="cs"/>
          <w:sz w:val="28"/>
          <w:szCs w:val="28"/>
          <w:rtl/>
        </w:rPr>
        <w:t>הדבר גרם לעיכוב בהגשת הדוח ולא אפשר את איזון ההחלטה להקים את הוועדה, שנתפסה בישראל כבלתי מאוזנת</w:t>
      </w:r>
      <w:r w:rsidRPr="0004711E">
        <w:rPr>
          <w:rStyle w:val="a7"/>
          <w:rFonts w:cs="David"/>
          <w:sz w:val="28"/>
          <w:szCs w:val="28"/>
          <w:rtl/>
        </w:rPr>
        <w:footnoteReference w:id="310"/>
      </w:r>
      <w:r w:rsidRPr="0004711E">
        <w:rPr>
          <w:rFonts w:cs="David" w:hint="cs"/>
          <w:sz w:val="28"/>
          <w:szCs w:val="28"/>
          <w:rtl/>
        </w:rPr>
        <w:t xml:space="preserve">. </w:t>
      </w:r>
    </w:p>
    <w:p w:rsidR="00A16FFD" w:rsidRPr="0004711E" w:rsidRDefault="00A16FFD" w:rsidP="00A16FFD">
      <w:pPr>
        <w:spacing w:after="0" w:line="360" w:lineRule="auto"/>
        <w:jc w:val="both"/>
        <w:rPr>
          <w:rFonts w:cs="David"/>
          <w:sz w:val="28"/>
          <w:szCs w:val="28"/>
          <w:rtl/>
        </w:rPr>
      </w:pPr>
    </w:p>
    <w:p w:rsidR="00A16FFD" w:rsidRPr="00C22118" w:rsidRDefault="00A16FFD" w:rsidP="00C22118">
      <w:pPr>
        <w:pStyle w:val="a9"/>
        <w:numPr>
          <w:ilvl w:val="0"/>
          <w:numId w:val="28"/>
        </w:numPr>
        <w:spacing w:after="0" w:line="360" w:lineRule="auto"/>
        <w:jc w:val="both"/>
        <w:outlineLvl w:val="1"/>
        <w:rPr>
          <w:rFonts w:cs="David"/>
          <w:b/>
          <w:bCs/>
          <w:sz w:val="28"/>
          <w:szCs w:val="28"/>
          <w:rtl/>
        </w:rPr>
      </w:pPr>
      <w:bookmarkStart w:id="93" w:name="_Toc456027357"/>
      <w:r w:rsidRPr="00C22118">
        <w:rPr>
          <w:rFonts w:cs="David" w:hint="cs"/>
          <w:b/>
          <w:bCs/>
          <w:sz w:val="28"/>
          <w:szCs w:val="28"/>
          <w:rtl/>
        </w:rPr>
        <w:t>הוועדה לבירור עובדות העימות בעזה במבצע "עופרת יצוקה" (2009)</w:t>
      </w:r>
      <w:bookmarkEnd w:id="93"/>
    </w:p>
    <w:p w:rsidR="00A16FFD" w:rsidRPr="0004711E" w:rsidRDefault="00A16FFD" w:rsidP="00A16FFD">
      <w:pPr>
        <w:spacing w:after="0" w:line="360" w:lineRule="auto"/>
        <w:jc w:val="both"/>
        <w:rPr>
          <w:rFonts w:cs="David"/>
          <w:sz w:val="28"/>
          <w:szCs w:val="28"/>
          <w:rtl/>
        </w:rPr>
      </w:pPr>
    </w:p>
    <w:p w:rsidR="00A16FFD" w:rsidRPr="0004711E" w:rsidRDefault="00A16FFD" w:rsidP="00A16FFD">
      <w:pPr>
        <w:spacing w:after="0" w:line="360" w:lineRule="auto"/>
        <w:jc w:val="both"/>
        <w:rPr>
          <w:rFonts w:cs="David"/>
          <w:sz w:val="28"/>
          <w:szCs w:val="28"/>
          <w:rtl/>
        </w:rPr>
      </w:pPr>
      <w:r w:rsidRPr="0004711E">
        <w:rPr>
          <w:rFonts w:cs="David" w:hint="cs"/>
          <w:sz w:val="28"/>
          <w:szCs w:val="28"/>
          <w:rtl/>
        </w:rPr>
        <w:t>הוועדה, בראשות השופט ריצ'ארד גולדסטון מדרום אפריקה (</w:t>
      </w:r>
      <w:r>
        <w:rPr>
          <w:rFonts w:cs="David" w:hint="cs"/>
          <w:sz w:val="28"/>
          <w:szCs w:val="28"/>
          <w:rtl/>
        </w:rPr>
        <w:t>בעבודה זו</w:t>
      </w:r>
      <w:r w:rsidRPr="0004711E">
        <w:rPr>
          <w:rFonts w:cs="David" w:hint="cs"/>
          <w:sz w:val="28"/>
          <w:szCs w:val="28"/>
          <w:rtl/>
        </w:rPr>
        <w:t xml:space="preserve"> </w:t>
      </w:r>
      <w:r w:rsidRPr="0004711E">
        <w:rPr>
          <w:rFonts w:cs="David"/>
          <w:sz w:val="28"/>
          <w:szCs w:val="28"/>
          <w:rtl/>
        </w:rPr>
        <w:t>–</w:t>
      </w:r>
      <w:r w:rsidRPr="0004711E">
        <w:rPr>
          <w:rFonts w:cs="David" w:hint="cs"/>
          <w:sz w:val="28"/>
          <w:szCs w:val="28"/>
          <w:rtl/>
        </w:rPr>
        <w:t xml:space="preserve"> "ועדת גולדסטון"), מונתה </w:t>
      </w:r>
      <w:r>
        <w:rPr>
          <w:rFonts w:cs="David" w:hint="cs"/>
          <w:sz w:val="28"/>
          <w:szCs w:val="28"/>
          <w:rtl/>
        </w:rPr>
        <w:t>על ידי</w:t>
      </w:r>
      <w:r w:rsidRPr="0004711E">
        <w:rPr>
          <w:rFonts w:cs="David" w:hint="cs"/>
          <w:sz w:val="28"/>
          <w:szCs w:val="28"/>
          <w:rtl/>
        </w:rPr>
        <w:t xml:space="preserve"> מועצת זכויות האדם של האו"ם כ-</w:t>
      </w:r>
      <w:r w:rsidRPr="0004711E">
        <w:rPr>
          <w:rFonts w:cs="David" w:hint="cs"/>
          <w:sz w:val="28"/>
          <w:szCs w:val="28"/>
        </w:rPr>
        <w:t>FFM</w:t>
      </w:r>
      <w:r w:rsidRPr="0004711E">
        <w:rPr>
          <w:rFonts w:cs="David" w:hint="cs"/>
          <w:sz w:val="28"/>
          <w:szCs w:val="28"/>
          <w:rtl/>
        </w:rPr>
        <w:t>, בהתאם להחלטת המועצה מיום 12.01.09</w:t>
      </w:r>
      <w:r w:rsidRPr="0004711E">
        <w:rPr>
          <w:rStyle w:val="a7"/>
          <w:rFonts w:cs="David"/>
          <w:sz w:val="28"/>
          <w:szCs w:val="28"/>
          <w:rtl/>
        </w:rPr>
        <w:footnoteReference w:id="311"/>
      </w:r>
      <w:r w:rsidRPr="0004711E">
        <w:rPr>
          <w:rFonts w:cs="David" w:hint="cs"/>
          <w:sz w:val="28"/>
          <w:szCs w:val="28"/>
          <w:rtl/>
        </w:rPr>
        <w:t>, בשיאו של מבצע "עופרת יצוקה" אותו מונתה הוועדה לבדוק. המנדט המקורי שקיבלה הוועדה היה "</w:t>
      </w:r>
      <w:r w:rsidRPr="0004711E">
        <w:rPr>
          <w:rFonts w:cs="David"/>
          <w:sz w:val="28"/>
          <w:szCs w:val="28"/>
        </w:rPr>
        <w:t>to investigate all violations of international human rights law and international humanitarian law by the occupying Power, Israel, against the Palestinian people throughout the Occupied Palestinian Territory, particularly in the occupied Gaza Strip, due to the current aggression, and calls upon Israel not to obstruct the process of investigation and to fully cooperate with the mission;</w:t>
      </w:r>
      <w:r w:rsidRPr="0004711E">
        <w:rPr>
          <w:rFonts w:cs="David" w:hint="cs"/>
          <w:sz w:val="28"/>
          <w:szCs w:val="28"/>
          <w:rtl/>
        </w:rPr>
        <w:t xml:space="preserve">", אולם לאחר מכן שונה </w:t>
      </w:r>
      <w:r>
        <w:rPr>
          <w:rFonts w:cs="David" w:hint="cs"/>
          <w:sz w:val="28"/>
          <w:szCs w:val="28"/>
          <w:rtl/>
        </w:rPr>
        <w:t>על ידי</w:t>
      </w:r>
      <w:r w:rsidRPr="0004711E">
        <w:rPr>
          <w:rFonts w:cs="David" w:hint="cs"/>
          <w:sz w:val="28"/>
          <w:szCs w:val="28"/>
          <w:rtl/>
        </w:rPr>
        <w:t xml:space="preserve"> נשיא המועצה וצוטט בדוח הוועדה </w:t>
      </w:r>
      <w:r w:rsidRPr="0004711E">
        <w:rPr>
          <w:rFonts w:cs="David" w:hint="cs"/>
          <w:sz w:val="28"/>
          <w:szCs w:val="28"/>
          <w:rtl/>
        </w:rPr>
        <w:lastRenderedPageBreak/>
        <w:t>כדלקמן: "</w:t>
      </w:r>
      <w:r w:rsidRPr="0004711E">
        <w:rPr>
          <w:rFonts w:cs="David"/>
          <w:sz w:val="28"/>
          <w:szCs w:val="28"/>
        </w:rPr>
        <w:t>to investigate all violations of international human rights law and international humanitarian law that might have been committed at any time in the context of the military operations that were conducted in Gaza during the period from 27 December 2008 and 18 January 2009, whether before, during or after</w:t>
      </w:r>
      <w:r w:rsidRPr="0004711E">
        <w:rPr>
          <w:rFonts w:cs="David" w:hint="cs"/>
          <w:sz w:val="28"/>
          <w:szCs w:val="28"/>
          <w:rtl/>
        </w:rPr>
        <w:t>"</w:t>
      </w:r>
      <w:r w:rsidRPr="0004711E">
        <w:rPr>
          <w:rStyle w:val="a7"/>
          <w:rFonts w:cs="David"/>
          <w:sz w:val="28"/>
          <w:szCs w:val="28"/>
          <w:rtl/>
        </w:rPr>
        <w:footnoteReference w:id="312"/>
      </w:r>
      <w:r w:rsidRPr="0004711E">
        <w:rPr>
          <w:rFonts w:cs="David" w:hint="cs"/>
          <w:sz w:val="28"/>
          <w:szCs w:val="28"/>
          <w:rtl/>
        </w:rPr>
        <w:t>. הוועדה הגישה את הדוח שלה ביום 25.09.0</w:t>
      </w:r>
      <w:r>
        <w:rPr>
          <w:rFonts w:cs="David" w:hint="cs"/>
          <w:sz w:val="28"/>
          <w:szCs w:val="28"/>
          <w:rtl/>
        </w:rPr>
        <w:t>9</w:t>
      </w:r>
      <w:r w:rsidRPr="0004711E">
        <w:rPr>
          <w:rFonts w:cs="David" w:hint="cs"/>
          <w:sz w:val="28"/>
          <w:szCs w:val="28"/>
          <w:rtl/>
        </w:rPr>
        <w:t xml:space="preserve"> (</w:t>
      </w:r>
      <w:r>
        <w:rPr>
          <w:rFonts w:cs="David" w:hint="cs"/>
          <w:sz w:val="28"/>
          <w:szCs w:val="28"/>
          <w:rtl/>
        </w:rPr>
        <w:t>בעבודה זו</w:t>
      </w:r>
      <w:r w:rsidRPr="0004711E">
        <w:rPr>
          <w:rFonts w:cs="David" w:hint="cs"/>
          <w:sz w:val="28"/>
          <w:szCs w:val="28"/>
          <w:rtl/>
        </w:rPr>
        <w:t xml:space="preserve"> - דוח גולדסטון)</w:t>
      </w:r>
      <w:bookmarkStart w:id="94" w:name="_Ref454786290"/>
      <w:r w:rsidRPr="0004711E">
        <w:rPr>
          <w:rStyle w:val="a7"/>
          <w:rFonts w:cs="David"/>
          <w:sz w:val="28"/>
          <w:szCs w:val="28"/>
          <w:rtl/>
        </w:rPr>
        <w:footnoteReference w:id="313"/>
      </w:r>
      <w:bookmarkEnd w:id="94"/>
      <w:r w:rsidRPr="0004711E">
        <w:rPr>
          <w:rFonts w:cs="David" w:hint="cs"/>
          <w:sz w:val="28"/>
          <w:szCs w:val="28"/>
          <w:rtl/>
        </w:rPr>
        <w:t>. הוועדה מציינת כי לא זכתה לשיתוף פעולה מצדה של מדינת ישראל, אשר אף מנעה ממנה את הגישה למדינת ישראל ולשטחי יהודה ושומרון, וכן את הגישה לרצועת עזה מתוך מדינת ישראל.</w:t>
      </w:r>
    </w:p>
    <w:p w:rsidR="00A16FFD" w:rsidRPr="0004711E" w:rsidRDefault="00A16FFD" w:rsidP="00A16FFD">
      <w:pPr>
        <w:spacing w:after="0" w:line="360" w:lineRule="auto"/>
        <w:jc w:val="both"/>
        <w:rPr>
          <w:rFonts w:cs="David"/>
          <w:sz w:val="28"/>
          <w:szCs w:val="28"/>
          <w:rtl/>
        </w:rPr>
      </w:pPr>
    </w:p>
    <w:p w:rsidR="00A16FFD" w:rsidRPr="00C22118" w:rsidRDefault="00A16FFD" w:rsidP="00C22118">
      <w:pPr>
        <w:pStyle w:val="a9"/>
        <w:numPr>
          <w:ilvl w:val="0"/>
          <w:numId w:val="28"/>
        </w:numPr>
        <w:spacing w:after="0" w:line="360" w:lineRule="auto"/>
        <w:jc w:val="both"/>
        <w:outlineLvl w:val="1"/>
        <w:rPr>
          <w:rFonts w:cs="David"/>
          <w:b/>
          <w:bCs/>
          <w:sz w:val="28"/>
          <w:szCs w:val="28"/>
          <w:rtl/>
        </w:rPr>
      </w:pPr>
      <w:bookmarkStart w:id="95" w:name="_Toc456027358"/>
      <w:r w:rsidRPr="00C22118">
        <w:rPr>
          <w:rFonts w:cs="David" w:hint="cs"/>
          <w:b/>
          <w:bCs/>
          <w:sz w:val="28"/>
          <w:szCs w:val="28"/>
          <w:rtl/>
        </w:rPr>
        <w:t>ועדת החקירה בעקבות הפגיעות במתקני או"ם או באנשים ששהו בהם במהלך מבצע "עופרת יצוקה" (2009)</w:t>
      </w:r>
      <w:bookmarkEnd w:id="95"/>
    </w:p>
    <w:p w:rsidR="00A16FFD" w:rsidRPr="0004711E" w:rsidRDefault="00A16FFD" w:rsidP="00A16FFD">
      <w:pPr>
        <w:spacing w:after="0" w:line="360" w:lineRule="auto"/>
        <w:jc w:val="both"/>
        <w:rPr>
          <w:rFonts w:cs="David"/>
          <w:sz w:val="28"/>
          <w:szCs w:val="28"/>
          <w:rtl/>
        </w:rPr>
      </w:pPr>
    </w:p>
    <w:p w:rsidR="00A16FFD" w:rsidRPr="0004711E" w:rsidRDefault="00A16FFD" w:rsidP="00A16FFD">
      <w:pPr>
        <w:spacing w:after="0" w:line="360" w:lineRule="auto"/>
        <w:jc w:val="both"/>
        <w:rPr>
          <w:rFonts w:cs="David"/>
          <w:sz w:val="28"/>
          <w:szCs w:val="28"/>
          <w:rtl/>
        </w:rPr>
      </w:pPr>
      <w:r w:rsidRPr="0004711E">
        <w:rPr>
          <w:rFonts w:cs="David" w:hint="cs"/>
          <w:sz w:val="28"/>
          <w:szCs w:val="28"/>
          <w:rtl/>
        </w:rPr>
        <w:t xml:space="preserve">הוועדה הוקמה ביום 11.02.09 </w:t>
      </w:r>
      <w:r>
        <w:rPr>
          <w:rFonts w:cs="David" w:hint="cs"/>
          <w:sz w:val="28"/>
          <w:szCs w:val="28"/>
          <w:rtl/>
        </w:rPr>
        <w:t>על ידי</w:t>
      </w:r>
      <w:r w:rsidRPr="0004711E">
        <w:rPr>
          <w:rFonts w:cs="David" w:hint="cs"/>
          <w:sz w:val="28"/>
          <w:szCs w:val="28"/>
          <w:rtl/>
        </w:rPr>
        <w:t xml:space="preserve"> מזכ"ל האו"ם כדי לבחון </w:t>
      </w:r>
      <w:r>
        <w:rPr>
          <w:rFonts w:cs="David" w:hint="cs"/>
          <w:sz w:val="28"/>
          <w:szCs w:val="28"/>
          <w:rtl/>
        </w:rPr>
        <w:t>תשעה</w:t>
      </w:r>
      <w:r w:rsidRPr="0004711E">
        <w:rPr>
          <w:rFonts w:cs="David" w:hint="cs"/>
          <w:sz w:val="28"/>
          <w:szCs w:val="28"/>
          <w:rtl/>
        </w:rPr>
        <w:t xml:space="preserve"> אירועים ממבצע "עופרת יצוקה", בהם נפגעו מתקני או"ם או האנשים ששהו בהם. הוועדה הוקמה כ-</w:t>
      </w:r>
      <w:r w:rsidRPr="0004711E">
        <w:rPr>
          <w:rFonts w:cs="David" w:hint="cs"/>
          <w:sz w:val="28"/>
          <w:szCs w:val="28"/>
        </w:rPr>
        <w:t>BOI</w:t>
      </w:r>
      <w:r w:rsidRPr="0004711E">
        <w:rPr>
          <w:rFonts w:cs="David" w:hint="cs"/>
          <w:sz w:val="28"/>
          <w:szCs w:val="28"/>
          <w:rtl/>
        </w:rPr>
        <w:t>, בהתאם לנוהל שפורט לעיל בפרק "</w:t>
      </w:r>
      <w:r>
        <w:rPr>
          <w:rFonts w:cs="David" w:hint="cs"/>
          <w:sz w:val="28"/>
          <w:szCs w:val="28"/>
          <w:rtl/>
        </w:rPr>
        <w:t xml:space="preserve">ועדות חקירה </w:t>
      </w:r>
      <w:r w:rsidRPr="0004711E">
        <w:rPr>
          <w:rFonts w:cs="David" w:hint="cs"/>
          <w:sz w:val="28"/>
          <w:szCs w:val="28"/>
          <w:rtl/>
        </w:rPr>
        <w:t xml:space="preserve">בינלאומיות". הוועדה התבקשה </w:t>
      </w:r>
      <w:r>
        <w:rPr>
          <w:rFonts w:cs="David" w:hint="cs"/>
          <w:sz w:val="28"/>
          <w:szCs w:val="28"/>
          <w:rtl/>
        </w:rPr>
        <w:t>על ידי</w:t>
      </w:r>
      <w:r w:rsidRPr="0004711E">
        <w:rPr>
          <w:rFonts w:cs="David" w:hint="cs"/>
          <w:sz w:val="28"/>
          <w:szCs w:val="28"/>
          <w:rtl/>
        </w:rPr>
        <w:t xml:space="preserve"> המזכ"ל לבסס את העובדות הנוגעות לתשעת המקרים מבלי לקבוע קביעות משפטיות כלשהן. בראש הוועדה עמד יאן מרטין מבריטניה. הוועדה הגישה את הדוח שלה למזכ"ל ביום 21.04.09, והמזכ"ל מסר את תמצית הדוח למועצת הביטחון ולעצרת הכללית ביום 15.05.09</w:t>
      </w:r>
      <w:r w:rsidRPr="0004711E">
        <w:rPr>
          <w:rStyle w:val="a7"/>
          <w:rFonts w:cs="David"/>
          <w:sz w:val="28"/>
          <w:szCs w:val="28"/>
          <w:rtl/>
        </w:rPr>
        <w:footnoteReference w:id="314"/>
      </w:r>
      <w:r w:rsidRPr="0004711E">
        <w:rPr>
          <w:rFonts w:cs="David" w:hint="cs"/>
          <w:sz w:val="28"/>
          <w:szCs w:val="28"/>
          <w:rtl/>
        </w:rPr>
        <w:t>. הוועדה זכתה לשיתוף פעולה מלא מצד מדינת ישראל.</w:t>
      </w:r>
      <w:r>
        <w:rPr>
          <w:rFonts w:cs="David" w:hint="cs"/>
          <w:sz w:val="28"/>
          <w:szCs w:val="28"/>
          <w:rtl/>
        </w:rPr>
        <w:t xml:space="preserve"> בניגוד למנדט שלה, קבעה הוועדה גם קביעות משפטיות.</w:t>
      </w:r>
    </w:p>
    <w:p w:rsidR="00E057C9" w:rsidRDefault="00E057C9">
      <w:pPr>
        <w:bidi w:val="0"/>
        <w:rPr>
          <w:rFonts w:cs="David"/>
          <w:sz w:val="28"/>
          <w:szCs w:val="28"/>
          <w:rtl/>
        </w:rPr>
      </w:pPr>
      <w:r>
        <w:rPr>
          <w:rFonts w:cs="David"/>
          <w:sz w:val="28"/>
          <w:szCs w:val="28"/>
          <w:rtl/>
        </w:rPr>
        <w:br w:type="page"/>
      </w:r>
    </w:p>
    <w:p w:rsidR="00A16FFD" w:rsidRPr="00C22118" w:rsidRDefault="00A16FFD" w:rsidP="00C22118">
      <w:pPr>
        <w:pStyle w:val="a9"/>
        <w:numPr>
          <w:ilvl w:val="0"/>
          <w:numId w:val="28"/>
        </w:numPr>
        <w:spacing w:after="0" w:line="360" w:lineRule="auto"/>
        <w:jc w:val="both"/>
        <w:outlineLvl w:val="1"/>
        <w:rPr>
          <w:rFonts w:cs="David"/>
          <w:b/>
          <w:bCs/>
          <w:sz w:val="28"/>
          <w:szCs w:val="28"/>
          <w:rtl/>
        </w:rPr>
      </w:pPr>
      <w:bookmarkStart w:id="96" w:name="_Toc455336931"/>
      <w:bookmarkStart w:id="97" w:name="_Toc456027359"/>
      <w:bookmarkEnd w:id="96"/>
      <w:r w:rsidRPr="00C22118">
        <w:rPr>
          <w:rFonts w:cs="David" w:hint="cs"/>
          <w:b/>
          <w:bCs/>
          <w:sz w:val="28"/>
          <w:szCs w:val="28"/>
          <w:rtl/>
        </w:rPr>
        <w:lastRenderedPageBreak/>
        <w:t>ועדה של הליגה הערבית לבירור עובדות על עזה בעקבות מבצע "עופרת יצוקה" (2009)</w:t>
      </w:r>
      <w:bookmarkEnd w:id="97"/>
    </w:p>
    <w:p w:rsidR="00A16FFD" w:rsidRPr="0004711E" w:rsidRDefault="00A16FFD" w:rsidP="00A16FFD">
      <w:pPr>
        <w:spacing w:after="0" w:line="360" w:lineRule="auto"/>
        <w:jc w:val="both"/>
        <w:rPr>
          <w:rFonts w:cs="David"/>
          <w:sz w:val="28"/>
          <w:szCs w:val="28"/>
          <w:rtl/>
        </w:rPr>
      </w:pPr>
    </w:p>
    <w:p w:rsidR="00A16FFD" w:rsidRPr="0004711E" w:rsidRDefault="00A16FFD" w:rsidP="00A16FFD">
      <w:pPr>
        <w:spacing w:after="0" w:line="360" w:lineRule="auto"/>
        <w:jc w:val="both"/>
        <w:rPr>
          <w:rFonts w:cs="David"/>
          <w:sz w:val="28"/>
          <w:szCs w:val="28"/>
          <w:rtl/>
        </w:rPr>
      </w:pPr>
      <w:r w:rsidRPr="0004711E">
        <w:rPr>
          <w:rFonts w:cs="David" w:hint="cs"/>
          <w:sz w:val="28"/>
          <w:szCs w:val="28"/>
          <w:rtl/>
        </w:rPr>
        <w:t>בפברואר 2009 מינתה הליגה הערבית ועדה לבירור עובדות כדי "לחקור ולדווח על הפרות של דיני זכויות האדם והמשפט הבינלאומי ההומניטארי במהלך מבצע "עופרת יצוקה" בעזה ולאסוף מידע על האחריות לביצוע פשעים בינלאומיים במהלך המבצע". בראש הוועדה עמד פרופ</w:t>
      </w:r>
      <w:r>
        <w:rPr>
          <w:rFonts w:cs="David" w:hint="cs"/>
          <w:sz w:val="28"/>
          <w:szCs w:val="28"/>
          <w:rtl/>
        </w:rPr>
        <w:t>סור</w:t>
      </w:r>
      <w:r w:rsidRPr="0004711E">
        <w:rPr>
          <w:rFonts w:cs="David" w:hint="cs"/>
          <w:sz w:val="28"/>
          <w:szCs w:val="28"/>
          <w:rtl/>
        </w:rPr>
        <w:t xml:space="preserve"> ג'ון דוגארד מדרום אפריקה, ששימש כדווח המיוחד ל"שטחים הפלסטיניים הכבושים" של מועצת זכויות האדם עד לשנת 2008. הוועדה נכנסה לרצועת עזה דרך מעבר רפיח במצרים ופרסמה את הדוח שלה ביום 30.04.09</w:t>
      </w:r>
      <w:bookmarkStart w:id="98" w:name="_Ref454790351"/>
      <w:r w:rsidRPr="0004711E">
        <w:rPr>
          <w:rStyle w:val="a7"/>
          <w:rFonts w:cs="David"/>
          <w:sz w:val="28"/>
          <w:szCs w:val="28"/>
          <w:rtl/>
        </w:rPr>
        <w:footnoteReference w:id="315"/>
      </w:r>
      <w:bookmarkEnd w:id="98"/>
      <w:r w:rsidRPr="0004711E">
        <w:rPr>
          <w:rFonts w:cs="David" w:hint="cs"/>
          <w:sz w:val="28"/>
          <w:szCs w:val="28"/>
          <w:rtl/>
        </w:rPr>
        <w:t>. הוועדה ביקשה את שיתוף הפעולה של מדינת ישראל אך לא נענתה</w:t>
      </w:r>
      <w:r w:rsidRPr="0004711E">
        <w:rPr>
          <w:rStyle w:val="a7"/>
          <w:rFonts w:cs="David"/>
          <w:sz w:val="28"/>
          <w:szCs w:val="28"/>
          <w:rtl/>
        </w:rPr>
        <w:footnoteReference w:id="316"/>
      </w:r>
      <w:r w:rsidRPr="0004711E">
        <w:rPr>
          <w:rFonts w:cs="David" w:hint="cs"/>
          <w:sz w:val="28"/>
          <w:szCs w:val="28"/>
          <w:rtl/>
        </w:rPr>
        <w:t xml:space="preserve">. הוועדה מצאה שפשעי מלחמה בוצעו הן </w:t>
      </w:r>
      <w:r>
        <w:rPr>
          <w:rFonts w:cs="David" w:hint="cs"/>
          <w:sz w:val="28"/>
          <w:szCs w:val="28"/>
          <w:rtl/>
        </w:rPr>
        <w:t>על ידי</w:t>
      </w:r>
      <w:r w:rsidRPr="0004711E">
        <w:rPr>
          <w:rFonts w:cs="David" w:hint="cs"/>
          <w:sz w:val="28"/>
          <w:szCs w:val="28"/>
          <w:rtl/>
        </w:rPr>
        <w:t xml:space="preserve"> ישראל והן </w:t>
      </w:r>
      <w:r>
        <w:rPr>
          <w:rFonts w:cs="David" w:hint="cs"/>
          <w:sz w:val="28"/>
          <w:szCs w:val="28"/>
          <w:rtl/>
        </w:rPr>
        <w:t>על ידי</w:t>
      </w:r>
      <w:r w:rsidRPr="0004711E">
        <w:rPr>
          <w:rFonts w:cs="David" w:hint="cs"/>
          <w:sz w:val="28"/>
          <w:szCs w:val="28"/>
          <w:rtl/>
        </w:rPr>
        <w:t xml:space="preserve"> החמאס. כן קבעה הוועדה שישראל ביצעה פשעים נגד האנושות. הוועדה גם בחנה אם מדינת ישראל ביצעה רצח עם בעזה וקבעה כי הגם שניתן להוכיח את המעשה הפלילי (</w:t>
      </w:r>
      <w:r w:rsidRPr="0004711E">
        <w:rPr>
          <w:rFonts w:cs="David"/>
          <w:sz w:val="28"/>
          <w:szCs w:val="28"/>
        </w:rPr>
        <w:t>actus reus</w:t>
      </w:r>
      <w:r w:rsidRPr="0004711E">
        <w:rPr>
          <w:rFonts w:cs="David" w:hint="cs"/>
          <w:sz w:val="28"/>
          <w:szCs w:val="28"/>
          <w:rtl/>
        </w:rPr>
        <w:t>) של העברה, לא ניתן להוכיח את המחשבה הפלילית (</w:t>
      </w:r>
      <w:r w:rsidRPr="0004711E">
        <w:rPr>
          <w:rFonts w:cs="David"/>
          <w:sz w:val="28"/>
          <w:szCs w:val="28"/>
        </w:rPr>
        <w:t>mens rea</w:t>
      </w:r>
      <w:r w:rsidRPr="0004711E">
        <w:rPr>
          <w:rFonts w:cs="David" w:hint="cs"/>
          <w:sz w:val="28"/>
          <w:szCs w:val="28"/>
          <w:rtl/>
        </w:rPr>
        <w:t>) לגביה. יחד עם זאת, הוועדה מצאה שחלק ממעשי</w:t>
      </w:r>
      <w:r>
        <w:rPr>
          <w:rFonts w:cs="David" w:hint="cs"/>
          <w:sz w:val="28"/>
          <w:szCs w:val="28"/>
          <w:rtl/>
        </w:rPr>
        <w:t>ה</w:t>
      </w:r>
      <w:r w:rsidRPr="0004711E">
        <w:rPr>
          <w:rFonts w:cs="David" w:hint="cs"/>
          <w:sz w:val="28"/>
          <w:szCs w:val="28"/>
          <w:rtl/>
        </w:rPr>
        <w:t xml:space="preserve">ם של </w:t>
      </w:r>
      <w:r w:rsidRPr="0004711E">
        <w:rPr>
          <w:rFonts w:cs="David" w:hint="cs"/>
          <w:b/>
          <w:bCs/>
          <w:sz w:val="28"/>
          <w:szCs w:val="28"/>
          <w:rtl/>
        </w:rPr>
        <w:t>יחידים</w:t>
      </w:r>
      <w:r w:rsidRPr="0004711E">
        <w:rPr>
          <w:rFonts w:cs="David" w:hint="cs"/>
          <w:sz w:val="28"/>
          <w:szCs w:val="28"/>
          <w:rtl/>
        </w:rPr>
        <w:t xml:space="preserve"> בצה"ל מוכיחים שהייתה להם גם כוונה פלילית לביצוע רצח עם, והמליצה שבית הדין הבינלאומי לצדק יבחן אם הימנעותה של ישראל ממניעת פשעיהם והענשתם של אותם יחידים מובילה לאחריות של מדינת ישראל עצמה לפשע זה. הוועדה המליצה גם להפנות את המצב בעזה לבחינה של התובע של בית הדין הפלילי הבינלאומי, לצד שורה ארוכה של המלצות שמפנה הוועדה לגופים בינלאומיים מגוונים.</w:t>
      </w:r>
    </w:p>
    <w:p w:rsidR="00A16FFD" w:rsidRDefault="00A16FFD" w:rsidP="00A16FFD">
      <w:pPr>
        <w:spacing w:after="0" w:line="360" w:lineRule="auto"/>
        <w:jc w:val="both"/>
        <w:rPr>
          <w:rFonts w:cs="David"/>
          <w:b/>
          <w:bCs/>
          <w:sz w:val="28"/>
          <w:szCs w:val="28"/>
          <w:rtl/>
        </w:rPr>
      </w:pPr>
    </w:p>
    <w:p w:rsidR="00A16FFD" w:rsidRPr="00C22118" w:rsidRDefault="00A16FFD" w:rsidP="00C22118">
      <w:pPr>
        <w:pStyle w:val="a9"/>
        <w:numPr>
          <w:ilvl w:val="0"/>
          <w:numId w:val="28"/>
        </w:numPr>
        <w:spacing w:after="0" w:line="360" w:lineRule="auto"/>
        <w:jc w:val="both"/>
        <w:outlineLvl w:val="1"/>
        <w:rPr>
          <w:rFonts w:cs="David"/>
          <w:b/>
          <w:bCs/>
          <w:sz w:val="28"/>
          <w:szCs w:val="28"/>
          <w:rtl/>
        </w:rPr>
      </w:pPr>
      <w:bookmarkStart w:id="99" w:name="_Toc456027360"/>
      <w:r w:rsidRPr="00C22118">
        <w:rPr>
          <w:rFonts w:cs="David" w:hint="cs"/>
          <w:b/>
          <w:bCs/>
          <w:sz w:val="28"/>
          <w:szCs w:val="28"/>
          <w:rtl/>
        </w:rPr>
        <w:t>ועדת מומחים עצמאיים לבחינת ההליכים המשפטיים שננקטו בעקבות ועדת גולדסטון (2010)</w:t>
      </w:r>
      <w:bookmarkEnd w:id="99"/>
    </w:p>
    <w:p w:rsidR="00A16FFD" w:rsidRPr="0004711E" w:rsidRDefault="00A16FFD" w:rsidP="00A16FFD">
      <w:pPr>
        <w:spacing w:after="0" w:line="360" w:lineRule="auto"/>
        <w:jc w:val="both"/>
        <w:rPr>
          <w:rFonts w:cs="David"/>
          <w:sz w:val="28"/>
          <w:szCs w:val="28"/>
          <w:rtl/>
        </w:rPr>
      </w:pPr>
    </w:p>
    <w:p w:rsidR="00A16FFD" w:rsidRPr="0004711E" w:rsidRDefault="00A16FFD" w:rsidP="00A16FFD">
      <w:pPr>
        <w:spacing w:after="0" w:line="360" w:lineRule="auto"/>
        <w:jc w:val="both"/>
        <w:rPr>
          <w:rFonts w:cs="David"/>
          <w:sz w:val="28"/>
          <w:szCs w:val="28"/>
          <w:rtl/>
        </w:rPr>
      </w:pPr>
      <w:r w:rsidRPr="0004711E">
        <w:rPr>
          <w:rFonts w:cs="David" w:hint="cs"/>
          <w:sz w:val="28"/>
          <w:szCs w:val="28"/>
          <w:rtl/>
        </w:rPr>
        <w:t>הוועדה, בראשות פרופ' כריסטיאן טומושאט מגרמניה (</w:t>
      </w:r>
      <w:r>
        <w:rPr>
          <w:rFonts w:cs="David" w:hint="cs"/>
          <w:sz w:val="28"/>
          <w:szCs w:val="28"/>
          <w:rtl/>
        </w:rPr>
        <w:t>בעבודה זו</w:t>
      </w:r>
      <w:r w:rsidRPr="0004711E">
        <w:rPr>
          <w:rFonts w:cs="David" w:hint="cs"/>
          <w:sz w:val="28"/>
          <w:szCs w:val="28"/>
          <w:rtl/>
        </w:rPr>
        <w:t xml:space="preserve"> </w:t>
      </w:r>
      <w:r w:rsidRPr="0004711E">
        <w:rPr>
          <w:rFonts w:cs="David"/>
          <w:sz w:val="28"/>
          <w:szCs w:val="28"/>
          <w:rtl/>
        </w:rPr>
        <w:t>–</w:t>
      </w:r>
      <w:r w:rsidRPr="0004711E">
        <w:rPr>
          <w:rFonts w:cs="David" w:hint="cs"/>
          <w:sz w:val="28"/>
          <w:szCs w:val="28"/>
          <w:rtl/>
        </w:rPr>
        <w:t xml:space="preserve"> "ועדת טומושאט"), מונתה </w:t>
      </w:r>
      <w:r>
        <w:rPr>
          <w:rFonts w:cs="David" w:hint="cs"/>
          <w:sz w:val="28"/>
          <w:szCs w:val="28"/>
          <w:rtl/>
        </w:rPr>
        <w:t>על ידי</w:t>
      </w:r>
      <w:r w:rsidRPr="0004711E">
        <w:rPr>
          <w:rFonts w:cs="David" w:hint="cs"/>
          <w:sz w:val="28"/>
          <w:szCs w:val="28"/>
          <w:rtl/>
        </w:rPr>
        <w:t xml:space="preserve"> מועצת זכויות האדם של האו"ם כוועדת מומחים עצמאיים, בהתאם להחלטת המועצה מיום 25.03.10</w:t>
      </w:r>
      <w:r w:rsidRPr="0004711E">
        <w:rPr>
          <w:rStyle w:val="a7"/>
          <w:rFonts w:cs="David"/>
          <w:sz w:val="28"/>
          <w:szCs w:val="28"/>
          <w:rtl/>
        </w:rPr>
        <w:footnoteReference w:id="317"/>
      </w:r>
      <w:r w:rsidRPr="0004711E">
        <w:rPr>
          <w:rFonts w:cs="David" w:hint="cs"/>
          <w:sz w:val="28"/>
          <w:szCs w:val="28"/>
          <w:rtl/>
        </w:rPr>
        <w:t>. המנדט שקיבלה הוועדה היה "</w:t>
      </w:r>
      <w:r w:rsidRPr="0004711E">
        <w:rPr>
          <w:rFonts w:cs="David"/>
          <w:sz w:val="28"/>
          <w:szCs w:val="28"/>
        </w:rPr>
        <w:t xml:space="preserve">to monitor and assess any domestic, legal or other proceedings </w:t>
      </w:r>
      <w:r w:rsidRPr="0004711E">
        <w:rPr>
          <w:rFonts w:cs="David"/>
          <w:sz w:val="28"/>
          <w:szCs w:val="28"/>
        </w:rPr>
        <w:lastRenderedPageBreak/>
        <w:t>undertaken by both the Government of Israel and the Palestinian side, in the light of General Assembly resolution 64/254, including the independence, effectiveness, genuineness of these investigations and their conformity with international standards</w:t>
      </w:r>
      <w:r w:rsidRPr="0004711E">
        <w:rPr>
          <w:rFonts w:cs="David" w:hint="cs"/>
          <w:sz w:val="28"/>
          <w:szCs w:val="28"/>
          <w:rtl/>
        </w:rPr>
        <w:t>" (החלטת העצרת הכללית 64/254</w:t>
      </w:r>
      <w:r w:rsidRPr="0004711E">
        <w:rPr>
          <w:rStyle w:val="a7"/>
          <w:rFonts w:cs="David"/>
          <w:sz w:val="28"/>
          <w:szCs w:val="28"/>
          <w:rtl/>
        </w:rPr>
        <w:footnoteReference w:id="318"/>
      </w:r>
      <w:r>
        <w:rPr>
          <w:rFonts w:cs="David" w:hint="cs"/>
          <w:sz w:val="28"/>
          <w:szCs w:val="28"/>
          <w:rtl/>
        </w:rPr>
        <w:t>,</w:t>
      </w:r>
      <w:r w:rsidRPr="0004711E">
        <w:rPr>
          <w:rFonts w:cs="David" w:hint="cs"/>
          <w:sz w:val="28"/>
          <w:szCs w:val="28"/>
          <w:rtl/>
        </w:rPr>
        <w:t xml:space="preserve"> הנזכרת במנדט הוועדה</w:t>
      </w:r>
      <w:r>
        <w:rPr>
          <w:rFonts w:cs="David" w:hint="cs"/>
          <w:sz w:val="28"/>
          <w:szCs w:val="28"/>
          <w:rtl/>
        </w:rPr>
        <w:t>,</w:t>
      </w:r>
      <w:r w:rsidRPr="0004711E">
        <w:rPr>
          <w:rFonts w:cs="David" w:hint="cs"/>
          <w:sz w:val="28"/>
          <w:szCs w:val="28"/>
          <w:rtl/>
        </w:rPr>
        <w:t xml:space="preserve"> קראה לממשלת ישראל ולפלסטינים לחקור את האירועים הנזכרים בדוח גולדסטון). הוועדה הגישה את הדוח שלה ביום 23.09.10</w:t>
      </w:r>
      <w:r w:rsidRPr="0004711E">
        <w:rPr>
          <w:rStyle w:val="a7"/>
          <w:rFonts w:cs="David"/>
          <w:sz w:val="28"/>
          <w:szCs w:val="28"/>
          <w:rtl/>
        </w:rPr>
        <w:footnoteReference w:id="319"/>
      </w:r>
      <w:r w:rsidRPr="0004711E">
        <w:rPr>
          <w:rFonts w:cs="David" w:hint="cs"/>
          <w:sz w:val="28"/>
          <w:szCs w:val="28"/>
          <w:rtl/>
        </w:rPr>
        <w:t>. הוועדה ציינה שלא זכתה לשיתוף פעולה מצד מדינת ישראל</w:t>
      </w:r>
      <w:r w:rsidRPr="0004711E">
        <w:rPr>
          <w:rStyle w:val="a7"/>
          <w:rFonts w:cs="David"/>
          <w:sz w:val="28"/>
          <w:szCs w:val="28"/>
          <w:rtl/>
        </w:rPr>
        <w:footnoteReference w:id="320"/>
      </w:r>
      <w:r w:rsidRPr="0004711E">
        <w:rPr>
          <w:rFonts w:cs="David" w:hint="cs"/>
          <w:sz w:val="28"/>
          <w:szCs w:val="28"/>
          <w:rtl/>
        </w:rPr>
        <w:t>, ושהדבר הקשה</w:t>
      </w:r>
      <w:r>
        <w:rPr>
          <w:rFonts w:cs="David" w:hint="cs"/>
          <w:sz w:val="28"/>
          <w:szCs w:val="28"/>
          <w:rtl/>
        </w:rPr>
        <w:t xml:space="preserve"> על</w:t>
      </w:r>
      <w:r w:rsidRPr="0004711E">
        <w:rPr>
          <w:rFonts w:cs="David" w:hint="cs"/>
          <w:sz w:val="28"/>
          <w:szCs w:val="28"/>
          <w:rtl/>
        </w:rPr>
        <w:t xml:space="preserve"> הערכותיה ביחס לאופן בו מילאה ישראל אחר קריאת העצרת הכללית לחקור את האירועים בדוח גולדסטון</w:t>
      </w:r>
      <w:r w:rsidRPr="0004711E">
        <w:rPr>
          <w:rStyle w:val="a7"/>
          <w:rFonts w:cs="David"/>
          <w:sz w:val="28"/>
          <w:szCs w:val="28"/>
          <w:rtl/>
        </w:rPr>
        <w:footnoteReference w:id="321"/>
      </w:r>
      <w:r w:rsidRPr="0004711E">
        <w:rPr>
          <w:rFonts w:cs="David" w:hint="cs"/>
          <w:sz w:val="28"/>
          <w:szCs w:val="28"/>
          <w:rtl/>
        </w:rPr>
        <w:t>.</w:t>
      </w:r>
    </w:p>
    <w:p w:rsidR="00A16FFD" w:rsidRDefault="00A16FFD" w:rsidP="00A16FFD">
      <w:pPr>
        <w:spacing w:after="0" w:line="360" w:lineRule="auto"/>
        <w:jc w:val="both"/>
        <w:rPr>
          <w:rFonts w:cs="David"/>
          <w:sz w:val="28"/>
          <w:szCs w:val="28"/>
          <w:rtl/>
        </w:rPr>
      </w:pPr>
    </w:p>
    <w:p w:rsidR="00A16FFD" w:rsidRPr="00C22118" w:rsidRDefault="00A16FFD" w:rsidP="00C22118">
      <w:pPr>
        <w:pStyle w:val="a9"/>
        <w:numPr>
          <w:ilvl w:val="0"/>
          <w:numId w:val="28"/>
        </w:numPr>
        <w:spacing w:after="0" w:line="360" w:lineRule="auto"/>
        <w:jc w:val="both"/>
        <w:outlineLvl w:val="1"/>
        <w:rPr>
          <w:rFonts w:cs="David"/>
          <w:b/>
          <w:bCs/>
          <w:sz w:val="28"/>
          <w:szCs w:val="28"/>
          <w:rtl/>
        </w:rPr>
      </w:pPr>
      <w:bookmarkStart w:id="100" w:name="_Toc456027361"/>
      <w:r w:rsidRPr="00C22118">
        <w:rPr>
          <w:rFonts w:cs="David" w:hint="cs"/>
          <w:b/>
          <w:bCs/>
          <w:sz w:val="28"/>
          <w:szCs w:val="28"/>
          <w:rtl/>
        </w:rPr>
        <w:t>הוועדה הציבורית לבדיקת האירוע הימי מיום 31 במאי 2010 (ועדת טירקל) (2010)</w:t>
      </w:r>
      <w:bookmarkEnd w:id="100"/>
    </w:p>
    <w:p w:rsidR="00A16FFD" w:rsidRDefault="00A16FFD" w:rsidP="00A16FFD">
      <w:pPr>
        <w:spacing w:after="0" w:line="360" w:lineRule="auto"/>
        <w:jc w:val="both"/>
        <w:rPr>
          <w:rFonts w:cs="David"/>
          <w:sz w:val="28"/>
          <w:szCs w:val="28"/>
          <w:rtl/>
        </w:rPr>
      </w:pPr>
    </w:p>
    <w:p w:rsidR="00A16FFD" w:rsidRDefault="00A16FFD" w:rsidP="00A16FFD">
      <w:pPr>
        <w:spacing w:after="0" w:line="360" w:lineRule="auto"/>
        <w:jc w:val="both"/>
        <w:rPr>
          <w:rFonts w:ascii="Times New Roman" w:eastAsia="Times New Roman" w:hAnsi="Times New Roman" w:cs="David"/>
          <w:sz w:val="28"/>
          <w:szCs w:val="28"/>
          <w:rtl/>
        </w:rPr>
      </w:pPr>
      <w:r w:rsidRPr="007E1435">
        <w:rPr>
          <w:rFonts w:cs="David" w:hint="cs"/>
          <w:sz w:val="28"/>
          <w:szCs w:val="28"/>
          <w:rtl/>
        </w:rPr>
        <w:t>הוועדה הציבורית לבדיקת האירוע הימי מיום 31 במאי 2010 (</w:t>
      </w:r>
      <w:r>
        <w:rPr>
          <w:rFonts w:cs="David" w:hint="cs"/>
          <w:sz w:val="28"/>
          <w:szCs w:val="28"/>
          <w:rtl/>
        </w:rPr>
        <w:t xml:space="preserve">בעבודה זו - </w:t>
      </w:r>
      <w:r w:rsidRPr="007E1435">
        <w:rPr>
          <w:rFonts w:cs="David" w:hint="cs"/>
          <w:sz w:val="28"/>
          <w:szCs w:val="28"/>
          <w:rtl/>
        </w:rPr>
        <w:t>ועדת טירקל)</w:t>
      </w:r>
      <w:r>
        <w:rPr>
          <w:rFonts w:cs="David" w:hint="cs"/>
          <w:sz w:val="28"/>
          <w:szCs w:val="28"/>
          <w:rtl/>
        </w:rPr>
        <w:t xml:space="preserve"> מונתה בהתאם להחלטת ממשלת ישראל מיום 14.06.10 להקים ועדה ציבורית בלתי תלויה לבדיקת אירוע המשט מיום 31.05.10</w:t>
      </w:r>
      <w:r>
        <w:rPr>
          <w:rStyle w:val="a7"/>
          <w:rFonts w:cs="David"/>
          <w:sz w:val="28"/>
          <w:szCs w:val="28"/>
          <w:rtl/>
        </w:rPr>
        <w:footnoteReference w:id="322"/>
      </w:r>
      <w:r>
        <w:rPr>
          <w:rFonts w:cs="David" w:hint="cs"/>
          <w:sz w:val="28"/>
          <w:szCs w:val="28"/>
          <w:rtl/>
        </w:rPr>
        <w:t xml:space="preserve">. </w:t>
      </w:r>
      <w:r w:rsidRPr="00D72D61">
        <w:rPr>
          <w:rFonts w:ascii="Times New Roman" w:eastAsia="Times New Roman" w:hAnsi="Times New Roman" w:cs="David"/>
          <w:sz w:val="28"/>
          <w:szCs w:val="28"/>
          <w:rtl/>
        </w:rPr>
        <w:t>הוועדה </w:t>
      </w:r>
      <w:r w:rsidRPr="00D72D61">
        <w:rPr>
          <w:rFonts w:ascii="Times New Roman" w:eastAsia="Times New Roman" w:hAnsi="Times New Roman" w:cs="David" w:hint="cs"/>
          <w:sz w:val="28"/>
          <w:szCs w:val="28"/>
          <w:rtl/>
        </w:rPr>
        <w:t xml:space="preserve">התבקשה לבדוק </w:t>
      </w:r>
      <w:r>
        <w:rPr>
          <w:rFonts w:ascii="Times New Roman" w:eastAsia="Times New Roman" w:hAnsi="Times New Roman" w:cs="David" w:hint="cs"/>
          <w:sz w:val="28"/>
          <w:szCs w:val="28"/>
          <w:rtl/>
        </w:rPr>
        <w:t xml:space="preserve">את האירוע ולהגיש </w:t>
      </w:r>
      <w:r w:rsidRPr="00D72D61">
        <w:rPr>
          <w:rFonts w:ascii="Times New Roman" w:eastAsia="Times New Roman" w:hAnsi="Times New Roman" w:cs="David"/>
          <w:sz w:val="28"/>
          <w:szCs w:val="28"/>
          <w:rtl/>
        </w:rPr>
        <w:t>מסקנות בשאלה האם הפעולות </w:t>
      </w:r>
      <w:r w:rsidRPr="00D72D61">
        <w:rPr>
          <w:rFonts w:ascii="Times New Roman" w:eastAsia="Times New Roman" w:hAnsi="Times New Roman" w:cs="David" w:hint="cs"/>
          <w:sz w:val="28"/>
          <w:szCs w:val="28"/>
          <w:rtl/>
        </w:rPr>
        <w:t xml:space="preserve">למניעת המשט לעזה ביום 31 במאי 2010 </w:t>
      </w:r>
      <w:r w:rsidRPr="00D72D61">
        <w:rPr>
          <w:rFonts w:ascii="Times New Roman" w:eastAsia="Times New Roman" w:hAnsi="Times New Roman" w:cs="David"/>
          <w:sz w:val="28"/>
          <w:szCs w:val="28"/>
          <w:rtl/>
        </w:rPr>
        <w:t>ומטרותיהן, וכן עניינים נוספים הכרוכים בכך, תאמו את כללי המשפט הבינלאומי</w:t>
      </w:r>
      <w:r w:rsidRPr="00D72D61">
        <w:rPr>
          <w:rFonts w:ascii="Times New Roman" w:eastAsia="Times New Roman" w:hAnsi="Times New Roman" w:cs="David"/>
          <w:sz w:val="28"/>
          <w:szCs w:val="28"/>
        </w:rPr>
        <w:t>.</w:t>
      </w:r>
    </w:p>
    <w:p w:rsidR="00A16FFD" w:rsidRDefault="00A16FFD" w:rsidP="00A16FFD">
      <w:pPr>
        <w:spacing w:after="0" w:line="360" w:lineRule="auto"/>
        <w:jc w:val="both"/>
        <w:rPr>
          <w:rFonts w:ascii="Times New Roman" w:eastAsia="Times New Roman" w:hAnsi="Times New Roman" w:cs="David"/>
          <w:sz w:val="28"/>
          <w:szCs w:val="28"/>
          <w:rtl/>
        </w:rPr>
      </w:pPr>
    </w:p>
    <w:p w:rsidR="00A16FFD" w:rsidRDefault="00A16FFD" w:rsidP="00A16FFD">
      <w:pPr>
        <w:spacing w:after="0" w:line="360" w:lineRule="auto"/>
        <w:jc w:val="both"/>
        <w:rPr>
          <w:rFonts w:ascii="Times New Roman" w:eastAsia="Times New Roman" w:hAnsi="Times New Roman" w:cs="David"/>
          <w:sz w:val="28"/>
          <w:szCs w:val="28"/>
          <w:rtl/>
        </w:rPr>
      </w:pPr>
      <w:r w:rsidRPr="00D72D61">
        <w:rPr>
          <w:rFonts w:ascii="Times New Roman" w:eastAsia="Times New Roman" w:hAnsi="Times New Roman" w:cs="David"/>
          <w:sz w:val="28"/>
          <w:szCs w:val="28"/>
          <w:rtl/>
        </w:rPr>
        <w:t xml:space="preserve">לצורך זה הוועדה </w:t>
      </w:r>
      <w:r w:rsidRPr="00D72D61">
        <w:rPr>
          <w:rFonts w:ascii="Times New Roman" w:eastAsia="Times New Roman" w:hAnsi="Times New Roman" w:cs="David" w:hint="cs"/>
          <w:sz w:val="28"/>
          <w:szCs w:val="28"/>
          <w:rtl/>
        </w:rPr>
        <w:t>התבקשה לה</w:t>
      </w:r>
      <w:r w:rsidRPr="00D72D61">
        <w:rPr>
          <w:rFonts w:ascii="Times New Roman" w:eastAsia="Times New Roman" w:hAnsi="Times New Roman" w:cs="David"/>
          <w:sz w:val="28"/>
          <w:szCs w:val="28"/>
          <w:rtl/>
        </w:rPr>
        <w:t>תייחס לנושאים הבאים</w:t>
      </w:r>
      <w:r w:rsidRPr="00D72D61">
        <w:rPr>
          <w:rFonts w:ascii="Times New Roman" w:eastAsia="Times New Roman" w:hAnsi="Times New Roman" w:cs="David"/>
          <w:sz w:val="28"/>
          <w:szCs w:val="28"/>
        </w:rPr>
        <w:t>:</w:t>
      </w:r>
    </w:p>
    <w:p w:rsidR="00A16FFD" w:rsidRDefault="00A16FFD" w:rsidP="00A16FFD">
      <w:pPr>
        <w:spacing w:after="0" w:line="360" w:lineRule="auto"/>
        <w:jc w:val="both"/>
        <w:rPr>
          <w:rFonts w:ascii="Times New Roman" w:eastAsia="Times New Roman" w:hAnsi="Times New Roman" w:cs="David"/>
          <w:sz w:val="28"/>
          <w:szCs w:val="28"/>
          <w:rtl/>
        </w:rPr>
      </w:pPr>
    </w:p>
    <w:p w:rsidR="00A16FFD" w:rsidRPr="00D72D61" w:rsidRDefault="00A16FFD" w:rsidP="00A16FFD">
      <w:pPr>
        <w:pStyle w:val="a9"/>
        <w:numPr>
          <w:ilvl w:val="0"/>
          <w:numId w:val="11"/>
        </w:numPr>
        <w:spacing w:after="0" w:line="360" w:lineRule="auto"/>
        <w:jc w:val="both"/>
        <w:rPr>
          <w:rFonts w:ascii="Times New Roman" w:eastAsia="Times New Roman" w:hAnsi="Times New Roman" w:cs="David"/>
          <w:sz w:val="28"/>
          <w:szCs w:val="28"/>
          <w:rtl/>
        </w:rPr>
      </w:pPr>
      <w:r w:rsidRPr="00D72D61">
        <w:rPr>
          <w:rFonts w:ascii="Times New Roman" w:eastAsia="Times New Roman" w:hAnsi="Times New Roman" w:cs="David"/>
          <w:sz w:val="28"/>
          <w:szCs w:val="28"/>
          <w:rtl/>
        </w:rPr>
        <w:lastRenderedPageBreak/>
        <w:t>בחינת הנסיבות הביטחוניות להטלת הסגר הימי על רצועת</w:t>
      </w:r>
      <w:r>
        <w:rPr>
          <w:rFonts w:ascii="Times New Roman" w:eastAsia="Times New Roman" w:hAnsi="Times New Roman" w:cs="David"/>
          <w:sz w:val="28"/>
          <w:szCs w:val="28"/>
          <w:rtl/>
        </w:rPr>
        <w:t xml:space="preserve"> </w:t>
      </w:r>
      <w:r w:rsidRPr="00D72D61">
        <w:rPr>
          <w:rFonts w:ascii="Times New Roman" w:eastAsia="Times New Roman" w:hAnsi="Times New Roman" w:cs="David"/>
          <w:sz w:val="28"/>
          <w:szCs w:val="28"/>
          <w:rtl/>
        </w:rPr>
        <w:t>עזה</w:t>
      </w:r>
      <w:r>
        <w:rPr>
          <w:rFonts w:ascii="Times New Roman" w:eastAsia="Times New Roman" w:hAnsi="Times New Roman" w:cs="David"/>
          <w:sz w:val="28"/>
          <w:szCs w:val="28"/>
          <w:rtl/>
        </w:rPr>
        <w:t xml:space="preserve"> </w:t>
      </w:r>
      <w:r w:rsidRPr="00D72D61">
        <w:rPr>
          <w:rFonts w:ascii="Times New Roman" w:eastAsia="Times New Roman" w:hAnsi="Times New Roman" w:cs="David"/>
          <w:sz w:val="28"/>
          <w:szCs w:val="28"/>
          <w:rtl/>
        </w:rPr>
        <w:t>והתאמת</w:t>
      </w:r>
      <w:r>
        <w:rPr>
          <w:rFonts w:ascii="Times New Roman" w:eastAsia="Times New Roman" w:hAnsi="Times New Roman" w:cs="David"/>
          <w:sz w:val="28"/>
          <w:szCs w:val="28"/>
          <w:rtl/>
        </w:rPr>
        <w:t xml:space="preserve"> </w:t>
      </w:r>
      <w:r w:rsidRPr="00D72D61">
        <w:rPr>
          <w:rFonts w:ascii="Times New Roman" w:eastAsia="Times New Roman" w:hAnsi="Times New Roman" w:cs="David"/>
          <w:sz w:val="28"/>
          <w:szCs w:val="28"/>
          <w:rtl/>
        </w:rPr>
        <w:t>הסגר הימי</w:t>
      </w:r>
      <w:r>
        <w:rPr>
          <w:rFonts w:ascii="Times New Roman" w:eastAsia="Times New Roman" w:hAnsi="Times New Roman" w:cs="David"/>
          <w:sz w:val="28"/>
          <w:szCs w:val="28"/>
          <w:rtl/>
        </w:rPr>
        <w:t xml:space="preserve"> </w:t>
      </w:r>
      <w:r w:rsidRPr="00D72D61">
        <w:rPr>
          <w:rFonts w:ascii="Times New Roman" w:eastAsia="Times New Roman" w:hAnsi="Times New Roman" w:cs="David"/>
          <w:sz w:val="28"/>
          <w:szCs w:val="28"/>
          <w:rtl/>
        </w:rPr>
        <w:t>לכללי</w:t>
      </w:r>
      <w:r>
        <w:rPr>
          <w:rFonts w:ascii="Times New Roman" w:eastAsia="Times New Roman" w:hAnsi="Times New Roman" w:cs="David"/>
          <w:sz w:val="28"/>
          <w:szCs w:val="28"/>
          <w:rtl/>
        </w:rPr>
        <w:t xml:space="preserve"> </w:t>
      </w:r>
      <w:r w:rsidRPr="00D72D61">
        <w:rPr>
          <w:rFonts w:ascii="Times New Roman" w:eastAsia="Times New Roman" w:hAnsi="Times New Roman" w:cs="David"/>
          <w:sz w:val="28"/>
          <w:szCs w:val="28"/>
          <w:rtl/>
        </w:rPr>
        <w:t>המשפט הבינלאומי</w:t>
      </w:r>
      <w:r w:rsidRPr="00D72D61">
        <w:rPr>
          <w:rFonts w:ascii="Times New Roman" w:eastAsia="Times New Roman" w:hAnsi="Times New Roman" w:cs="David"/>
          <w:sz w:val="28"/>
          <w:szCs w:val="28"/>
        </w:rPr>
        <w:t>.</w:t>
      </w:r>
    </w:p>
    <w:p w:rsidR="00A16FFD" w:rsidRPr="00D72D61" w:rsidRDefault="00A16FFD" w:rsidP="00A16FFD">
      <w:pPr>
        <w:pStyle w:val="a9"/>
        <w:numPr>
          <w:ilvl w:val="0"/>
          <w:numId w:val="11"/>
        </w:numPr>
        <w:spacing w:after="0" w:line="360" w:lineRule="auto"/>
        <w:jc w:val="both"/>
        <w:rPr>
          <w:rFonts w:cs="David"/>
          <w:sz w:val="28"/>
          <w:szCs w:val="28"/>
        </w:rPr>
      </w:pPr>
      <w:r w:rsidRPr="00D72D61">
        <w:rPr>
          <w:rFonts w:ascii="Times New Roman" w:eastAsia="Times New Roman" w:hAnsi="Times New Roman" w:cs="David"/>
          <w:sz w:val="28"/>
          <w:szCs w:val="28"/>
          <w:rtl/>
        </w:rPr>
        <w:t>התאמת</w:t>
      </w:r>
      <w:r>
        <w:rPr>
          <w:rFonts w:ascii="Times New Roman" w:eastAsia="Times New Roman" w:hAnsi="Times New Roman" w:cs="David"/>
          <w:sz w:val="28"/>
          <w:szCs w:val="28"/>
          <w:rtl/>
        </w:rPr>
        <w:t xml:space="preserve"> </w:t>
      </w:r>
      <w:r w:rsidRPr="00D72D61">
        <w:rPr>
          <w:rFonts w:ascii="Times New Roman" w:eastAsia="Times New Roman" w:hAnsi="Times New Roman" w:cs="David"/>
          <w:sz w:val="28"/>
          <w:szCs w:val="28"/>
          <w:rtl/>
        </w:rPr>
        <w:t>הפעולות</w:t>
      </w:r>
      <w:r>
        <w:rPr>
          <w:rFonts w:ascii="Times New Roman" w:eastAsia="Times New Roman" w:hAnsi="Times New Roman" w:cs="David"/>
          <w:sz w:val="28"/>
          <w:szCs w:val="28"/>
          <w:rtl/>
        </w:rPr>
        <w:t xml:space="preserve"> </w:t>
      </w:r>
      <w:r w:rsidRPr="00D72D61">
        <w:rPr>
          <w:rFonts w:ascii="Times New Roman" w:eastAsia="Times New Roman" w:hAnsi="Times New Roman" w:cs="David"/>
          <w:sz w:val="28"/>
          <w:szCs w:val="28"/>
          <w:rtl/>
        </w:rPr>
        <w:t>שננקטו על ידי ישראל</w:t>
      </w:r>
      <w:r>
        <w:rPr>
          <w:rFonts w:ascii="Times New Roman" w:eastAsia="Times New Roman" w:hAnsi="Times New Roman" w:cs="David"/>
          <w:sz w:val="28"/>
          <w:szCs w:val="28"/>
          <w:rtl/>
        </w:rPr>
        <w:t xml:space="preserve"> </w:t>
      </w:r>
      <w:r w:rsidRPr="00D72D61">
        <w:rPr>
          <w:rFonts w:ascii="Times New Roman" w:eastAsia="Times New Roman" w:hAnsi="Times New Roman" w:cs="David"/>
          <w:sz w:val="28"/>
          <w:szCs w:val="28"/>
          <w:rtl/>
        </w:rPr>
        <w:t>לאכיפת הסגר</w:t>
      </w:r>
      <w:r>
        <w:rPr>
          <w:rFonts w:ascii="Times New Roman" w:eastAsia="Times New Roman" w:hAnsi="Times New Roman" w:cs="David"/>
          <w:sz w:val="28"/>
          <w:szCs w:val="28"/>
          <w:rtl/>
        </w:rPr>
        <w:t xml:space="preserve"> </w:t>
      </w:r>
      <w:r w:rsidRPr="00D72D61">
        <w:rPr>
          <w:rFonts w:ascii="Times New Roman" w:eastAsia="Times New Roman" w:hAnsi="Times New Roman" w:cs="David"/>
          <w:sz w:val="28"/>
          <w:szCs w:val="28"/>
          <w:rtl/>
        </w:rPr>
        <w:t>הימי</w:t>
      </w:r>
      <w:r>
        <w:rPr>
          <w:rFonts w:ascii="Times New Roman" w:eastAsia="Times New Roman" w:hAnsi="Times New Roman" w:cs="David"/>
          <w:sz w:val="28"/>
          <w:szCs w:val="28"/>
          <w:rtl/>
        </w:rPr>
        <w:t xml:space="preserve"> </w:t>
      </w:r>
      <w:r w:rsidRPr="00D72D61">
        <w:rPr>
          <w:rFonts w:ascii="Times New Roman" w:eastAsia="Times New Roman" w:hAnsi="Times New Roman" w:cs="David"/>
          <w:sz w:val="28"/>
          <w:szCs w:val="28"/>
          <w:rtl/>
        </w:rPr>
        <w:t>ביום 31 במאי 2010</w:t>
      </w:r>
      <w:r>
        <w:rPr>
          <w:rFonts w:ascii="Times New Roman" w:eastAsia="Times New Roman" w:hAnsi="Times New Roman" w:cs="David"/>
          <w:sz w:val="28"/>
          <w:szCs w:val="28"/>
          <w:rtl/>
        </w:rPr>
        <w:t xml:space="preserve"> </w:t>
      </w:r>
      <w:r w:rsidRPr="00D72D61">
        <w:rPr>
          <w:rFonts w:ascii="Times New Roman" w:eastAsia="Times New Roman" w:hAnsi="Times New Roman" w:cs="David"/>
          <w:sz w:val="28"/>
          <w:szCs w:val="28"/>
          <w:rtl/>
        </w:rPr>
        <w:t>לכללי</w:t>
      </w:r>
      <w:r>
        <w:rPr>
          <w:rFonts w:ascii="Times New Roman" w:eastAsia="Times New Roman" w:hAnsi="Times New Roman" w:cs="David"/>
          <w:sz w:val="28"/>
          <w:szCs w:val="28"/>
          <w:rtl/>
        </w:rPr>
        <w:t xml:space="preserve"> </w:t>
      </w:r>
      <w:r w:rsidRPr="00D72D61">
        <w:rPr>
          <w:rFonts w:ascii="Times New Roman" w:eastAsia="Times New Roman" w:hAnsi="Times New Roman" w:cs="David"/>
          <w:sz w:val="28"/>
          <w:szCs w:val="28"/>
          <w:rtl/>
        </w:rPr>
        <w:t>המשפט הבינלאומי</w:t>
      </w:r>
      <w:r w:rsidRPr="00D72D61">
        <w:rPr>
          <w:rFonts w:ascii="Times New Roman" w:eastAsia="Times New Roman" w:hAnsi="Times New Roman" w:cs="David"/>
          <w:sz w:val="28"/>
          <w:szCs w:val="28"/>
        </w:rPr>
        <w:t>. </w:t>
      </w:r>
    </w:p>
    <w:p w:rsidR="00A16FFD" w:rsidRPr="00D72D61" w:rsidRDefault="00A16FFD" w:rsidP="00A16FFD">
      <w:pPr>
        <w:pStyle w:val="a9"/>
        <w:numPr>
          <w:ilvl w:val="0"/>
          <w:numId w:val="11"/>
        </w:numPr>
        <w:spacing w:after="0" w:line="360" w:lineRule="auto"/>
        <w:jc w:val="both"/>
        <w:rPr>
          <w:rFonts w:cs="David"/>
          <w:sz w:val="28"/>
          <w:szCs w:val="28"/>
        </w:rPr>
      </w:pPr>
      <w:r w:rsidRPr="00D72D61">
        <w:rPr>
          <w:rFonts w:ascii="Times New Roman" w:eastAsia="Times New Roman" w:hAnsi="Times New Roman" w:cs="David"/>
          <w:sz w:val="28"/>
          <w:szCs w:val="28"/>
          <w:rtl/>
        </w:rPr>
        <w:t>בחינת</w:t>
      </w:r>
      <w:r>
        <w:rPr>
          <w:rFonts w:ascii="Times New Roman" w:eastAsia="Times New Roman" w:hAnsi="Times New Roman" w:cs="David"/>
          <w:sz w:val="28"/>
          <w:szCs w:val="28"/>
          <w:rtl/>
        </w:rPr>
        <w:t xml:space="preserve"> </w:t>
      </w:r>
      <w:r w:rsidRPr="00D72D61">
        <w:rPr>
          <w:rFonts w:ascii="Times New Roman" w:eastAsia="Times New Roman" w:hAnsi="Times New Roman" w:cs="David"/>
          <w:sz w:val="28"/>
          <w:szCs w:val="28"/>
          <w:rtl/>
        </w:rPr>
        <w:t>הפעולות</w:t>
      </w:r>
      <w:r>
        <w:rPr>
          <w:rFonts w:ascii="Times New Roman" w:eastAsia="Times New Roman" w:hAnsi="Times New Roman" w:cs="David"/>
          <w:sz w:val="28"/>
          <w:szCs w:val="28"/>
          <w:rtl/>
        </w:rPr>
        <w:t xml:space="preserve"> </w:t>
      </w:r>
      <w:r w:rsidRPr="00D72D61">
        <w:rPr>
          <w:rFonts w:ascii="Times New Roman" w:eastAsia="Times New Roman" w:hAnsi="Times New Roman" w:cs="David"/>
          <w:sz w:val="28"/>
          <w:szCs w:val="28"/>
          <w:rtl/>
        </w:rPr>
        <w:t>שננקטו על ידי</w:t>
      </w:r>
      <w:r>
        <w:rPr>
          <w:rFonts w:ascii="Times New Roman" w:eastAsia="Times New Roman" w:hAnsi="Times New Roman" w:cs="David"/>
          <w:sz w:val="28"/>
          <w:szCs w:val="28"/>
          <w:rtl/>
        </w:rPr>
        <w:t xml:space="preserve"> </w:t>
      </w:r>
      <w:r w:rsidRPr="00D72D61">
        <w:rPr>
          <w:rFonts w:ascii="Times New Roman" w:eastAsia="Times New Roman" w:hAnsi="Times New Roman" w:cs="David"/>
          <w:sz w:val="28"/>
          <w:szCs w:val="28"/>
          <w:rtl/>
        </w:rPr>
        <w:t>מארגני</w:t>
      </w:r>
      <w:r>
        <w:rPr>
          <w:rFonts w:ascii="Times New Roman" w:eastAsia="Times New Roman" w:hAnsi="Times New Roman" w:cs="David"/>
          <w:sz w:val="28"/>
          <w:szCs w:val="28"/>
          <w:rtl/>
        </w:rPr>
        <w:t xml:space="preserve"> </w:t>
      </w:r>
      <w:r w:rsidRPr="00D72D61">
        <w:rPr>
          <w:rFonts w:ascii="Times New Roman" w:eastAsia="Times New Roman" w:hAnsi="Times New Roman" w:cs="David"/>
          <w:sz w:val="28"/>
          <w:szCs w:val="28"/>
          <w:rtl/>
        </w:rPr>
        <w:t>המשט והמשתתפים בו וזהותם</w:t>
      </w:r>
      <w:r w:rsidRPr="00D72D61">
        <w:rPr>
          <w:rFonts w:ascii="Times New Roman" w:eastAsia="Times New Roman" w:hAnsi="Times New Roman" w:cs="David"/>
          <w:sz w:val="28"/>
          <w:szCs w:val="28"/>
        </w:rPr>
        <w:t>.</w:t>
      </w:r>
    </w:p>
    <w:p w:rsidR="00A16FFD" w:rsidRDefault="00A16FFD" w:rsidP="00A16FFD">
      <w:pPr>
        <w:spacing w:after="0" w:line="360" w:lineRule="auto"/>
        <w:ind w:left="360"/>
        <w:jc w:val="both"/>
        <w:rPr>
          <w:rFonts w:ascii="Times New Roman" w:eastAsia="Times New Roman" w:hAnsi="Times New Roman" w:cs="David"/>
          <w:sz w:val="28"/>
          <w:szCs w:val="28"/>
        </w:rPr>
      </w:pPr>
    </w:p>
    <w:p w:rsidR="00A16FFD" w:rsidRDefault="00A16FFD" w:rsidP="00A16FFD">
      <w:pPr>
        <w:spacing w:after="0" w:line="360" w:lineRule="auto"/>
        <w:ind w:left="360"/>
        <w:jc w:val="both"/>
        <w:rPr>
          <w:rFonts w:ascii="Times New Roman" w:eastAsia="Times New Roman" w:hAnsi="Times New Roman" w:cs="David"/>
          <w:sz w:val="28"/>
          <w:szCs w:val="28"/>
          <w:rtl/>
        </w:rPr>
      </w:pPr>
      <w:r w:rsidRPr="00D72D61">
        <w:rPr>
          <w:rFonts w:ascii="Times New Roman" w:eastAsia="Times New Roman" w:hAnsi="Times New Roman" w:cs="David"/>
          <w:sz w:val="28"/>
          <w:szCs w:val="28"/>
          <w:rtl/>
        </w:rPr>
        <w:t xml:space="preserve">כן </w:t>
      </w:r>
      <w:r w:rsidRPr="00D72D61">
        <w:rPr>
          <w:rFonts w:ascii="Times New Roman" w:eastAsia="Times New Roman" w:hAnsi="Times New Roman" w:cs="David" w:hint="cs"/>
          <w:sz w:val="28"/>
          <w:szCs w:val="28"/>
          <w:rtl/>
        </w:rPr>
        <w:t xml:space="preserve">התבקשה </w:t>
      </w:r>
      <w:r w:rsidRPr="00D72D61">
        <w:rPr>
          <w:rFonts w:ascii="Times New Roman" w:eastAsia="Times New Roman" w:hAnsi="Times New Roman" w:cs="David"/>
          <w:sz w:val="28"/>
          <w:szCs w:val="28"/>
          <w:rtl/>
        </w:rPr>
        <w:t xml:space="preserve">הוועדה </w:t>
      </w:r>
      <w:r w:rsidRPr="00D72D61">
        <w:rPr>
          <w:rFonts w:ascii="Times New Roman" w:eastAsia="Times New Roman" w:hAnsi="Times New Roman" w:cs="David" w:hint="cs"/>
          <w:sz w:val="28"/>
          <w:szCs w:val="28"/>
          <w:rtl/>
        </w:rPr>
        <w:t xml:space="preserve">לבחון </w:t>
      </w:r>
      <w:r w:rsidRPr="00D72D61">
        <w:rPr>
          <w:rFonts w:ascii="Times New Roman" w:eastAsia="Times New Roman" w:hAnsi="Times New Roman" w:cs="David"/>
          <w:sz w:val="28"/>
          <w:szCs w:val="28"/>
          <w:rtl/>
        </w:rPr>
        <w:t>את השאלה האם מנגנון הבדיקה והחקירה ביחס לתלונות וטענות המועלות בדבר הפרות של</w:t>
      </w:r>
      <w:r>
        <w:rPr>
          <w:rFonts w:ascii="Times New Roman" w:eastAsia="Times New Roman" w:hAnsi="Times New Roman" w:cs="David"/>
          <w:sz w:val="28"/>
          <w:szCs w:val="28"/>
          <w:rtl/>
        </w:rPr>
        <w:t xml:space="preserve"> </w:t>
      </w:r>
      <w:r w:rsidRPr="00D72D61">
        <w:rPr>
          <w:rFonts w:ascii="Times New Roman" w:eastAsia="Times New Roman" w:hAnsi="Times New Roman" w:cs="David"/>
          <w:sz w:val="28"/>
          <w:szCs w:val="28"/>
          <w:rtl/>
        </w:rPr>
        <w:t xml:space="preserve">דיני הלחימה, הנוהג בישראל באופן כללי, וכפי שהוא מיושם ביחס לאירוע </w:t>
      </w:r>
      <w:r w:rsidRPr="00D72D61">
        <w:rPr>
          <w:rFonts w:ascii="Times New Roman" w:eastAsia="Times New Roman" w:hAnsi="Times New Roman" w:cs="David" w:hint="cs"/>
          <w:sz w:val="28"/>
          <w:szCs w:val="28"/>
          <w:rtl/>
        </w:rPr>
        <w:t>המשט</w:t>
      </w:r>
      <w:r w:rsidRPr="00D72D61">
        <w:rPr>
          <w:rFonts w:ascii="Times New Roman" w:eastAsia="Times New Roman" w:hAnsi="Times New Roman" w:cs="David"/>
          <w:sz w:val="28"/>
          <w:szCs w:val="28"/>
          <w:rtl/>
        </w:rPr>
        <w:t>, תואם את חובותיה של מדינת ישראל בהתאם לכללי המשפט הבינלאומי</w:t>
      </w:r>
      <w:r w:rsidRPr="00D72D61">
        <w:rPr>
          <w:rFonts w:ascii="Times New Roman" w:eastAsia="Times New Roman" w:hAnsi="Times New Roman" w:cs="David"/>
          <w:sz w:val="28"/>
          <w:szCs w:val="28"/>
        </w:rPr>
        <w:t>.</w:t>
      </w:r>
    </w:p>
    <w:p w:rsidR="00A16FFD" w:rsidRDefault="00A16FFD" w:rsidP="00A16FFD">
      <w:pPr>
        <w:spacing w:after="0" w:line="360" w:lineRule="auto"/>
        <w:jc w:val="both"/>
        <w:rPr>
          <w:rFonts w:cs="David"/>
          <w:sz w:val="28"/>
          <w:szCs w:val="28"/>
          <w:rtl/>
        </w:rPr>
      </w:pPr>
    </w:p>
    <w:p w:rsidR="00A16FFD" w:rsidRDefault="00A16FFD" w:rsidP="00A16FFD">
      <w:pPr>
        <w:spacing w:after="0" w:line="360" w:lineRule="auto"/>
        <w:jc w:val="both"/>
        <w:rPr>
          <w:rFonts w:cs="David"/>
          <w:sz w:val="28"/>
          <w:szCs w:val="28"/>
          <w:rtl/>
        </w:rPr>
      </w:pPr>
      <w:r>
        <w:rPr>
          <w:rFonts w:cs="David" w:hint="cs"/>
          <w:sz w:val="28"/>
          <w:szCs w:val="28"/>
          <w:rtl/>
        </w:rPr>
        <w:t>הוועדה פרסמה שני דוחות:</w:t>
      </w:r>
    </w:p>
    <w:p w:rsidR="00A16FFD" w:rsidRDefault="00A16FFD" w:rsidP="00A16FFD">
      <w:pPr>
        <w:spacing w:after="0" w:line="360" w:lineRule="auto"/>
        <w:jc w:val="both"/>
        <w:rPr>
          <w:rFonts w:cs="David"/>
          <w:sz w:val="28"/>
          <w:szCs w:val="28"/>
          <w:rtl/>
        </w:rPr>
      </w:pPr>
    </w:p>
    <w:p w:rsidR="00A16FFD" w:rsidRDefault="00A16FFD" w:rsidP="00A16FFD">
      <w:pPr>
        <w:pStyle w:val="a9"/>
        <w:numPr>
          <w:ilvl w:val="0"/>
          <w:numId w:val="12"/>
        </w:numPr>
        <w:spacing w:after="0" w:line="360" w:lineRule="auto"/>
        <w:jc w:val="both"/>
        <w:rPr>
          <w:rFonts w:cs="David"/>
          <w:sz w:val="28"/>
          <w:szCs w:val="28"/>
        </w:rPr>
      </w:pPr>
      <w:r>
        <w:rPr>
          <w:rFonts w:cs="David" w:hint="cs"/>
          <w:sz w:val="28"/>
          <w:szCs w:val="28"/>
          <w:rtl/>
        </w:rPr>
        <w:t>בינואר 2011 הגישה הוועדה את חלקו הראשון של הדוח שלה, שנגע לחוקיות הסגר הימי על רצועת עזה ולפעולות לאכיפתו באירוע המשט</w:t>
      </w:r>
      <w:bookmarkStart w:id="101" w:name="_Ref455329587"/>
      <w:r>
        <w:rPr>
          <w:rStyle w:val="a7"/>
          <w:rFonts w:cs="David"/>
          <w:sz w:val="28"/>
          <w:szCs w:val="28"/>
          <w:rtl/>
        </w:rPr>
        <w:footnoteReference w:id="323"/>
      </w:r>
      <w:bookmarkEnd w:id="101"/>
      <w:r>
        <w:rPr>
          <w:rFonts w:cs="David" w:hint="cs"/>
          <w:sz w:val="28"/>
          <w:szCs w:val="28"/>
          <w:rtl/>
        </w:rPr>
        <w:t>;</w:t>
      </w:r>
    </w:p>
    <w:p w:rsidR="00A16FFD" w:rsidRPr="005D5AF7" w:rsidRDefault="00A16FFD" w:rsidP="00A16FFD">
      <w:pPr>
        <w:pStyle w:val="a9"/>
        <w:numPr>
          <w:ilvl w:val="0"/>
          <w:numId w:val="12"/>
        </w:numPr>
        <w:spacing w:after="0" w:line="360" w:lineRule="auto"/>
        <w:jc w:val="both"/>
        <w:rPr>
          <w:rFonts w:cs="David"/>
          <w:sz w:val="28"/>
          <w:szCs w:val="28"/>
          <w:rtl/>
        </w:rPr>
      </w:pPr>
      <w:r>
        <w:rPr>
          <w:rFonts w:cs="David" w:hint="cs"/>
          <w:sz w:val="28"/>
          <w:szCs w:val="28"/>
          <w:rtl/>
        </w:rPr>
        <w:t>בפברואר 2013 הגישה הוועדה את חלקה השני של הדוח שלה, בדבר הבדיקה והחקירה בישראל של תלונות וטענות בדבר הפרות של דיני הלחימה על פי המשפט הבינלאומי</w:t>
      </w:r>
      <w:r>
        <w:rPr>
          <w:rStyle w:val="a7"/>
          <w:rFonts w:cs="David"/>
          <w:sz w:val="28"/>
          <w:szCs w:val="28"/>
          <w:rtl/>
        </w:rPr>
        <w:footnoteReference w:id="324"/>
      </w:r>
      <w:r>
        <w:rPr>
          <w:rFonts w:cs="David" w:hint="cs"/>
          <w:sz w:val="28"/>
          <w:szCs w:val="28"/>
          <w:rtl/>
        </w:rPr>
        <w:t>.</w:t>
      </w:r>
    </w:p>
    <w:p w:rsidR="00A16FFD" w:rsidRPr="007E1435" w:rsidRDefault="00A16FFD" w:rsidP="00A16FFD">
      <w:pPr>
        <w:spacing w:after="0" w:line="360" w:lineRule="auto"/>
        <w:jc w:val="both"/>
        <w:rPr>
          <w:rFonts w:cs="David"/>
          <w:sz w:val="28"/>
          <w:szCs w:val="28"/>
          <w:rtl/>
        </w:rPr>
      </w:pPr>
    </w:p>
    <w:p w:rsidR="00A16FFD" w:rsidRPr="005D5AF7" w:rsidRDefault="00A16FFD" w:rsidP="00A16FFD">
      <w:pPr>
        <w:spacing w:after="0" w:line="360" w:lineRule="auto"/>
        <w:jc w:val="both"/>
        <w:rPr>
          <w:rFonts w:cs="David"/>
          <w:sz w:val="28"/>
          <w:szCs w:val="28"/>
          <w:rtl/>
        </w:rPr>
      </w:pPr>
      <w:r>
        <w:rPr>
          <w:rFonts w:cs="David" w:hint="cs"/>
          <w:sz w:val="28"/>
          <w:szCs w:val="28"/>
          <w:rtl/>
        </w:rPr>
        <w:t xml:space="preserve">מהאמור לעיל עולה בבירור כי ועדת טירקל </w:t>
      </w:r>
      <w:r>
        <w:rPr>
          <w:rFonts w:cs="David" w:hint="cs"/>
          <w:b/>
          <w:bCs/>
          <w:sz w:val="28"/>
          <w:szCs w:val="28"/>
          <w:rtl/>
        </w:rPr>
        <w:t>אינה ועדת חקירה בינלאומית</w:t>
      </w:r>
      <w:r>
        <w:rPr>
          <w:rFonts w:cs="David" w:hint="cs"/>
          <w:sz w:val="28"/>
          <w:szCs w:val="28"/>
          <w:rtl/>
        </w:rPr>
        <w:t xml:space="preserve"> כי אם ועדה ציבורית ישראלית. יחד עם זאת, בוועדה שותפו שני משקיפים בינלאומיים (לורד דיוויד טרימבל מבריטניה וקנת ווטקין מקנדה, שהוחלף לאחר מכן בפרופסור טים מקורמק מאוסטרליה). כן השתמשה הוועדה במספר יועצים מיוחדים בינלאומיים. הרכב הוועדה האמור ותוצרי עבודתה עוררו עניין רב ברחבי העולם וזכו לתהודה רחבה, והפכו את ההשפעה שלה להשפעה דומה לזו שיש לוועדת חקירה בינלאומית, אם לא למעלה מכך. לפיכך, הוועדה תוזכר בהקשרים שונים במסגרת עבודה זו, אך לא כוועדת חקירה בינלאומית.</w:t>
      </w:r>
    </w:p>
    <w:p w:rsidR="00A16FFD" w:rsidRPr="0004711E" w:rsidRDefault="00A16FFD" w:rsidP="00A16FFD">
      <w:pPr>
        <w:spacing w:after="0" w:line="360" w:lineRule="auto"/>
        <w:jc w:val="both"/>
        <w:rPr>
          <w:rFonts w:cs="David"/>
          <w:sz w:val="28"/>
          <w:szCs w:val="28"/>
          <w:rtl/>
        </w:rPr>
      </w:pPr>
    </w:p>
    <w:p w:rsidR="00A16FFD" w:rsidRPr="00C22118" w:rsidRDefault="00A16FFD" w:rsidP="00C22118">
      <w:pPr>
        <w:pStyle w:val="a9"/>
        <w:numPr>
          <w:ilvl w:val="0"/>
          <w:numId w:val="28"/>
        </w:numPr>
        <w:spacing w:after="0" w:line="360" w:lineRule="auto"/>
        <w:jc w:val="both"/>
        <w:outlineLvl w:val="1"/>
        <w:rPr>
          <w:rFonts w:cs="David"/>
          <w:b/>
          <w:bCs/>
          <w:sz w:val="28"/>
          <w:szCs w:val="28"/>
          <w:rtl/>
        </w:rPr>
      </w:pPr>
      <w:bookmarkStart w:id="102" w:name="_Toc456027362"/>
      <w:r w:rsidRPr="00C22118">
        <w:rPr>
          <w:rFonts w:cs="David" w:hint="cs"/>
          <w:b/>
          <w:bCs/>
          <w:sz w:val="28"/>
          <w:szCs w:val="28"/>
          <w:rtl/>
        </w:rPr>
        <w:lastRenderedPageBreak/>
        <w:t>ועדת מועצת זכויות האדם לבירור עובדות המשט לרצועת עזה (2010)</w:t>
      </w:r>
      <w:bookmarkEnd w:id="102"/>
    </w:p>
    <w:p w:rsidR="00A16FFD" w:rsidRPr="0004711E" w:rsidRDefault="00A16FFD" w:rsidP="00A16FFD">
      <w:pPr>
        <w:spacing w:after="0" w:line="360" w:lineRule="auto"/>
        <w:jc w:val="both"/>
        <w:rPr>
          <w:rFonts w:cs="David"/>
          <w:sz w:val="28"/>
          <w:szCs w:val="28"/>
          <w:rtl/>
        </w:rPr>
      </w:pPr>
    </w:p>
    <w:p w:rsidR="00A16FFD" w:rsidRPr="0004711E" w:rsidRDefault="00A16FFD" w:rsidP="00A16FFD">
      <w:pPr>
        <w:spacing w:after="0" w:line="360" w:lineRule="auto"/>
        <w:jc w:val="both"/>
        <w:rPr>
          <w:rFonts w:cs="David"/>
          <w:sz w:val="28"/>
          <w:szCs w:val="28"/>
          <w:rtl/>
        </w:rPr>
      </w:pPr>
      <w:r w:rsidRPr="0004711E">
        <w:rPr>
          <w:rFonts w:cs="David" w:hint="cs"/>
          <w:sz w:val="28"/>
          <w:szCs w:val="28"/>
          <w:rtl/>
        </w:rPr>
        <w:t>הוועדה, בראשות השופט קארל האדסון-פיליפס מטרינידד וטובגו (</w:t>
      </w:r>
      <w:r>
        <w:rPr>
          <w:rFonts w:cs="David" w:hint="cs"/>
          <w:sz w:val="28"/>
          <w:szCs w:val="28"/>
          <w:rtl/>
        </w:rPr>
        <w:t>בעבודה זו</w:t>
      </w:r>
      <w:r w:rsidRPr="0004711E">
        <w:rPr>
          <w:rFonts w:cs="David" w:hint="cs"/>
          <w:sz w:val="28"/>
          <w:szCs w:val="28"/>
          <w:rtl/>
        </w:rPr>
        <w:t xml:space="preserve"> </w:t>
      </w:r>
      <w:r w:rsidRPr="0004711E">
        <w:rPr>
          <w:rFonts w:cs="David"/>
          <w:sz w:val="28"/>
          <w:szCs w:val="28"/>
          <w:rtl/>
        </w:rPr>
        <w:t>–</w:t>
      </w:r>
      <w:r w:rsidRPr="0004711E">
        <w:rPr>
          <w:rFonts w:cs="David" w:hint="cs"/>
          <w:sz w:val="28"/>
          <w:szCs w:val="28"/>
          <w:rtl/>
        </w:rPr>
        <w:t xml:space="preserve"> ועדת האדסון-פיליפס), מונתה </w:t>
      </w:r>
      <w:r>
        <w:rPr>
          <w:rFonts w:cs="David" w:hint="cs"/>
          <w:sz w:val="28"/>
          <w:szCs w:val="28"/>
          <w:rtl/>
        </w:rPr>
        <w:t>על ידי</w:t>
      </w:r>
      <w:r w:rsidRPr="0004711E">
        <w:rPr>
          <w:rFonts w:cs="David" w:hint="cs"/>
          <w:sz w:val="28"/>
          <w:szCs w:val="28"/>
          <w:rtl/>
        </w:rPr>
        <w:t xml:space="preserve"> מועצת זכויות האדם של האו"ם כ-</w:t>
      </w:r>
      <w:r w:rsidRPr="0004711E">
        <w:rPr>
          <w:rFonts w:cs="David"/>
          <w:sz w:val="28"/>
          <w:szCs w:val="28"/>
        </w:rPr>
        <w:t>FFM</w:t>
      </w:r>
      <w:r w:rsidRPr="0004711E">
        <w:rPr>
          <w:rFonts w:cs="David" w:hint="cs"/>
          <w:sz w:val="28"/>
          <w:szCs w:val="28"/>
          <w:rtl/>
        </w:rPr>
        <w:t>, בהתאם להחלטת המועצה מיום 02.06.10</w:t>
      </w:r>
      <w:r w:rsidRPr="0004711E">
        <w:rPr>
          <w:rStyle w:val="a7"/>
          <w:rFonts w:cs="David"/>
          <w:sz w:val="28"/>
          <w:szCs w:val="28"/>
          <w:rtl/>
        </w:rPr>
        <w:footnoteReference w:id="325"/>
      </w:r>
      <w:r w:rsidRPr="0004711E">
        <w:rPr>
          <w:rFonts w:cs="David" w:hint="cs"/>
          <w:sz w:val="28"/>
          <w:szCs w:val="28"/>
          <w:rtl/>
        </w:rPr>
        <w:t xml:space="preserve">, בעקבות אירוע ההשתלטות על המשט התורכי לרצועת עזה מיום 31.05.10, בו נהרגו </w:t>
      </w:r>
      <w:r>
        <w:rPr>
          <w:rFonts w:cs="David" w:hint="cs"/>
          <w:sz w:val="28"/>
          <w:szCs w:val="28"/>
          <w:rtl/>
        </w:rPr>
        <w:t>תשעה</w:t>
      </w:r>
      <w:r w:rsidRPr="0004711E">
        <w:rPr>
          <w:rFonts w:cs="David" w:hint="cs"/>
          <w:sz w:val="28"/>
          <w:szCs w:val="28"/>
          <w:rtl/>
        </w:rPr>
        <w:t xml:space="preserve"> אזרחים תורכים במהלך השתלטות של צה"ל על הספינה "מאווי מרמרה". המנדט שקיבלה הוועדה היה "</w:t>
      </w:r>
      <w:r w:rsidRPr="0004711E">
        <w:rPr>
          <w:rFonts w:cs="David"/>
          <w:sz w:val="28"/>
          <w:szCs w:val="28"/>
        </w:rPr>
        <w:t>to investigate violations of international law, including international humanitarian and human rights law, resulting from the Israeli attacks on the flotilla of ships carrying humanitarian assistance</w:t>
      </w:r>
      <w:r w:rsidRPr="0004711E">
        <w:rPr>
          <w:rFonts w:cs="David" w:hint="cs"/>
          <w:sz w:val="28"/>
          <w:szCs w:val="28"/>
          <w:rtl/>
        </w:rPr>
        <w:t>". הוועדה הגישה את הדוח שלה למועצה ביום 27.09.10</w:t>
      </w:r>
      <w:bookmarkStart w:id="103" w:name="_Ref454787217"/>
      <w:r w:rsidRPr="0004711E">
        <w:rPr>
          <w:rStyle w:val="a7"/>
          <w:rFonts w:cs="David"/>
          <w:sz w:val="28"/>
          <w:szCs w:val="28"/>
          <w:rtl/>
        </w:rPr>
        <w:footnoteReference w:id="326"/>
      </w:r>
      <w:bookmarkEnd w:id="103"/>
      <w:r w:rsidRPr="0004711E">
        <w:rPr>
          <w:rFonts w:cs="David" w:hint="cs"/>
          <w:sz w:val="28"/>
          <w:szCs w:val="28"/>
          <w:rtl/>
        </w:rPr>
        <w:t xml:space="preserve">. הוועדה ציינה כי ישראל סירבה לשתף עמה פעולה וביקשה </w:t>
      </w:r>
      <w:r>
        <w:rPr>
          <w:rFonts w:cs="David" w:hint="cs"/>
          <w:sz w:val="28"/>
          <w:szCs w:val="28"/>
          <w:rtl/>
        </w:rPr>
        <w:t xml:space="preserve">מהוועדה </w:t>
      </w:r>
      <w:r w:rsidRPr="0004711E">
        <w:rPr>
          <w:rFonts w:cs="David" w:hint="cs"/>
          <w:sz w:val="28"/>
          <w:szCs w:val="28"/>
          <w:rtl/>
        </w:rPr>
        <w:t>כי תעכב את פרסום הדוח שלה עד לפרסום דוח טירקל ודוח מזכ"ל האו"ם באותה פרשה</w:t>
      </w:r>
      <w:r w:rsidRPr="0004711E">
        <w:rPr>
          <w:rStyle w:val="a7"/>
          <w:rFonts w:cs="David"/>
          <w:sz w:val="28"/>
          <w:szCs w:val="28"/>
          <w:rtl/>
        </w:rPr>
        <w:footnoteReference w:id="327"/>
      </w:r>
      <w:r w:rsidRPr="0004711E">
        <w:rPr>
          <w:rFonts w:cs="David" w:hint="cs"/>
          <w:sz w:val="28"/>
          <w:szCs w:val="28"/>
          <w:rtl/>
        </w:rPr>
        <w:t>.</w:t>
      </w:r>
    </w:p>
    <w:p w:rsidR="00A16FFD" w:rsidRPr="0004711E" w:rsidRDefault="00A16FFD" w:rsidP="00A16FFD">
      <w:pPr>
        <w:spacing w:after="0" w:line="360" w:lineRule="auto"/>
        <w:jc w:val="both"/>
        <w:rPr>
          <w:rFonts w:cs="David"/>
          <w:sz w:val="28"/>
          <w:szCs w:val="28"/>
          <w:rtl/>
        </w:rPr>
      </w:pPr>
    </w:p>
    <w:p w:rsidR="00A16FFD" w:rsidRPr="00C22118" w:rsidRDefault="00A16FFD" w:rsidP="00C22118">
      <w:pPr>
        <w:pStyle w:val="a9"/>
        <w:numPr>
          <w:ilvl w:val="0"/>
          <w:numId w:val="28"/>
        </w:numPr>
        <w:spacing w:after="0" w:line="360" w:lineRule="auto"/>
        <w:jc w:val="both"/>
        <w:outlineLvl w:val="1"/>
        <w:rPr>
          <w:rFonts w:cs="David"/>
          <w:b/>
          <w:bCs/>
          <w:sz w:val="28"/>
          <w:szCs w:val="28"/>
          <w:rtl/>
        </w:rPr>
      </w:pPr>
      <w:bookmarkStart w:id="104" w:name="_Toc456027363"/>
      <w:r w:rsidRPr="00C22118">
        <w:rPr>
          <w:rFonts w:cs="David" w:hint="cs"/>
          <w:b/>
          <w:bCs/>
          <w:sz w:val="28"/>
          <w:szCs w:val="28"/>
          <w:rtl/>
        </w:rPr>
        <w:t>ועדת מזכ"ל האו"ם לחקירת המשט לרצועת עזה (2010)</w:t>
      </w:r>
      <w:bookmarkEnd w:id="104"/>
    </w:p>
    <w:p w:rsidR="00A16FFD" w:rsidRPr="0004711E" w:rsidRDefault="00A16FFD" w:rsidP="00A16FFD">
      <w:pPr>
        <w:spacing w:after="0" w:line="360" w:lineRule="auto"/>
        <w:jc w:val="both"/>
        <w:rPr>
          <w:rFonts w:cs="David"/>
          <w:sz w:val="28"/>
          <w:szCs w:val="28"/>
          <w:rtl/>
        </w:rPr>
      </w:pPr>
    </w:p>
    <w:p w:rsidR="00A16FFD" w:rsidRPr="0004711E" w:rsidRDefault="00A16FFD" w:rsidP="00A16FFD">
      <w:pPr>
        <w:spacing w:after="0" w:line="360" w:lineRule="auto"/>
        <w:jc w:val="both"/>
        <w:rPr>
          <w:rFonts w:cs="David"/>
          <w:sz w:val="28"/>
          <w:szCs w:val="28"/>
          <w:rtl/>
        </w:rPr>
      </w:pPr>
      <w:r w:rsidRPr="0004711E">
        <w:rPr>
          <w:rFonts w:cs="David" w:hint="cs"/>
          <w:sz w:val="28"/>
          <w:szCs w:val="28"/>
          <w:rtl/>
        </w:rPr>
        <w:t>הוועדה, בראשות ראש ממשלת ניו זילנד לשעבר, ג'פרי פאלמר (</w:t>
      </w:r>
      <w:r>
        <w:rPr>
          <w:rFonts w:cs="David" w:hint="cs"/>
          <w:sz w:val="28"/>
          <w:szCs w:val="28"/>
          <w:rtl/>
        </w:rPr>
        <w:t>בעבודה זו</w:t>
      </w:r>
      <w:r w:rsidRPr="0004711E">
        <w:rPr>
          <w:rFonts w:cs="David" w:hint="cs"/>
          <w:sz w:val="28"/>
          <w:szCs w:val="28"/>
          <w:rtl/>
        </w:rPr>
        <w:t xml:space="preserve"> </w:t>
      </w:r>
      <w:r w:rsidRPr="0004711E">
        <w:rPr>
          <w:rFonts w:cs="David"/>
          <w:sz w:val="28"/>
          <w:szCs w:val="28"/>
          <w:rtl/>
        </w:rPr>
        <w:t>–</w:t>
      </w:r>
      <w:r w:rsidRPr="0004711E">
        <w:rPr>
          <w:rFonts w:cs="David" w:hint="cs"/>
          <w:sz w:val="28"/>
          <w:szCs w:val="28"/>
          <w:rtl/>
        </w:rPr>
        <w:t xml:space="preserve"> ועדת פאלמר), מונתה ביום 02.08.10 </w:t>
      </w:r>
      <w:r>
        <w:rPr>
          <w:rFonts w:cs="David" w:hint="cs"/>
          <w:sz w:val="28"/>
          <w:szCs w:val="28"/>
          <w:rtl/>
        </w:rPr>
        <w:t>על ידי</w:t>
      </w:r>
      <w:r w:rsidRPr="0004711E">
        <w:rPr>
          <w:rFonts w:cs="David" w:hint="cs"/>
          <w:sz w:val="28"/>
          <w:szCs w:val="28"/>
          <w:rtl/>
        </w:rPr>
        <w:t xml:space="preserve"> מזכ"ל האו</w:t>
      </w:r>
      <w:r>
        <w:rPr>
          <w:rFonts w:cs="David" w:hint="cs"/>
          <w:sz w:val="28"/>
          <w:szCs w:val="28"/>
          <w:rtl/>
        </w:rPr>
        <w:t>"ם, בהסכמת ממשלות ישראל ותורכיה. היא הוקמה כו</w:t>
      </w:r>
      <w:r w:rsidRPr="0004711E">
        <w:rPr>
          <w:rFonts w:cs="David" w:hint="cs"/>
          <w:sz w:val="28"/>
          <w:szCs w:val="28"/>
          <w:rtl/>
        </w:rPr>
        <w:t>ועדת חקירה (</w:t>
      </w:r>
      <w:r w:rsidRPr="0004711E">
        <w:rPr>
          <w:rFonts w:cs="David"/>
          <w:sz w:val="28"/>
          <w:szCs w:val="28"/>
        </w:rPr>
        <w:t>Panel of Inquiry</w:t>
      </w:r>
      <w:r w:rsidRPr="0004711E">
        <w:rPr>
          <w:rFonts w:cs="David" w:hint="cs"/>
          <w:sz w:val="28"/>
          <w:szCs w:val="28"/>
          <w:rtl/>
        </w:rPr>
        <w:t>) שתחקור את אירוע המשט מיום 31.05.10 הנזכר לעיל. הוועדה הגישה את הדוח שלה בספטמבר 2011</w:t>
      </w:r>
      <w:bookmarkStart w:id="105" w:name="_Ref454801611"/>
      <w:r w:rsidRPr="0004711E">
        <w:rPr>
          <w:rStyle w:val="a7"/>
          <w:rFonts w:cs="David"/>
          <w:sz w:val="28"/>
          <w:szCs w:val="28"/>
          <w:rtl/>
        </w:rPr>
        <w:footnoteReference w:id="328"/>
      </w:r>
      <w:bookmarkEnd w:id="105"/>
      <w:r w:rsidRPr="0004711E">
        <w:rPr>
          <w:rFonts w:cs="David" w:hint="cs"/>
          <w:sz w:val="28"/>
          <w:szCs w:val="28"/>
          <w:rtl/>
        </w:rPr>
        <w:t>. ועדת פאלמר זכתה לשיתוף פעולה מלא מצד מדינת ישראל ונציג ישראלי, ד"ר יוסף צ'חנובר, אף היה חבר בוועדה.</w:t>
      </w:r>
    </w:p>
    <w:p w:rsidR="00E057C9" w:rsidRDefault="00E057C9">
      <w:pPr>
        <w:bidi w:val="0"/>
        <w:rPr>
          <w:rFonts w:cs="David"/>
          <w:sz w:val="28"/>
          <w:szCs w:val="28"/>
          <w:rtl/>
        </w:rPr>
      </w:pPr>
      <w:r>
        <w:rPr>
          <w:rFonts w:cs="David"/>
          <w:sz w:val="28"/>
          <w:szCs w:val="28"/>
          <w:rtl/>
        </w:rPr>
        <w:br w:type="page"/>
      </w:r>
    </w:p>
    <w:p w:rsidR="00A16FFD" w:rsidRPr="00C22118" w:rsidRDefault="00A16FFD" w:rsidP="00C22118">
      <w:pPr>
        <w:pStyle w:val="a9"/>
        <w:numPr>
          <w:ilvl w:val="0"/>
          <w:numId w:val="28"/>
        </w:numPr>
        <w:spacing w:after="0" w:line="360" w:lineRule="auto"/>
        <w:jc w:val="both"/>
        <w:outlineLvl w:val="1"/>
        <w:rPr>
          <w:rFonts w:cs="David"/>
          <w:b/>
          <w:bCs/>
          <w:sz w:val="28"/>
          <w:szCs w:val="28"/>
          <w:rtl/>
        </w:rPr>
      </w:pPr>
      <w:bookmarkStart w:id="106" w:name="_Toc455336937"/>
      <w:bookmarkStart w:id="107" w:name="_Toc456027364"/>
      <w:bookmarkEnd w:id="106"/>
      <w:r w:rsidRPr="00C22118">
        <w:rPr>
          <w:rFonts w:cs="David" w:hint="cs"/>
          <w:b/>
          <w:bCs/>
          <w:sz w:val="28"/>
          <w:szCs w:val="28"/>
          <w:rtl/>
        </w:rPr>
        <w:lastRenderedPageBreak/>
        <w:t>ועדת מומחים עצמאיים שנייה לבחינת ההליכים המשפטיים שננקטו בעקבות ועדת גולדסטון (2010)</w:t>
      </w:r>
      <w:bookmarkEnd w:id="107"/>
    </w:p>
    <w:p w:rsidR="00A16FFD" w:rsidRPr="0004711E" w:rsidRDefault="00A16FFD" w:rsidP="00A16FFD">
      <w:pPr>
        <w:spacing w:after="0" w:line="360" w:lineRule="auto"/>
        <w:jc w:val="both"/>
        <w:rPr>
          <w:rFonts w:cs="David"/>
          <w:sz w:val="28"/>
          <w:szCs w:val="28"/>
          <w:rtl/>
        </w:rPr>
      </w:pPr>
    </w:p>
    <w:p w:rsidR="00A16FFD" w:rsidRPr="0004711E" w:rsidRDefault="00A16FFD" w:rsidP="00A16FFD">
      <w:pPr>
        <w:spacing w:after="0" w:line="360" w:lineRule="auto"/>
        <w:jc w:val="both"/>
        <w:rPr>
          <w:rFonts w:cs="David"/>
          <w:sz w:val="28"/>
          <w:szCs w:val="28"/>
          <w:rtl/>
        </w:rPr>
      </w:pPr>
      <w:r w:rsidRPr="0004711E">
        <w:rPr>
          <w:rFonts w:cs="David" w:hint="cs"/>
          <w:sz w:val="28"/>
          <w:szCs w:val="28"/>
          <w:rtl/>
        </w:rPr>
        <w:t>הוועדה, בראשות השופטת האמריקאית מרי מקגאוון דיוויס (</w:t>
      </w:r>
      <w:r>
        <w:rPr>
          <w:rFonts w:cs="David" w:hint="cs"/>
          <w:sz w:val="28"/>
          <w:szCs w:val="28"/>
          <w:rtl/>
        </w:rPr>
        <w:t>בעבודה זו</w:t>
      </w:r>
      <w:r w:rsidRPr="0004711E">
        <w:rPr>
          <w:rFonts w:cs="David" w:hint="cs"/>
          <w:sz w:val="28"/>
          <w:szCs w:val="28"/>
          <w:rtl/>
        </w:rPr>
        <w:t xml:space="preserve"> </w:t>
      </w:r>
      <w:r w:rsidRPr="0004711E">
        <w:rPr>
          <w:rFonts w:cs="David"/>
          <w:sz w:val="28"/>
          <w:szCs w:val="28"/>
          <w:rtl/>
        </w:rPr>
        <w:t>–</w:t>
      </w:r>
      <w:r w:rsidRPr="0004711E">
        <w:rPr>
          <w:rFonts w:cs="David" w:hint="cs"/>
          <w:sz w:val="28"/>
          <w:szCs w:val="28"/>
          <w:rtl/>
        </w:rPr>
        <w:t xml:space="preserve"> "ועדת מקגאוון דיוויס הראשונה"), מונתה </w:t>
      </w:r>
      <w:r>
        <w:rPr>
          <w:rFonts w:cs="David" w:hint="cs"/>
          <w:sz w:val="28"/>
          <w:szCs w:val="28"/>
          <w:rtl/>
        </w:rPr>
        <w:t>על ידי</w:t>
      </w:r>
      <w:r w:rsidRPr="0004711E">
        <w:rPr>
          <w:rFonts w:cs="David" w:hint="cs"/>
          <w:sz w:val="28"/>
          <w:szCs w:val="28"/>
          <w:rtl/>
        </w:rPr>
        <w:t xml:space="preserve"> מועצת זכויות האדם של האו"ם כוועדת מומחים עצמאיים שתמשיך את עבודתה של ועדת טומושאט, בהתאם להחלטת המועצה מיום 29.09.10</w:t>
      </w:r>
      <w:r w:rsidRPr="0004711E">
        <w:rPr>
          <w:rStyle w:val="a7"/>
          <w:rFonts w:cs="David"/>
          <w:sz w:val="28"/>
          <w:szCs w:val="28"/>
          <w:rtl/>
        </w:rPr>
        <w:footnoteReference w:id="329"/>
      </w:r>
      <w:r w:rsidRPr="0004711E">
        <w:rPr>
          <w:rFonts w:cs="David" w:hint="cs"/>
          <w:sz w:val="28"/>
          <w:szCs w:val="28"/>
          <w:rtl/>
        </w:rPr>
        <w:t>. הוועדה הגישה את הדוח שלה למועצה ביום 05.05.11</w:t>
      </w:r>
      <w:r w:rsidRPr="0004711E">
        <w:rPr>
          <w:rStyle w:val="a7"/>
          <w:rFonts w:cs="David"/>
          <w:sz w:val="28"/>
          <w:szCs w:val="28"/>
          <w:rtl/>
        </w:rPr>
        <w:footnoteReference w:id="330"/>
      </w:r>
      <w:r w:rsidRPr="0004711E">
        <w:rPr>
          <w:rFonts w:cs="David" w:hint="cs"/>
          <w:sz w:val="28"/>
          <w:szCs w:val="28"/>
          <w:rtl/>
        </w:rPr>
        <w:t>. הוועדה ציינה כי ישראל סירבה לשתף עמה פעולה וכי אף מנעה ממנה גישה לשטחי ישראל, יהודה ושומרון ורצועת עזה</w:t>
      </w:r>
      <w:r w:rsidRPr="0004711E">
        <w:rPr>
          <w:rStyle w:val="a7"/>
          <w:rFonts w:cs="David"/>
          <w:sz w:val="28"/>
          <w:szCs w:val="28"/>
          <w:rtl/>
        </w:rPr>
        <w:footnoteReference w:id="331"/>
      </w:r>
      <w:r w:rsidRPr="0004711E">
        <w:rPr>
          <w:rFonts w:cs="David" w:hint="cs"/>
          <w:sz w:val="28"/>
          <w:szCs w:val="28"/>
          <w:rtl/>
        </w:rPr>
        <w:t>.</w:t>
      </w:r>
    </w:p>
    <w:p w:rsidR="00A16FFD" w:rsidRPr="0004711E" w:rsidRDefault="00A16FFD" w:rsidP="00A16FFD">
      <w:pPr>
        <w:spacing w:after="0" w:line="360" w:lineRule="auto"/>
        <w:jc w:val="both"/>
        <w:rPr>
          <w:rFonts w:cs="David"/>
          <w:sz w:val="28"/>
          <w:szCs w:val="28"/>
          <w:rtl/>
        </w:rPr>
      </w:pPr>
    </w:p>
    <w:p w:rsidR="00A16FFD" w:rsidRPr="00C22118" w:rsidRDefault="00A16FFD" w:rsidP="00C22118">
      <w:pPr>
        <w:pStyle w:val="a9"/>
        <w:numPr>
          <w:ilvl w:val="0"/>
          <w:numId w:val="28"/>
        </w:numPr>
        <w:spacing w:after="0" w:line="360" w:lineRule="auto"/>
        <w:jc w:val="both"/>
        <w:outlineLvl w:val="1"/>
        <w:rPr>
          <w:rFonts w:cs="David"/>
          <w:b/>
          <w:bCs/>
          <w:sz w:val="28"/>
          <w:szCs w:val="28"/>
          <w:rtl/>
        </w:rPr>
      </w:pPr>
      <w:bookmarkStart w:id="108" w:name="_Toc456027365"/>
      <w:r w:rsidRPr="00C22118">
        <w:rPr>
          <w:rFonts w:cs="David" w:hint="cs"/>
          <w:b/>
          <w:bCs/>
          <w:sz w:val="28"/>
          <w:szCs w:val="28"/>
          <w:rtl/>
        </w:rPr>
        <w:t>בדיקה של משלחת עורכי דין בריטיים בראשות הברונית סקוטלנד בחסות משרד החוץ הבריטי ביחס לטיפול בילדים פלסטיניים לפי החוק הצבאי הישראלי (2011)</w:t>
      </w:r>
      <w:bookmarkEnd w:id="108"/>
    </w:p>
    <w:p w:rsidR="00A16FFD" w:rsidRPr="0004711E" w:rsidRDefault="00A16FFD" w:rsidP="00A16FFD">
      <w:pPr>
        <w:spacing w:after="0" w:line="360" w:lineRule="auto"/>
        <w:jc w:val="both"/>
        <w:rPr>
          <w:rFonts w:cs="David"/>
          <w:sz w:val="28"/>
          <w:szCs w:val="28"/>
          <w:rtl/>
        </w:rPr>
      </w:pPr>
    </w:p>
    <w:p w:rsidR="00A16FFD" w:rsidRPr="0004711E" w:rsidRDefault="00A16FFD" w:rsidP="00A16FFD">
      <w:pPr>
        <w:spacing w:after="0" w:line="360" w:lineRule="auto"/>
        <w:jc w:val="both"/>
        <w:rPr>
          <w:rFonts w:cs="David"/>
          <w:sz w:val="28"/>
          <w:szCs w:val="28"/>
          <w:rtl/>
        </w:rPr>
      </w:pPr>
      <w:r>
        <w:rPr>
          <w:rFonts w:cs="David" w:hint="cs"/>
          <w:sz w:val="28"/>
          <w:szCs w:val="28"/>
          <w:rtl/>
        </w:rPr>
        <w:t xml:space="preserve">ועדות חקירה </w:t>
      </w:r>
      <w:r w:rsidRPr="0004711E">
        <w:rPr>
          <w:rFonts w:cs="David" w:hint="cs"/>
          <w:sz w:val="28"/>
          <w:szCs w:val="28"/>
          <w:rtl/>
        </w:rPr>
        <w:t>חיצוני</w:t>
      </w:r>
      <w:r>
        <w:rPr>
          <w:rFonts w:cs="David" w:hint="cs"/>
          <w:sz w:val="28"/>
          <w:szCs w:val="28"/>
          <w:rtl/>
        </w:rPr>
        <w:t>ות</w:t>
      </w:r>
      <w:r w:rsidRPr="0004711E">
        <w:rPr>
          <w:rFonts w:cs="David" w:hint="cs"/>
          <w:sz w:val="28"/>
          <w:szCs w:val="28"/>
          <w:rtl/>
        </w:rPr>
        <w:t xml:space="preserve"> אשר בודק</w:t>
      </w:r>
      <w:r>
        <w:rPr>
          <w:rFonts w:cs="David" w:hint="cs"/>
          <w:sz w:val="28"/>
          <w:szCs w:val="28"/>
          <w:rtl/>
        </w:rPr>
        <w:t>ות</w:t>
      </w:r>
      <w:r w:rsidRPr="0004711E">
        <w:rPr>
          <w:rFonts w:cs="David" w:hint="cs"/>
          <w:sz w:val="28"/>
          <w:szCs w:val="28"/>
          <w:rtl/>
        </w:rPr>
        <w:t xml:space="preserve"> את פעילויותיהם של מדינת ישראל ושל צה"ל אינ</w:t>
      </w:r>
      <w:r>
        <w:rPr>
          <w:rFonts w:cs="David" w:hint="cs"/>
          <w:sz w:val="28"/>
          <w:szCs w:val="28"/>
          <w:rtl/>
        </w:rPr>
        <w:t>ן</w:t>
      </w:r>
      <w:r w:rsidRPr="0004711E">
        <w:rPr>
          <w:rFonts w:cs="David" w:hint="cs"/>
          <w:sz w:val="28"/>
          <w:szCs w:val="28"/>
          <w:rtl/>
        </w:rPr>
        <w:t xml:space="preserve"> חייב</w:t>
      </w:r>
      <w:r>
        <w:rPr>
          <w:rFonts w:cs="David" w:hint="cs"/>
          <w:sz w:val="28"/>
          <w:szCs w:val="28"/>
          <w:rtl/>
        </w:rPr>
        <w:t>ות</w:t>
      </w:r>
      <w:r w:rsidRPr="0004711E">
        <w:rPr>
          <w:rFonts w:cs="David" w:hint="cs"/>
          <w:sz w:val="28"/>
          <w:szCs w:val="28"/>
          <w:rtl/>
        </w:rPr>
        <w:t xml:space="preserve"> להיות בינלאומי</w:t>
      </w:r>
      <w:r>
        <w:rPr>
          <w:rFonts w:cs="David" w:hint="cs"/>
          <w:sz w:val="28"/>
          <w:szCs w:val="28"/>
          <w:rtl/>
        </w:rPr>
        <w:t>ות</w:t>
      </w:r>
      <w:r w:rsidRPr="0004711E">
        <w:rPr>
          <w:rFonts w:cs="David" w:hint="cs"/>
          <w:sz w:val="28"/>
          <w:szCs w:val="28"/>
          <w:rtl/>
        </w:rPr>
        <w:t>. לעיתים ה</w:t>
      </w:r>
      <w:r>
        <w:rPr>
          <w:rFonts w:cs="David" w:hint="cs"/>
          <w:sz w:val="28"/>
          <w:szCs w:val="28"/>
          <w:rtl/>
        </w:rPr>
        <w:t>ן</w:t>
      </w:r>
      <w:r w:rsidRPr="0004711E">
        <w:rPr>
          <w:rFonts w:cs="David" w:hint="cs"/>
          <w:sz w:val="28"/>
          <w:szCs w:val="28"/>
          <w:rtl/>
        </w:rPr>
        <w:t xml:space="preserve"> מופעל</w:t>
      </w:r>
      <w:r>
        <w:rPr>
          <w:rFonts w:cs="David" w:hint="cs"/>
          <w:sz w:val="28"/>
          <w:szCs w:val="28"/>
          <w:rtl/>
        </w:rPr>
        <w:t>ות</w:t>
      </w:r>
      <w:r w:rsidRPr="0004711E">
        <w:rPr>
          <w:rFonts w:cs="David" w:hint="cs"/>
          <w:sz w:val="28"/>
          <w:szCs w:val="28"/>
          <w:rtl/>
        </w:rPr>
        <w:t xml:space="preserve"> </w:t>
      </w:r>
      <w:r>
        <w:rPr>
          <w:rFonts w:cs="David" w:hint="cs"/>
          <w:sz w:val="28"/>
          <w:szCs w:val="28"/>
          <w:rtl/>
        </w:rPr>
        <w:t>על ידי</w:t>
      </w:r>
      <w:r w:rsidRPr="0004711E">
        <w:rPr>
          <w:rFonts w:cs="David" w:hint="cs"/>
          <w:sz w:val="28"/>
          <w:szCs w:val="28"/>
          <w:rtl/>
        </w:rPr>
        <w:t xml:space="preserve"> ממשלות זרות</w:t>
      </w:r>
      <w:r>
        <w:rPr>
          <w:rFonts w:cs="David" w:hint="cs"/>
          <w:sz w:val="28"/>
          <w:szCs w:val="28"/>
          <w:rtl/>
        </w:rPr>
        <w:t>, אך יכולות להיות להן השלכות בינלאומיות, מעצם העובדה כי הבדיקה נעשית על ידי ממשלה זרה</w:t>
      </w:r>
      <w:r w:rsidRPr="0004711E">
        <w:rPr>
          <w:rFonts w:cs="David" w:hint="cs"/>
          <w:sz w:val="28"/>
          <w:szCs w:val="28"/>
          <w:rtl/>
        </w:rPr>
        <w:t>. דוגמה לכך היא משלחת בריטית של עורכי דין, בראשותה של הברונית פטרישיה סקוטלנד</w:t>
      </w:r>
      <w:r w:rsidRPr="0004711E">
        <w:rPr>
          <w:rStyle w:val="a7"/>
          <w:rFonts w:cs="David"/>
          <w:sz w:val="28"/>
          <w:szCs w:val="28"/>
          <w:rtl/>
        </w:rPr>
        <w:footnoteReference w:id="332"/>
      </w:r>
      <w:r w:rsidRPr="0004711E">
        <w:rPr>
          <w:rFonts w:cs="David" w:hint="cs"/>
          <w:sz w:val="28"/>
          <w:szCs w:val="28"/>
          <w:rtl/>
        </w:rPr>
        <w:t>, שהגיעה לישראל בשנת 2011 במימון ובתמיכה דיפלומטית של משרד החוץ הבריטי, למרות שהדוח שפרסמה על ביקורה אינו מטעם משרד החוץ. נושא ביקור המשלחת היה "הטיפול בילדים פלסטינים לפי החוק הצבאי הישראלי", ובהתאם לדוח שפרסמה המשלחת בחודש יוני 2012</w:t>
      </w:r>
      <w:bookmarkStart w:id="109" w:name="_Ref455325618"/>
      <w:r w:rsidRPr="0004711E">
        <w:rPr>
          <w:rStyle w:val="a7"/>
          <w:rFonts w:cs="David"/>
          <w:sz w:val="28"/>
          <w:szCs w:val="28"/>
          <w:rtl/>
        </w:rPr>
        <w:footnoteReference w:id="333"/>
      </w:r>
      <w:bookmarkEnd w:id="109"/>
      <w:r w:rsidRPr="0004711E">
        <w:rPr>
          <w:rFonts w:cs="David" w:hint="cs"/>
          <w:sz w:val="28"/>
          <w:szCs w:val="28"/>
          <w:rtl/>
        </w:rPr>
        <w:t xml:space="preserve"> היה תחום הסמכות (</w:t>
      </w:r>
      <w:r w:rsidRPr="0004711E">
        <w:rPr>
          <w:rFonts w:cs="David"/>
          <w:sz w:val="28"/>
          <w:szCs w:val="28"/>
        </w:rPr>
        <w:t>terms of reference</w:t>
      </w:r>
      <w:r w:rsidRPr="0004711E">
        <w:rPr>
          <w:rFonts w:cs="David" w:hint="cs"/>
          <w:sz w:val="28"/>
          <w:szCs w:val="28"/>
          <w:rtl/>
        </w:rPr>
        <w:t>) שהוגדר לה: "</w:t>
      </w:r>
      <w:r w:rsidRPr="0004711E">
        <w:rPr>
          <w:rFonts w:cs="David"/>
          <w:sz w:val="28"/>
          <w:szCs w:val="28"/>
        </w:rPr>
        <w:t xml:space="preserve">to undertake an evaluative analysis of Israeli military law and practice as they affect Palestinian </w:t>
      </w:r>
      <w:r w:rsidRPr="0004711E">
        <w:rPr>
          <w:rFonts w:cs="David"/>
          <w:sz w:val="28"/>
          <w:szCs w:val="28"/>
        </w:rPr>
        <w:lastRenderedPageBreak/>
        <w:t>children in the West Bank by reference to the standards of international law and international children’s rights</w:t>
      </w:r>
      <w:r w:rsidRPr="0004711E">
        <w:rPr>
          <w:rFonts w:cs="David" w:hint="cs"/>
          <w:sz w:val="28"/>
          <w:szCs w:val="28"/>
          <w:rtl/>
        </w:rPr>
        <w:t>"</w:t>
      </w:r>
      <w:r w:rsidRPr="0004711E">
        <w:rPr>
          <w:rStyle w:val="a7"/>
          <w:rFonts w:cs="David"/>
          <w:sz w:val="28"/>
          <w:szCs w:val="28"/>
          <w:rtl/>
        </w:rPr>
        <w:footnoteReference w:id="334"/>
      </w:r>
      <w:r w:rsidRPr="0004711E">
        <w:rPr>
          <w:rFonts w:cs="David" w:hint="cs"/>
          <w:sz w:val="28"/>
          <w:szCs w:val="28"/>
          <w:rtl/>
        </w:rPr>
        <w:t>. המשלחת זכתה לשיתוף פעולה חסר תקדים מצדה של מדינת ישראל ופגשה שורת משפטנים בכירים מהמגזר הציבורי בישראל, ובראשם את נשיאת בית המשפט העליון בשעתו, דורית ביניש.</w:t>
      </w:r>
    </w:p>
    <w:p w:rsidR="00A16FFD" w:rsidRPr="0004711E" w:rsidRDefault="00A16FFD" w:rsidP="00A16FFD">
      <w:pPr>
        <w:spacing w:after="0" w:line="360" w:lineRule="auto"/>
        <w:jc w:val="both"/>
        <w:rPr>
          <w:rFonts w:cs="David"/>
          <w:sz w:val="28"/>
          <w:szCs w:val="28"/>
          <w:rtl/>
        </w:rPr>
      </w:pPr>
    </w:p>
    <w:p w:rsidR="00A16FFD" w:rsidRPr="0004711E" w:rsidRDefault="00A16FFD" w:rsidP="00A16FFD">
      <w:pPr>
        <w:spacing w:after="0" w:line="360" w:lineRule="auto"/>
        <w:jc w:val="both"/>
        <w:rPr>
          <w:rFonts w:cs="David"/>
          <w:sz w:val="28"/>
          <w:szCs w:val="28"/>
          <w:rtl/>
        </w:rPr>
      </w:pPr>
      <w:r w:rsidRPr="0004711E">
        <w:rPr>
          <w:rFonts w:cs="David" w:hint="cs"/>
          <w:sz w:val="28"/>
          <w:szCs w:val="28"/>
          <w:rtl/>
        </w:rPr>
        <w:t xml:space="preserve">הדוח שפרסמה המשלחת היה ביקורתי מאוד כלפי ישראל וכלל </w:t>
      </w:r>
      <w:r>
        <w:rPr>
          <w:rFonts w:cs="David" w:hint="cs"/>
          <w:sz w:val="28"/>
          <w:szCs w:val="28"/>
          <w:rtl/>
        </w:rPr>
        <w:t>ארבעים</w:t>
      </w:r>
      <w:r w:rsidRPr="0004711E">
        <w:rPr>
          <w:rFonts w:cs="David" w:hint="cs"/>
          <w:sz w:val="28"/>
          <w:szCs w:val="28"/>
          <w:rtl/>
        </w:rPr>
        <w:t xml:space="preserve"> המלצות בתחומים שונים. הדוח זכה לכיסוי תקשורתי נרחב בבריטניה</w:t>
      </w:r>
      <w:r w:rsidRPr="0004711E">
        <w:rPr>
          <w:rStyle w:val="a7"/>
          <w:rFonts w:cs="David"/>
          <w:sz w:val="28"/>
          <w:szCs w:val="28"/>
          <w:rtl/>
        </w:rPr>
        <w:footnoteReference w:id="335"/>
      </w:r>
      <w:r w:rsidRPr="0004711E">
        <w:rPr>
          <w:rFonts w:cs="David" w:hint="cs"/>
          <w:sz w:val="28"/>
          <w:szCs w:val="28"/>
          <w:rtl/>
        </w:rPr>
        <w:t xml:space="preserve"> ועורר סערה גם בפרלמנט הבריטי בהזדמנויות שונות</w:t>
      </w:r>
      <w:r w:rsidRPr="0004711E">
        <w:rPr>
          <w:rStyle w:val="a7"/>
          <w:rFonts w:cs="David"/>
          <w:sz w:val="28"/>
          <w:szCs w:val="28"/>
          <w:rtl/>
        </w:rPr>
        <w:footnoteReference w:id="336"/>
      </w:r>
      <w:r w:rsidRPr="0004711E">
        <w:rPr>
          <w:rFonts w:cs="David" w:hint="cs"/>
          <w:sz w:val="28"/>
          <w:szCs w:val="28"/>
          <w:rtl/>
        </w:rPr>
        <w:t>.</w:t>
      </w:r>
    </w:p>
    <w:p w:rsidR="00A16FFD" w:rsidRPr="0004711E" w:rsidRDefault="00A16FFD" w:rsidP="00A16FFD">
      <w:pPr>
        <w:spacing w:after="0" w:line="360" w:lineRule="auto"/>
        <w:jc w:val="both"/>
        <w:rPr>
          <w:rFonts w:cs="David"/>
          <w:sz w:val="28"/>
          <w:szCs w:val="28"/>
          <w:rtl/>
        </w:rPr>
      </w:pPr>
    </w:p>
    <w:p w:rsidR="00A16FFD" w:rsidRPr="00C22118" w:rsidRDefault="00A16FFD" w:rsidP="00C22118">
      <w:pPr>
        <w:pStyle w:val="a9"/>
        <w:numPr>
          <w:ilvl w:val="0"/>
          <w:numId w:val="28"/>
        </w:numPr>
        <w:spacing w:after="0" w:line="360" w:lineRule="auto"/>
        <w:jc w:val="both"/>
        <w:outlineLvl w:val="1"/>
        <w:rPr>
          <w:rFonts w:cs="David"/>
          <w:b/>
          <w:bCs/>
          <w:sz w:val="28"/>
          <w:szCs w:val="28"/>
          <w:rtl/>
        </w:rPr>
      </w:pPr>
      <w:bookmarkStart w:id="110" w:name="_Toc456027366"/>
      <w:r w:rsidRPr="00C22118">
        <w:rPr>
          <w:rFonts w:cs="David" w:hint="cs"/>
          <w:b/>
          <w:bCs/>
          <w:sz w:val="28"/>
          <w:szCs w:val="28"/>
          <w:rtl/>
        </w:rPr>
        <w:t>הוועדה לבירור ההשלכות של ההתנחלויות הישראליות על זכויות הפלסטינים ב"שטחים הפלסטיניים הכבושים", לרבות מזרח ירושלים (2012)</w:t>
      </w:r>
      <w:bookmarkEnd w:id="110"/>
    </w:p>
    <w:p w:rsidR="00A16FFD" w:rsidRPr="0004711E" w:rsidRDefault="00A16FFD" w:rsidP="00A16FFD">
      <w:pPr>
        <w:spacing w:after="0" w:line="360" w:lineRule="auto"/>
        <w:jc w:val="both"/>
        <w:rPr>
          <w:rFonts w:cs="David"/>
          <w:sz w:val="28"/>
          <w:szCs w:val="28"/>
          <w:rtl/>
        </w:rPr>
      </w:pPr>
    </w:p>
    <w:p w:rsidR="00A16FFD" w:rsidRPr="0004711E" w:rsidRDefault="00A16FFD" w:rsidP="00A16FFD">
      <w:pPr>
        <w:spacing w:after="0" w:line="360" w:lineRule="auto"/>
        <w:jc w:val="both"/>
        <w:rPr>
          <w:rFonts w:cs="David"/>
          <w:sz w:val="28"/>
          <w:szCs w:val="28"/>
          <w:rtl/>
        </w:rPr>
      </w:pPr>
      <w:r w:rsidRPr="0004711E">
        <w:rPr>
          <w:rFonts w:cs="David" w:hint="cs"/>
          <w:sz w:val="28"/>
          <w:szCs w:val="28"/>
          <w:rtl/>
        </w:rPr>
        <w:t xml:space="preserve">הוועדה, בראשות </w:t>
      </w:r>
      <w:r w:rsidRPr="0004711E">
        <w:rPr>
          <w:rFonts w:cs="David"/>
          <w:sz w:val="28"/>
          <w:szCs w:val="28"/>
        </w:rPr>
        <w:t>Christine Chanet</w:t>
      </w:r>
      <w:r w:rsidRPr="0004711E">
        <w:rPr>
          <w:rFonts w:cs="David" w:hint="cs"/>
          <w:sz w:val="28"/>
          <w:szCs w:val="28"/>
          <w:rtl/>
        </w:rPr>
        <w:t xml:space="preserve"> מצרפת (</w:t>
      </w:r>
      <w:r>
        <w:rPr>
          <w:rFonts w:cs="David" w:hint="cs"/>
          <w:sz w:val="28"/>
          <w:szCs w:val="28"/>
          <w:rtl/>
        </w:rPr>
        <w:t>בעבודה זו</w:t>
      </w:r>
      <w:r w:rsidRPr="0004711E">
        <w:rPr>
          <w:rFonts w:cs="David" w:hint="cs"/>
          <w:sz w:val="28"/>
          <w:szCs w:val="28"/>
          <w:rtl/>
        </w:rPr>
        <w:t xml:space="preserve"> </w:t>
      </w:r>
      <w:r w:rsidRPr="0004711E">
        <w:rPr>
          <w:rFonts w:cs="David"/>
          <w:sz w:val="28"/>
          <w:szCs w:val="28"/>
          <w:rtl/>
        </w:rPr>
        <w:t>–</w:t>
      </w:r>
      <w:r w:rsidRPr="0004711E">
        <w:rPr>
          <w:rFonts w:cs="David" w:hint="cs"/>
          <w:sz w:val="28"/>
          <w:szCs w:val="28"/>
          <w:rtl/>
        </w:rPr>
        <w:t xml:space="preserve"> ועדת ההתנחלויות), מונתה </w:t>
      </w:r>
      <w:r>
        <w:rPr>
          <w:rFonts w:cs="David" w:hint="cs"/>
          <w:sz w:val="28"/>
          <w:szCs w:val="28"/>
          <w:rtl/>
        </w:rPr>
        <w:t>על ידי</w:t>
      </w:r>
      <w:r w:rsidRPr="0004711E">
        <w:rPr>
          <w:rFonts w:cs="David" w:hint="cs"/>
          <w:sz w:val="28"/>
          <w:szCs w:val="28"/>
          <w:rtl/>
        </w:rPr>
        <w:t xml:space="preserve"> מועצת זכויות האדם של האו"ם כ-</w:t>
      </w:r>
      <w:r w:rsidRPr="0004711E">
        <w:rPr>
          <w:rFonts w:cs="David"/>
          <w:sz w:val="28"/>
          <w:szCs w:val="28"/>
        </w:rPr>
        <w:t>FFM</w:t>
      </w:r>
      <w:r w:rsidRPr="0004711E">
        <w:rPr>
          <w:rFonts w:cs="David" w:hint="cs"/>
          <w:sz w:val="28"/>
          <w:szCs w:val="28"/>
          <w:rtl/>
        </w:rPr>
        <w:t>, בהתאם להחלטת המועצה מיום 22.03.12</w:t>
      </w:r>
      <w:r w:rsidRPr="0004711E">
        <w:rPr>
          <w:rStyle w:val="a7"/>
          <w:rFonts w:cs="David"/>
          <w:sz w:val="28"/>
          <w:szCs w:val="28"/>
          <w:rtl/>
        </w:rPr>
        <w:footnoteReference w:id="337"/>
      </w:r>
      <w:r w:rsidRPr="0004711E">
        <w:rPr>
          <w:rFonts w:cs="David" w:hint="cs"/>
          <w:sz w:val="28"/>
          <w:szCs w:val="28"/>
          <w:rtl/>
        </w:rPr>
        <w:t>. המנדט שקיבלה הוועדה היה "</w:t>
      </w:r>
      <w:r w:rsidRPr="0004711E">
        <w:rPr>
          <w:rFonts w:cs="David"/>
          <w:sz w:val="28"/>
          <w:szCs w:val="28"/>
        </w:rPr>
        <w:t>to investigate the implications of the Israeli settlements on the civil, political, economic, social and cultural rights of the Palestinian people throughout the Occupied Palestinian Territory, including East Jerusalem</w:t>
      </w:r>
      <w:r w:rsidRPr="0004711E">
        <w:rPr>
          <w:rFonts w:cs="David" w:hint="cs"/>
          <w:sz w:val="28"/>
          <w:szCs w:val="28"/>
          <w:rtl/>
        </w:rPr>
        <w:t>". הוועדה הגישה את הדוח שלה ביום 07.02.13</w:t>
      </w:r>
      <w:bookmarkStart w:id="111" w:name="_Ref454790138"/>
      <w:r w:rsidRPr="0004711E">
        <w:rPr>
          <w:rStyle w:val="a7"/>
          <w:rFonts w:cs="David"/>
          <w:sz w:val="28"/>
          <w:szCs w:val="28"/>
          <w:rtl/>
        </w:rPr>
        <w:footnoteReference w:id="338"/>
      </w:r>
      <w:bookmarkEnd w:id="111"/>
      <w:r w:rsidRPr="0004711E">
        <w:rPr>
          <w:rFonts w:cs="David" w:hint="cs"/>
          <w:sz w:val="28"/>
          <w:szCs w:val="28"/>
          <w:rtl/>
        </w:rPr>
        <w:t>. הוועדה מציינת שישראל סירבה לשתף עמה פעולה או לאפשר את כניסתה</w:t>
      </w:r>
      <w:r w:rsidRPr="0004711E">
        <w:rPr>
          <w:rStyle w:val="a7"/>
          <w:rFonts w:cs="David"/>
          <w:sz w:val="28"/>
          <w:szCs w:val="28"/>
          <w:rtl/>
        </w:rPr>
        <w:footnoteReference w:id="339"/>
      </w:r>
      <w:r w:rsidRPr="0004711E">
        <w:rPr>
          <w:rFonts w:cs="David" w:hint="cs"/>
          <w:sz w:val="28"/>
          <w:szCs w:val="28"/>
          <w:rtl/>
        </w:rPr>
        <w:t>.</w:t>
      </w:r>
    </w:p>
    <w:p w:rsidR="00A16FFD" w:rsidRPr="0004711E" w:rsidRDefault="00A16FFD" w:rsidP="00A16FFD">
      <w:pPr>
        <w:spacing w:after="0" w:line="360" w:lineRule="auto"/>
        <w:jc w:val="both"/>
        <w:rPr>
          <w:rFonts w:cs="David"/>
          <w:sz w:val="28"/>
          <w:szCs w:val="28"/>
          <w:rtl/>
        </w:rPr>
      </w:pPr>
    </w:p>
    <w:p w:rsidR="00A16FFD" w:rsidRPr="00C22118" w:rsidRDefault="00A16FFD" w:rsidP="00C22118">
      <w:pPr>
        <w:pStyle w:val="a9"/>
        <w:numPr>
          <w:ilvl w:val="0"/>
          <w:numId w:val="28"/>
        </w:numPr>
        <w:spacing w:after="0" w:line="360" w:lineRule="auto"/>
        <w:jc w:val="both"/>
        <w:outlineLvl w:val="1"/>
        <w:rPr>
          <w:rFonts w:cs="David"/>
          <w:b/>
          <w:bCs/>
          <w:sz w:val="28"/>
          <w:szCs w:val="28"/>
          <w:rtl/>
        </w:rPr>
      </w:pPr>
      <w:bookmarkStart w:id="112" w:name="_Toc456027367"/>
      <w:r w:rsidRPr="00C22118">
        <w:rPr>
          <w:rFonts w:cs="David" w:hint="cs"/>
          <w:b/>
          <w:bCs/>
          <w:sz w:val="28"/>
          <w:szCs w:val="28"/>
          <w:rtl/>
        </w:rPr>
        <w:lastRenderedPageBreak/>
        <w:t>הוועדה לחקירת העימות בעזה במבצע "צוק איתן" (2014)</w:t>
      </w:r>
      <w:bookmarkEnd w:id="112"/>
    </w:p>
    <w:p w:rsidR="00A16FFD" w:rsidRPr="0004711E" w:rsidRDefault="00A16FFD" w:rsidP="00A16FFD">
      <w:pPr>
        <w:spacing w:after="0" w:line="360" w:lineRule="auto"/>
        <w:jc w:val="both"/>
        <w:rPr>
          <w:rFonts w:cs="David"/>
          <w:sz w:val="28"/>
          <w:szCs w:val="28"/>
          <w:rtl/>
        </w:rPr>
      </w:pPr>
    </w:p>
    <w:p w:rsidR="00A16FFD" w:rsidRPr="0004711E" w:rsidRDefault="00A16FFD" w:rsidP="00A16FFD">
      <w:pPr>
        <w:spacing w:after="0" w:line="360" w:lineRule="auto"/>
        <w:jc w:val="both"/>
        <w:rPr>
          <w:rFonts w:cs="David"/>
          <w:sz w:val="28"/>
          <w:szCs w:val="28"/>
          <w:rtl/>
        </w:rPr>
      </w:pPr>
      <w:r w:rsidRPr="0004711E">
        <w:rPr>
          <w:rFonts w:cs="David" w:hint="cs"/>
          <w:sz w:val="28"/>
          <w:szCs w:val="28"/>
          <w:rtl/>
        </w:rPr>
        <w:t>הוועדה (</w:t>
      </w:r>
      <w:r>
        <w:rPr>
          <w:rFonts w:cs="David" w:hint="cs"/>
          <w:sz w:val="28"/>
          <w:szCs w:val="28"/>
          <w:rtl/>
        </w:rPr>
        <w:t>בעבודה זו</w:t>
      </w:r>
      <w:r w:rsidRPr="0004711E">
        <w:rPr>
          <w:rFonts w:cs="David" w:hint="cs"/>
          <w:sz w:val="28"/>
          <w:szCs w:val="28"/>
          <w:rtl/>
        </w:rPr>
        <w:t xml:space="preserve"> </w:t>
      </w:r>
      <w:r w:rsidRPr="0004711E">
        <w:rPr>
          <w:rFonts w:cs="David"/>
          <w:sz w:val="28"/>
          <w:szCs w:val="28"/>
          <w:rtl/>
        </w:rPr>
        <w:t>–</w:t>
      </w:r>
      <w:r w:rsidRPr="0004711E">
        <w:rPr>
          <w:rFonts w:cs="David" w:hint="cs"/>
          <w:sz w:val="28"/>
          <w:szCs w:val="28"/>
          <w:rtl/>
        </w:rPr>
        <w:t xml:space="preserve"> ועדת צוק איתן) מונתה </w:t>
      </w:r>
      <w:r>
        <w:rPr>
          <w:rFonts w:cs="David" w:hint="cs"/>
          <w:sz w:val="28"/>
          <w:szCs w:val="28"/>
          <w:rtl/>
        </w:rPr>
        <w:t>על ידי</w:t>
      </w:r>
      <w:r w:rsidRPr="0004711E">
        <w:rPr>
          <w:rFonts w:cs="David" w:hint="cs"/>
          <w:sz w:val="28"/>
          <w:szCs w:val="28"/>
          <w:rtl/>
        </w:rPr>
        <w:t xml:space="preserve"> מועצת זכויות האדם של האו"ם כ-</w:t>
      </w:r>
      <w:r w:rsidRPr="0004711E">
        <w:rPr>
          <w:rFonts w:cs="David" w:hint="cs"/>
          <w:sz w:val="28"/>
          <w:szCs w:val="28"/>
        </w:rPr>
        <w:t>COI</w:t>
      </w:r>
      <w:r w:rsidRPr="0004711E">
        <w:rPr>
          <w:rFonts w:cs="David" w:hint="cs"/>
          <w:sz w:val="28"/>
          <w:szCs w:val="28"/>
          <w:rtl/>
        </w:rPr>
        <w:t>, בהתאם להחלטת המועצה מיום 23.07.14</w:t>
      </w:r>
      <w:r w:rsidRPr="0004711E">
        <w:rPr>
          <w:rStyle w:val="a7"/>
          <w:rFonts w:cs="David"/>
          <w:sz w:val="28"/>
          <w:szCs w:val="28"/>
          <w:rtl/>
        </w:rPr>
        <w:footnoteReference w:id="340"/>
      </w:r>
      <w:r w:rsidRPr="0004711E">
        <w:rPr>
          <w:rFonts w:cs="David" w:hint="cs"/>
          <w:sz w:val="28"/>
          <w:szCs w:val="28"/>
          <w:rtl/>
        </w:rPr>
        <w:t>, בשיאו של מבצע "צוק איתן"</w:t>
      </w:r>
      <w:r>
        <w:rPr>
          <w:rFonts w:cs="David" w:hint="cs"/>
          <w:sz w:val="28"/>
          <w:szCs w:val="28"/>
          <w:rtl/>
        </w:rPr>
        <w:t>,</w:t>
      </w:r>
      <w:r w:rsidRPr="0004711E">
        <w:rPr>
          <w:rFonts w:cs="David" w:hint="cs"/>
          <w:sz w:val="28"/>
          <w:szCs w:val="28"/>
          <w:rtl/>
        </w:rPr>
        <w:t xml:space="preserve"> אותו מונתה הוועדה לבדוק. המנדט שקיבלה הוועדה היה "</w:t>
      </w:r>
      <w:r w:rsidRPr="0004711E">
        <w:rPr>
          <w:rFonts w:ascii="Calibri" w:eastAsia="Calibri" w:hAnsi="Calibri" w:cs="David"/>
          <w:sz w:val="28"/>
          <w:szCs w:val="28"/>
        </w:rPr>
        <w:t>to investigate all violations of international humanitarian law and international human rights law in the Occupied Palestinian Territory, including East Jerusalem, particularly in the occupied Gaza Strip, in the context of the military operations conducted since 13 June 2014, whether before, during or after, to establish the facts and circumstances of such violations and of the crimes perpetrated and to identify those responsible, to make recommendations, in particular on accountability measures, all with a view to avoiding and ending impunity and ensuring that those responsible are held accountable, and on ways and means to protect civilians against any further assaults</w:t>
      </w:r>
      <w:r w:rsidRPr="0004711E">
        <w:rPr>
          <w:rFonts w:cs="David" w:hint="cs"/>
          <w:sz w:val="28"/>
          <w:szCs w:val="28"/>
          <w:rtl/>
        </w:rPr>
        <w:t xml:space="preserve">". </w:t>
      </w:r>
      <w:r>
        <w:rPr>
          <w:rFonts w:cs="David" w:hint="cs"/>
          <w:sz w:val="28"/>
          <w:szCs w:val="28"/>
          <w:rtl/>
        </w:rPr>
        <w:t xml:space="preserve">ההחלטה שקבעה את מנדט הוועדה רצופה גינויים קשים למדינת ישראל ואין בה אזכור כלשהו לחמאס. </w:t>
      </w:r>
      <w:r w:rsidRPr="0004711E">
        <w:rPr>
          <w:rFonts w:cs="David" w:hint="cs"/>
          <w:sz w:val="28"/>
          <w:szCs w:val="28"/>
          <w:rtl/>
        </w:rPr>
        <w:t>לראשות הוועדה מונה פרופסור ויליאם שאבאס מקנדה, ולאחר התפטרותו הוא הוחלף בחברת הוועדה, השופטת מארי מקגאוון</w:t>
      </w:r>
      <w:r>
        <w:rPr>
          <w:rFonts w:cs="David" w:hint="cs"/>
          <w:sz w:val="28"/>
          <w:szCs w:val="28"/>
          <w:rtl/>
        </w:rPr>
        <w:t>-</w:t>
      </w:r>
      <w:r w:rsidRPr="0004711E">
        <w:rPr>
          <w:rFonts w:cs="David" w:hint="cs"/>
          <w:sz w:val="28"/>
          <w:szCs w:val="28"/>
          <w:rtl/>
        </w:rPr>
        <w:t>דיוויס מארצות הברית. הוועדה הגישה את הדוח שלה ביום 22.06.15</w:t>
      </w:r>
      <w:bookmarkStart w:id="113" w:name="_Ref454788759"/>
      <w:r w:rsidRPr="0004711E">
        <w:rPr>
          <w:rStyle w:val="a7"/>
          <w:rFonts w:cs="David"/>
          <w:sz w:val="28"/>
          <w:szCs w:val="28"/>
          <w:rtl/>
        </w:rPr>
        <w:footnoteReference w:id="341"/>
      </w:r>
      <w:bookmarkEnd w:id="113"/>
      <w:r w:rsidRPr="0004711E">
        <w:rPr>
          <w:rFonts w:cs="David" w:hint="cs"/>
          <w:sz w:val="28"/>
          <w:szCs w:val="28"/>
          <w:rtl/>
        </w:rPr>
        <w:t xml:space="preserve">. הוועדה מציינת שלא זכתה לשיתוף פעולה מצד ישראל ושבקשתה להיכנס לרצועת עזה נדחתה הן </w:t>
      </w:r>
      <w:r>
        <w:rPr>
          <w:rFonts w:cs="David" w:hint="cs"/>
          <w:sz w:val="28"/>
          <w:szCs w:val="28"/>
          <w:rtl/>
        </w:rPr>
        <w:t>על ידי</w:t>
      </w:r>
      <w:r w:rsidRPr="0004711E">
        <w:rPr>
          <w:rFonts w:cs="David" w:hint="cs"/>
          <w:sz w:val="28"/>
          <w:szCs w:val="28"/>
          <w:rtl/>
        </w:rPr>
        <w:t xml:space="preserve"> ישראל והן </w:t>
      </w:r>
      <w:r>
        <w:rPr>
          <w:rFonts w:cs="David" w:hint="cs"/>
          <w:sz w:val="28"/>
          <w:szCs w:val="28"/>
          <w:rtl/>
        </w:rPr>
        <w:t>על ידי</w:t>
      </w:r>
      <w:r w:rsidRPr="0004711E">
        <w:rPr>
          <w:rFonts w:cs="David" w:hint="cs"/>
          <w:sz w:val="28"/>
          <w:szCs w:val="28"/>
          <w:rtl/>
        </w:rPr>
        <w:t xml:space="preserve"> מצרים</w:t>
      </w:r>
      <w:r w:rsidRPr="0004711E">
        <w:rPr>
          <w:rStyle w:val="a7"/>
          <w:rFonts w:cs="David"/>
          <w:sz w:val="28"/>
          <w:szCs w:val="28"/>
          <w:rtl/>
        </w:rPr>
        <w:footnoteReference w:id="342"/>
      </w:r>
      <w:r w:rsidRPr="0004711E">
        <w:rPr>
          <w:rFonts w:cs="David" w:hint="cs"/>
          <w:sz w:val="28"/>
          <w:szCs w:val="28"/>
          <w:rtl/>
        </w:rPr>
        <w:t>.</w:t>
      </w:r>
    </w:p>
    <w:p w:rsidR="00E057C9" w:rsidRDefault="00E057C9">
      <w:pPr>
        <w:bidi w:val="0"/>
        <w:rPr>
          <w:rFonts w:cs="David"/>
          <w:sz w:val="28"/>
          <w:szCs w:val="28"/>
          <w:rtl/>
        </w:rPr>
      </w:pPr>
      <w:r>
        <w:rPr>
          <w:rFonts w:cs="David"/>
          <w:sz w:val="28"/>
          <w:szCs w:val="28"/>
          <w:rtl/>
        </w:rPr>
        <w:br w:type="page"/>
      </w:r>
    </w:p>
    <w:p w:rsidR="00A16FFD" w:rsidRPr="00C22118" w:rsidRDefault="00A16FFD" w:rsidP="00C22118">
      <w:pPr>
        <w:pStyle w:val="a9"/>
        <w:numPr>
          <w:ilvl w:val="0"/>
          <w:numId w:val="28"/>
        </w:numPr>
        <w:spacing w:after="0" w:line="360" w:lineRule="auto"/>
        <w:jc w:val="both"/>
        <w:outlineLvl w:val="1"/>
        <w:rPr>
          <w:rFonts w:cs="David"/>
          <w:b/>
          <w:bCs/>
          <w:sz w:val="28"/>
          <w:szCs w:val="28"/>
          <w:rtl/>
        </w:rPr>
      </w:pPr>
      <w:bookmarkStart w:id="114" w:name="_Toc455336942"/>
      <w:bookmarkStart w:id="115" w:name="_Toc456027368"/>
      <w:bookmarkEnd w:id="114"/>
      <w:r w:rsidRPr="00C22118">
        <w:rPr>
          <w:rFonts w:cs="David" w:hint="cs"/>
          <w:b/>
          <w:bCs/>
          <w:sz w:val="28"/>
          <w:szCs w:val="28"/>
          <w:rtl/>
        </w:rPr>
        <w:lastRenderedPageBreak/>
        <w:t>ועדת החקירה בעקבות הפגיעות במתקני או"ם או באנשים ששהו בהם במהלך מבצע "צוק איתן" (2014)</w:t>
      </w:r>
      <w:bookmarkEnd w:id="115"/>
    </w:p>
    <w:p w:rsidR="00A16FFD" w:rsidRPr="0004711E" w:rsidRDefault="00A16FFD" w:rsidP="00A16FFD">
      <w:pPr>
        <w:spacing w:after="0" w:line="360" w:lineRule="auto"/>
        <w:jc w:val="both"/>
        <w:rPr>
          <w:rFonts w:cs="David"/>
          <w:sz w:val="28"/>
          <w:szCs w:val="28"/>
          <w:rtl/>
        </w:rPr>
      </w:pPr>
    </w:p>
    <w:p w:rsidR="00A16FFD" w:rsidRPr="0004711E" w:rsidRDefault="00A16FFD" w:rsidP="00A16FFD">
      <w:pPr>
        <w:spacing w:after="0" w:line="360" w:lineRule="auto"/>
        <w:jc w:val="both"/>
        <w:rPr>
          <w:rFonts w:cs="David"/>
          <w:sz w:val="28"/>
          <w:szCs w:val="28"/>
          <w:rtl/>
        </w:rPr>
      </w:pPr>
      <w:r w:rsidRPr="0004711E">
        <w:rPr>
          <w:rFonts w:cs="David" w:hint="cs"/>
          <w:sz w:val="28"/>
          <w:szCs w:val="28"/>
          <w:rtl/>
        </w:rPr>
        <w:t xml:space="preserve">הוועדה הוקמה ביום 10.11.14 </w:t>
      </w:r>
      <w:r>
        <w:rPr>
          <w:rFonts w:cs="David" w:hint="cs"/>
          <w:sz w:val="28"/>
          <w:szCs w:val="28"/>
          <w:rtl/>
        </w:rPr>
        <w:t>על ידי</w:t>
      </w:r>
      <w:r w:rsidRPr="0004711E">
        <w:rPr>
          <w:rFonts w:cs="David" w:hint="cs"/>
          <w:sz w:val="28"/>
          <w:szCs w:val="28"/>
          <w:rtl/>
        </w:rPr>
        <w:t xml:space="preserve"> מזכ"ל האו"ם כדי לבחון </w:t>
      </w:r>
      <w:r>
        <w:rPr>
          <w:rFonts w:cs="David" w:hint="cs"/>
          <w:sz w:val="28"/>
          <w:szCs w:val="28"/>
          <w:rtl/>
        </w:rPr>
        <w:t>עשרה</w:t>
      </w:r>
      <w:r w:rsidRPr="0004711E">
        <w:rPr>
          <w:rFonts w:cs="David" w:hint="cs"/>
          <w:sz w:val="28"/>
          <w:szCs w:val="28"/>
          <w:rtl/>
        </w:rPr>
        <w:t xml:space="preserve"> אירועים ממבצע "צוק איתן", בהם נפגעו מתקני או"ם או האנשים ששהו בהם, ואירועים שבהם נמצא נשק במתקני או"ם. הוועדה הוקמה כ-</w:t>
      </w:r>
      <w:r w:rsidRPr="0004711E">
        <w:rPr>
          <w:rFonts w:cs="David" w:hint="cs"/>
          <w:sz w:val="28"/>
          <w:szCs w:val="28"/>
        </w:rPr>
        <w:t>BOI</w:t>
      </w:r>
      <w:r w:rsidRPr="0004711E">
        <w:rPr>
          <w:rFonts w:cs="David" w:hint="cs"/>
          <w:sz w:val="28"/>
          <w:szCs w:val="28"/>
          <w:rtl/>
        </w:rPr>
        <w:t xml:space="preserve">. הוועדה התבקשה </w:t>
      </w:r>
      <w:r>
        <w:rPr>
          <w:rFonts w:cs="David" w:hint="cs"/>
          <w:sz w:val="28"/>
          <w:szCs w:val="28"/>
          <w:rtl/>
        </w:rPr>
        <w:t>על ידי</w:t>
      </w:r>
      <w:r w:rsidRPr="0004711E">
        <w:rPr>
          <w:rFonts w:cs="David" w:hint="cs"/>
          <w:sz w:val="28"/>
          <w:szCs w:val="28"/>
          <w:rtl/>
        </w:rPr>
        <w:t xml:space="preserve"> המזכ"ל לבסס את העובדות הנוגעות למקרים האמורים לעיל, מבלי לקבוע קביעות משפטיות כלשהן. בראש הוועדה עמד הגנרל </w:t>
      </w:r>
      <w:r w:rsidRPr="0004711E">
        <w:rPr>
          <w:rFonts w:cs="David"/>
          <w:sz w:val="28"/>
          <w:szCs w:val="28"/>
        </w:rPr>
        <w:t>Patrick Cammaert</w:t>
      </w:r>
      <w:r w:rsidRPr="0004711E">
        <w:rPr>
          <w:rFonts w:cs="David" w:hint="cs"/>
          <w:sz w:val="28"/>
          <w:szCs w:val="28"/>
          <w:rtl/>
        </w:rPr>
        <w:t xml:space="preserve"> מהולנד. הוועדה הגישה את הדוח שלה למזכ"ל ביום 05.02.15, והמזכ"ל מסר את תמצית הדוח למועצת הביטחון ביום 27.04.15</w:t>
      </w:r>
      <w:r w:rsidRPr="0004711E">
        <w:rPr>
          <w:rStyle w:val="a7"/>
          <w:rFonts w:cs="David"/>
          <w:sz w:val="28"/>
          <w:szCs w:val="28"/>
          <w:rtl/>
        </w:rPr>
        <w:footnoteReference w:id="343"/>
      </w:r>
      <w:r w:rsidRPr="0004711E">
        <w:rPr>
          <w:rFonts w:cs="David" w:hint="cs"/>
          <w:sz w:val="28"/>
          <w:szCs w:val="28"/>
          <w:rtl/>
        </w:rPr>
        <w:t>. הוועדה זכתה לשיתוף פעולה מלא מצד מדינת ישראל.</w:t>
      </w:r>
    </w:p>
    <w:p w:rsidR="009B636F" w:rsidRDefault="009B636F">
      <w:pPr>
        <w:bidi w:val="0"/>
        <w:rPr>
          <w:rFonts w:cs="David"/>
          <w:sz w:val="28"/>
          <w:szCs w:val="28"/>
          <w:rtl/>
        </w:rPr>
      </w:pPr>
      <w:r>
        <w:rPr>
          <w:rFonts w:cs="David"/>
          <w:sz w:val="28"/>
          <w:szCs w:val="28"/>
          <w:rtl/>
        </w:rPr>
        <w:br w:type="page"/>
      </w:r>
    </w:p>
    <w:p w:rsidR="009B636F" w:rsidRPr="00FA11B8" w:rsidRDefault="009B636F" w:rsidP="00FA11B8">
      <w:pPr>
        <w:pStyle w:val="1"/>
        <w:bidi/>
        <w:rPr>
          <w:rFonts w:cs="David"/>
          <w:sz w:val="32"/>
          <w:szCs w:val="32"/>
          <w:rtl/>
        </w:rPr>
      </w:pPr>
      <w:bookmarkStart w:id="116" w:name="_Toc456027369"/>
      <w:r w:rsidRPr="00FA11B8">
        <w:rPr>
          <w:rFonts w:cs="David" w:hint="cs"/>
          <w:sz w:val="32"/>
          <w:szCs w:val="32"/>
          <w:rtl/>
        </w:rPr>
        <w:lastRenderedPageBreak/>
        <w:t>ביבליוגרפיה</w:t>
      </w:r>
      <w:bookmarkEnd w:id="116"/>
    </w:p>
    <w:p w:rsidR="009B636F" w:rsidRPr="009B636F" w:rsidRDefault="009B636F" w:rsidP="009B636F">
      <w:pPr>
        <w:spacing w:after="0" w:line="360" w:lineRule="auto"/>
        <w:jc w:val="both"/>
        <w:rPr>
          <w:rFonts w:cs="David"/>
          <w:b/>
          <w:bCs/>
          <w:sz w:val="28"/>
          <w:szCs w:val="28"/>
          <w:rtl/>
        </w:rPr>
      </w:pPr>
    </w:p>
    <w:p w:rsidR="009B636F" w:rsidRPr="009B636F" w:rsidRDefault="009B636F" w:rsidP="009B636F">
      <w:pPr>
        <w:spacing w:after="0" w:line="360" w:lineRule="auto"/>
        <w:jc w:val="both"/>
        <w:rPr>
          <w:rFonts w:cs="David"/>
          <w:b/>
          <w:bCs/>
          <w:sz w:val="28"/>
          <w:szCs w:val="28"/>
          <w:rtl/>
        </w:rPr>
      </w:pPr>
      <w:r w:rsidRPr="009B636F">
        <w:rPr>
          <w:rFonts w:cs="David" w:hint="cs"/>
          <w:b/>
          <w:bCs/>
          <w:sz w:val="28"/>
          <w:szCs w:val="28"/>
          <w:rtl/>
        </w:rPr>
        <w:t>כתיבה אקדמית</w:t>
      </w:r>
    </w:p>
    <w:p w:rsidR="009B636F" w:rsidRPr="009B636F" w:rsidRDefault="009B636F" w:rsidP="009B636F">
      <w:pPr>
        <w:spacing w:after="0" w:line="360" w:lineRule="auto"/>
        <w:jc w:val="both"/>
        <w:rPr>
          <w:rFonts w:cs="David"/>
          <w:sz w:val="28"/>
          <w:szCs w:val="28"/>
          <w:u w:val="single"/>
        </w:rPr>
      </w:pPr>
    </w:p>
    <w:p w:rsidR="009B636F" w:rsidRPr="009B636F" w:rsidRDefault="009B636F" w:rsidP="009B636F">
      <w:pPr>
        <w:spacing w:after="0" w:line="360" w:lineRule="auto"/>
        <w:jc w:val="both"/>
        <w:rPr>
          <w:rFonts w:cs="David"/>
          <w:sz w:val="28"/>
          <w:szCs w:val="28"/>
          <w:rtl/>
        </w:rPr>
      </w:pPr>
      <w:r w:rsidRPr="009B636F">
        <w:rPr>
          <w:rFonts w:cs="David" w:hint="cs"/>
          <w:sz w:val="28"/>
          <w:szCs w:val="28"/>
          <w:rtl/>
        </w:rPr>
        <w:t>ספרים</w:t>
      </w:r>
    </w:p>
    <w:p w:rsidR="009B636F" w:rsidRPr="009B636F" w:rsidRDefault="009B636F" w:rsidP="009B636F">
      <w:pPr>
        <w:pStyle w:val="a5"/>
        <w:spacing w:line="360" w:lineRule="auto"/>
        <w:jc w:val="both"/>
        <w:rPr>
          <w:rFonts w:cs="David"/>
          <w:sz w:val="28"/>
          <w:szCs w:val="28"/>
          <w:rtl/>
        </w:rPr>
      </w:pPr>
    </w:p>
    <w:p w:rsidR="009B636F" w:rsidRPr="009B636F" w:rsidRDefault="009B636F" w:rsidP="009B636F">
      <w:pPr>
        <w:spacing w:after="0" w:line="360" w:lineRule="auto"/>
        <w:jc w:val="both"/>
        <w:rPr>
          <w:rFonts w:cs="David"/>
          <w:sz w:val="28"/>
          <w:szCs w:val="28"/>
          <w:rtl/>
        </w:rPr>
      </w:pPr>
      <w:r w:rsidRPr="009B636F">
        <w:rPr>
          <w:rFonts w:cs="David" w:hint="cs"/>
          <w:sz w:val="28"/>
          <w:szCs w:val="28"/>
          <w:rtl/>
        </w:rPr>
        <w:t xml:space="preserve">כהן עמיחי, כהן סטיוארט (2014), </w:t>
      </w:r>
      <w:r w:rsidRPr="009B636F">
        <w:rPr>
          <w:rFonts w:cs="David" w:hint="cs"/>
          <w:b/>
          <w:bCs/>
          <w:sz w:val="28"/>
          <w:szCs w:val="28"/>
          <w:rtl/>
        </w:rPr>
        <w:t>יורים ושופטים - ביטחון ומשפט בישראל</w:t>
      </w:r>
      <w:r w:rsidRPr="009B636F">
        <w:rPr>
          <w:rFonts w:cs="David" w:hint="cs"/>
          <w:sz w:val="28"/>
          <w:szCs w:val="28"/>
          <w:rtl/>
        </w:rPr>
        <w:t>, תל אביב: ידיעות אחרונות.</w:t>
      </w:r>
    </w:p>
    <w:p w:rsidR="009B636F" w:rsidRPr="009B636F" w:rsidRDefault="009B636F" w:rsidP="009B636F">
      <w:pPr>
        <w:spacing w:after="0" w:line="360" w:lineRule="auto"/>
        <w:jc w:val="both"/>
        <w:rPr>
          <w:rFonts w:asciiTheme="majorBidi" w:hAnsiTheme="majorBidi" w:cs="David"/>
          <w:sz w:val="28"/>
          <w:szCs w:val="28"/>
        </w:rPr>
      </w:pPr>
    </w:p>
    <w:p w:rsidR="009B636F" w:rsidRPr="00B726E5" w:rsidRDefault="009B636F" w:rsidP="009B636F">
      <w:pPr>
        <w:pStyle w:val="a5"/>
        <w:bidi w:val="0"/>
        <w:spacing w:line="360" w:lineRule="auto"/>
        <w:jc w:val="both"/>
        <w:rPr>
          <w:rFonts w:asciiTheme="majorBidi" w:hAnsiTheme="majorBidi" w:cstheme="majorBidi"/>
          <w:sz w:val="28"/>
          <w:szCs w:val="28"/>
        </w:rPr>
      </w:pPr>
      <w:r w:rsidRPr="00B726E5">
        <w:rPr>
          <w:rFonts w:asciiTheme="majorBidi" w:hAnsiTheme="majorBidi" w:cstheme="majorBidi"/>
          <w:sz w:val="28"/>
          <w:szCs w:val="28"/>
        </w:rPr>
        <w:t>Bassiouni</w:t>
      </w:r>
      <w:r>
        <w:rPr>
          <w:rFonts w:asciiTheme="majorBidi" w:hAnsiTheme="majorBidi" w:cstheme="majorBidi"/>
          <w:sz w:val="28"/>
          <w:szCs w:val="28"/>
        </w:rPr>
        <w:t xml:space="preserve"> </w:t>
      </w:r>
      <w:r w:rsidRPr="00B726E5">
        <w:rPr>
          <w:rFonts w:asciiTheme="majorBidi" w:hAnsiTheme="majorBidi" w:cstheme="majorBidi"/>
          <w:sz w:val="28"/>
          <w:szCs w:val="28"/>
        </w:rPr>
        <w:t xml:space="preserve">Cherif and Abraham Christina (2013), </w:t>
      </w:r>
      <w:r w:rsidRPr="00554981">
        <w:rPr>
          <w:rFonts w:asciiTheme="majorBidi" w:hAnsiTheme="majorBidi" w:cstheme="majorBidi"/>
          <w:b/>
          <w:bCs/>
          <w:sz w:val="28"/>
          <w:szCs w:val="28"/>
        </w:rPr>
        <w:t>Siracusa Guidelines for International, Regional and National Fact-Finding Bodies</w:t>
      </w:r>
      <w:r w:rsidRPr="00B726E5">
        <w:rPr>
          <w:rFonts w:asciiTheme="majorBidi" w:hAnsiTheme="majorBidi" w:cstheme="majorBidi"/>
          <w:sz w:val="28"/>
          <w:szCs w:val="28"/>
        </w:rPr>
        <w:t>, International Institute of Higher Studies in Criminal Sciences, Intersentia</w:t>
      </w:r>
      <w:r>
        <w:rPr>
          <w:rFonts w:asciiTheme="majorBidi" w:hAnsiTheme="majorBidi" w:cstheme="majorBidi"/>
          <w:sz w:val="28"/>
          <w:szCs w:val="28"/>
        </w:rPr>
        <w:t>.</w:t>
      </w:r>
    </w:p>
    <w:p w:rsidR="009B636F" w:rsidRPr="00B726E5" w:rsidRDefault="009B636F" w:rsidP="009B636F">
      <w:pPr>
        <w:pStyle w:val="a5"/>
        <w:bidi w:val="0"/>
        <w:spacing w:line="360" w:lineRule="auto"/>
        <w:jc w:val="both"/>
        <w:rPr>
          <w:rFonts w:asciiTheme="majorBidi" w:hAnsiTheme="majorBidi" w:cstheme="majorBidi"/>
          <w:sz w:val="28"/>
          <w:szCs w:val="28"/>
        </w:rPr>
      </w:pPr>
    </w:p>
    <w:p w:rsidR="009B636F" w:rsidRPr="00B726E5" w:rsidRDefault="009B636F" w:rsidP="009B636F">
      <w:pPr>
        <w:pStyle w:val="a5"/>
        <w:bidi w:val="0"/>
        <w:spacing w:line="360" w:lineRule="auto"/>
        <w:jc w:val="both"/>
        <w:rPr>
          <w:rFonts w:asciiTheme="majorBidi" w:hAnsiTheme="majorBidi" w:cstheme="majorBidi"/>
          <w:sz w:val="28"/>
          <w:szCs w:val="28"/>
          <w:rtl/>
        </w:rPr>
      </w:pPr>
      <w:r w:rsidRPr="00B726E5">
        <w:rPr>
          <w:rFonts w:asciiTheme="majorBidi" w:hAnsiTheme="majorBidi" w:cstheme="majorBidi"/>
          <w:sz w:val="28"/>
          <w:szCs w:val="28"/>
        </w:rPr>
        <w:t xml:space="preserve">Carr Edward Hallet (1939), </w:t>
      </w:r>
      <w:r w:rsidRPr="00B726E5">
        <w:rPr>
          <w:rFonts w:asciiTheme="majorBidi" w:hAnsiTheme="majorBidi" w:cstheme="majorBidi"/>
          <w:b/>
          <w:bCs/>
          <w:sz w:val="28"/>
          <w:szCs w:val="28"/>
        </w:rPr>
        <w:t>The Twenty Years' Crisis: 1919–1939: An Introduction to the Study of International Relations</w:t>
      </w:r>
      <w:r w:rsidRPr="00B726E5">
        <w:rPr>
          <w:rFonts w:asciiTheme="majorBidi" w:hAnsiTheme="majorBidi" w:cstheme="majorBidi"/>
          <w:sz w:val="28"/>
          <w:szCs w:val="28"/>
        </w:rPr>
        <w:t>, Palgrave Macmillan</w:t>
      </w:r>
      <w:r w:rsidRPr="00B726E5">
        <w:rPr>
          <w:rFonts w:asciiTheme="majorBidi" w:hAnsiTheme="majorBidi" w:cstheme="majorBidi"/>
          <w:sz w:val="28"/>
          <w:szCs w:val="28"/>
          <w:rtl/>
        </w:rPr>
        <w:t>.</w:t>
      </w:r>
    </w:p>
    <w:p w:rsidR="009B636F" w:rsidRPr="00B726E5" w:rsidRDefault="009B636F" w:rsidP="009B636F">
      <w:pPr>
        <w:pStyle w:val="a5"/>
        <w:bidi w:val="0"/>
        <w:spacing w:line="360" w:lineRule="auto"/>
        <w:jc w:val="both"/>
        <w:rPr>
          <w:rFonts w:asciiTheme="majorBidi" w:hAnsiTheme="majorBidi" w:cstheme="majorBidi"/>
          <w:sz w:val="28"/>
          <w:szCs w:val="28"/>
        </w:rPr>
      </w:pPr>
    </w:p>
    <w:p w:rsidR="009B636F" w:rsidRPr="00B726E5" w:rsidRDefault="009B636F" w:rsidP="009B636F">
      <w:pPr>
        <w:pStyle w:val="a5"/>
        <w:bidi w:val="0"/>
        <w:spacing w:line="360" w:lineRule="auto"/>
        <w:jc w:val="both"/>
        <w:rPr>
          <w:rFonts w:asciiTheme="majorBidi" w:hAnsiTheme="majorBidi" w:cstheme="majorBidi"/>
          <w:sz w:val="28"/>
          <w:szCs w:val="28"/>
          <w:rtl/>
        </w:rPr>
      </w:pPr>
      <w:r w:rsidRPr="00B726E5">
        <w:rPr>
          <w:rFonts w:asciiTheme="majorBidi" w:hAnsiTheme="majorBidi" w:cstheme="majorBidi"/>
          <w:sz w:val="28"/>
          <w:szCs w:val="28"/>
        </w:rPr>
        <w:t xml:space="preserve">Chayes Abram, Handler Chayes Antonia (1995), </w:t>
      </w:r>
      <w:r w:rsidRPr="00B726E5">
        <w:rPr>
          <w:rFonts w:asciiTheme="majorBidi" w:hAnsiTheme="majorBidi" w:cstheme="majorBidi"/>
          <w:b/>
          <w:bCs/>
          <w:sz w:val="28"/>
          <w:szCs w:val="28"/>
        </w:rPr>
        <w:t>The New Sovereignty</w:t>
      </w:r>
      <w:r w:rsidRPr="00B726E5">
        <w:rPr>
          <w:rFonts w:asciiTheme="majorBidi" w:hAnsiTheme="majorBidi" w:cstheme="majorBidi"/>
          <w:sz w:val="28"/>
          <w:szCs w:val="28"/>
        </w:rPr>
        <w:t xml:space="preserve"> - </w:t>
      </w:r>
      <w:r w:rsidRPr="00B726E5">
        <w:rPr>
          <w:rFonts w:asciiTheme="majorBidi" w:hAnsiTheme="majorBidi" w:cstheme="majorBidi"/>
          <w:b/>
          <w:bCs/>
          <w:sz w:val="28"/>
          <w:szCs w:val="28"/>
        </w:rPr>
        <w:t>Compliance with International Regulatory Agreements</w:t>
      </w:r>
      <w:r w:rsidRPr="00B726E5">
        <w:rPr>
          <w:rFonts w:asciiTheme="majorBidi" w:hAnsiTheme="majorBidi" w:cstheme="majorBidi"/>
          <w:sz w:val="28"/>
          <w:szCs w:val="28"/>
        </w:rPr>
        <w:t>, Harvard University Press</w:t>
      </w:r>
      <w:r>
        <w:rPr>
          <w:rFonts w:asciiTheme="majorBidi" w:hAnsiTheme="majorBidi" w:cstheme="majorBidi"/>
          <w:sz w:val="28"/>
          <w:szCs w:val="28"/>
        </w:rPr>
        <w:t>.</w:t>
      </w:r>
    </w:p>
    <w:p w:rsidR="009B636F" w:rsidRPr="00B726E5" w:rsidRDefault="009B636F" w:rsidP="009B636F">
      <w:pPr>
        <w:pStyle w:val="a5"/>
        <w:bidi w:val="0"/>
        <w:spacing w:line="360" w:lineRule="auto"/>
        <w:jc w:val="both"/>
        <w:rPr>
          <w:rFonts w:asciiTheme="majorBidi" w:hAnsiTheme="majorBidi" w:cstheme="majorBidi"/>
          <w:sz w:val="28"/>
          <w:szCs w:val="28"/>
        </w:rPr>
      </w:pPr>
    </w:p>
    <w:p w:rsidR="009B636F" w:rsidRPr="00B726E5" w:rsidRDefault="009B636F" w:rsidP="009B636F">
      <w:pPr>
        <w:pStyle w:val="a5"/>
        <w:bidi w:val="0"/>
        <w:spacing w:line="360" w:lineRule="auto"/>
        <w:jc w:val="both"/>
        <w:rPr>
          <w:rFonts w:asciiTheme="majorBidi" w:hAnsiTheme="majorBidi" w:cstheme="majorBidi"/>
          <w:sz w:val="28"/>
          <w:szCs w:val="28"/>
        </w:rPr>
      </w:pPr>
      <w:r w:rsidRPr="00B726E5">
        <w:rPr>
          <w:rFonts w:asciiTheme="majorBidi" w:hAnsiTheme="majorBidi" w:cstheme="majorBidi"/>
          <w:sz w:val="28"/>
          <w:szCs w:val="28"/>
        </w:rPr>
        <w:t xml:space="preserve">Clark Ann Marie (2001), </w:t>
      </w:r>
      <w:r w:rsidRPr="00554981">
        <w:rPr>
          <w:rFonts w:asciiTheme="majorBidi" w:hAnsiTheme="majorBidi" w:cstheme="majorBidi"/>
          <w:b/>
          <w:bCs/>
          <w:sz w:val="28"/>
          <w:szCs w:val="28"/>
        </w:rPr>
        <w:t>Diplomacy of Conscience: Amnesty International and Changing Human Rights Norms</w:t>
      </w:r>
      <w:r w:rsidRPr="00344286">
        <w:rPr>
          <w:rFonts w:asciiTheme="majorBidi" w:hAnsiTheme="majorBidi" w:cstheme="majorBidi"/>
          <w:sz w:val="28"/>
          <w:szCs w:val="28"/>
        </w:rPr>
        <w:t xml:space="preserve">, </w:t>
      </w:r>
      <w:r w:rsidRPr="008756A8">
        <w:rPr>
          <w:rFonts w:asciiTheme="majorBidi" w:hAnsiTheme="majorBidi" w:cstheme="majorBidi"/>
          <w:sz w:val="28"/>
          <w:szCs w:val="28"/>
        </w:rPr>
        <w:t>Princeton University Press</w:t>
      </w:r>
      <w:r>
        <w:rPr>
          <w:rFonts w:asciiTheme="majorBidi" w:hAnsiTheme="majorBidi" w:cstheme="majorBidi"/>
          <w:sz w:val="28"/>
          <w:szCs w:val="28"/>
        </w:rPr>
        <w:t>.</w:t>
      </w:r>
    </w:p>
    <w:p w:rsidR="009B636F" w:rsidRPr="00B726E5" w:rsidRDefault="009B636F" w:rsidP="009B636F">
      <w:pPr>
        <w:pStyle w:val="a5"/>
        <w:bidi w:val="0"/>
        <w:spacing w:line="360" w:lineRule="auto"/>
        <w:jc w:val="both"/>
        <w:rPr>
          <w:rFonts w:asciiTheme="majorBidi" w:hAnsiTheme="majorBidi" w:cstheme="majorBidi"/>
          <w:sz w:val="28"/>
          <w:szCs w:val="28"/>
        </w:rPr>
      </w:pPr>
    </w:p>
    <w:p w:rsidR="009B636F" w:rsidRPr="00B726E5" w:rsidRDefault="009B636F" w:rsidP="009B636F">
      <w:pPr>
        <w:pStyle w:val="a5"/>
        <w:bidi w:val="0"/>
        <w:spacing w:line="360" w:lineRule="auto"/>
        <w:jc w:val="both"/>
        <w:rPr>
          <w:rFonts w:asciiTheme="majorBidi" w:hAnsiTheme="majorBidi" w:cstheme="majorBidi"/>
          <w:sz w:val="28"/>
          <w:szCs w:val="28"/>
        </w:rPr>
      </w:pPr>
      <w:r w:rsidRPr="00B726E5">
        <w:rPr>
          <w:rFonts w:asciiTheme="majorBidi" w:hAnsiTheme="majorBidi" w:cstheme="majorBidi"/>
          <w:sz w:val="28"/>
          <w:szCs w:val="28"/>
        </w:rPr>
        <w:t xml:space="preserve">Franck Thomas (1990), </w:t>
      </w:r>
      <w:r w:rsidRPr="00B726E5">
        <w:rPr>
          <w:rFonts w:asciiTheme="majorBidi" w:hAnsiTheme="majorBidi" w:cstheme="majorBidi"/>
          <w:b/>
          <w:bCs/>
          <w:sz w:val="28"/>
          <w:szCs w:val="28"/>
        </w:rPr>
        <w:t>The Power of Legitimacy Among Nations</w:t>
      </w:r>
      <w:r w:rsidRPr="00B726E5">
        <w:rPr>
          <w:rFonts w:asciiTheme="majorBidi" w:hAnsiTheme="majorBidi" w:cstheme="majorBidi"/>
          <w:sz w:val="28"/>
          <w:szCs w:val="28"/>
        </w:rPr>
        <w:t>, Oxford University Press</w:t>
      </w:r>
      <w:r>
        <w:rPr>
          <w:rFonts w:asciiTheme="majorBidi" w:hAnsiTheme="majorBidi" w:cstheme="majorBidi"/>
          <w:sz w:val="28"/>
          <w:szCs w:val="28"/>
        </w:rPr>
        <w:t>.</w:t>
      </w:r>
    </w:p>
    <w:p w:rsidR="009B636F" w:rsidRPr="00B726E5" w:rsidRDefault="009B636F" w:rsidP="009B636F">
      <w:pPr>
        <w:pStyle w:val="a5"/>
        <w:bidi w:val="0"/>
        <w:spacing w:line="360" w:lineRule="auto"/>
        <w:jc w:val="both"/>
        <w:rPr>
          <w:rFonts w:asciiTheme="majorBidi" w:hAnsiTheme="majorBidi" w:cstheme="majorBidi"/>
          <w:sz w:val="28"/>
          <w:szCs w:val="28"/>
          <w:rtl/>
        </w:rPr>
      </w:pPr>
    </w:p>
    <w:p w:rsidR="009B636F" w:rsidRPr="00B726E5" w:rsidRDefault="009B636F" w:rsidP="009B636F">
      <w:pPr>
        <w:pStyle w:val="a5"/>
        <w:bidi w:val="0"/>
        <w:spacing w:line="360" w:lineRule="auto"/>
        <w:jc w:val="both"/>
        <w:rPr>
          <w:rFonts w:asciiTheme="majorBidi" w:hAnsiTheme="majorBidi" w:cstheme="majorBidi"/>
          <w:sz w:val="28"/>
          <w:szCs w:val="28"/>
          <w:rtl/>
        </w:rPr>
      </w:pPr>
      <w:r w:rsidRPr="00B726E5">
        <w:rPr>
          <w:rFonts w:asciiTheme="majorBidi" w:hAnsiTheme="majorBidi" w:cstheme="majorBidi"/>
          <w:sz w:val="28"/>
          <w:szCs w:val="28"/>
        </w:rPr>
        <w:lastRenderedPageBreak/>
        <w:t xml:space="preserve">Henkin Louis (1979), </w:t>
      </w:r>
      <w:r w:rsidRPr="00B726E5">
        <w:rPr>
          <w:rFonts w:asciiTheme="majorBidi" w:hAnsiTheme="majorBidi" w:cstheme="majorBidi"/>
          <w:b/>
          <w:bCs/>
          <w:sz w:val="28"/>
          <w:szCs w:val="28"/>
        </w:rPr>
        <w:t>How Nations Behave</w:t>
      </w:r>
      <w:r w:rsidRPr="00B726E5">
        <w:rPr>
          <w:rFonts w:asciiTheme="majorBidi" w:hAnsiTheme="majorBidi" w:cstheme="majorBidi"/>
          <w:sz w:val="28"/>
          <w:szCs w:val="28"/>
        </w:rPr>
        <w:t>, 2</w:t>
      </w:r>
      <w:r w:rsidRPr="00B726E5">
        <w:rPr>
          <w:rFonts w:asciiTheme="majorBidi" w:hAnsiTheme="majorBidi" w:cstheme="majorBidi"/>
          <w:sz w:val="28"/>
          <w:szCs w:val="28"/>
          <w:vertAlign w:val="superscript"/>
        </w:rPr>
        <w:t>nd</w:t>
      </w:r>
      <w:r w:rsidRPr="00B726E5">
        <w:rPr>
          <w:rFonts w:asciiTheme="majorBidi" w:hAnsiTheme="majorBidi" w:cstheme="majorBidi"/>
          <w:sz w:val="28"/>
          <w:szCs w:val="28"/>
        </w:rPr>
        <w:t xml:space="preserve"> edition, Council on Foreign Relations</w:t>
      </w:r>
      <w:r>
        <w:rPr>
          <w:rFonts w:asciiTheme="majorBidi" w:hAnsiTheme="majorBidi" w:cstheme="majorBidi"/>
          <w:sz w:val="28"/>
          <w:szCs w:val="28"/>
        </w:rPr>
        <w:t>.</w:t>
      </w:r>
    </w:p>
    <w:p w:rsidR="009B636F" w:rsidRPr="00B726E5" w:rsidRDefault="009B636F" w:rsidP="009B636F">
      <w:pPr>
        <w:pStyle w:val="a5"/>
        <w:bidi w:val="0"/>
        <w:spacing w:line="360" w:lineRule="auto"/>
        <w:jc w:val="both"/>
        <w:rPr>
          <w:rFonts w:asciiTheme="majorBidi" w:eastAsia="Times New Roman" w:hAnsiTheme="majorBidi" w:cstheme="majorBidi"/>
          <w:kern w:val="36"/>
          <w:sz w:val="28"/>
          <w:szCs w:val="28"/>
        </w:rPr>
      </w:pPr>
    </w:p>
    <w:p w:rsidR="009B636F" w:rsidRPr="00B726E5" w:rsidRDefault="009B636F" w:rsidP="009B636F">
      <w:pPr>
        <w:pStyle w:val="a5"/>
        <w:bidi w:val="0"/>
        <w:spacing w:line="360" w:lineRule="auto"/>
        <w:jc w:val="both"/>
        <w:rPr>
          <w:rFonts w:asciiTheme="majorBidi" w:hAnsiTheme="majorBidi" w:cstheme="majorBidi"/>
          <w:sz w:val="28"/>
          <w:szCs w:val="28"/>
          <w:rtl/>
        </w:rPr>
      </w:pPr>
      <w:r w:rsidRPr="00B726E5">
        <w:rPr>
          <w:rFonts w:asciiTheme="majorBidi" w:hAnsiTheme="majorBidi" w:cstheme="majorBidi"/>
          <w:sz w:val="28"/>
          <w:szCs w:val="28"/>
        </w:rPr>
        <w:t xml:space="preserve">Hobbes Thomas (1651), </w:t>
      </w:r>
      <w:r w:rsidRPr="00B726E5">
        <w:rPr>
          <w:rFonts w:asciiTheme="majorBidi" w:hAnsiTheme="majorBidi" w:cstheme="majorBidi"/>
          <w:b/>
          <w:bCs/>
          <w:sz w:val="28"/>
          <w:szCs w:val="28"/>
        </w:rPr>
        <w:t>Leviathan</w:t>
      </w:r>
      <w:r w:rsidRPr="00B726E5">
        <w:rPr>
          <w:rFonts w:asciiTheme="majorBidi" w:hAnsiTheme="majorBidi" w:cstheme="majorBidi"/>
          <w:sz w:val="28"/>
          <w:szCs w:val="28"/>
        </w:rPr>
        <w:t>, Cambridge University Press, New York</w:t>
      </w:r>
      <w:r>
        <w:rPr>
          <w:rFonts w:asciiTheme="majorBidi" w:hAnsiTheme="majorBidi" w:cstheme="majorBidi"/>
          <w:sz w:val="28"/>
          <w:szCs w:val="28"/>
        </w:rPr>
        <w:t>.</w:t>
      </w:r>
    </w:p>
    <w:p w:rsidR="009B636F" w:rsidRPr="00B726E5" w:rsidRDefault="009B636F" w:rsidP="009B636F">
      <w:pPr>
        <w:pStyle w:val="a5"/>
        <w:bidi w:val="0"/>
        <w:spacing w:line="360" w:lineRule="auto"/>
        <w:jc w:val="both"/>
        <w:rPr>
          <w:rFonts w:asciiTheme="majorBidi" w:eastAsia="Times New Roman" w:hAnsiTheme="majorBidi" w:cstheme="majorBidi"/>
          <w:kern w:val="36"/>
          <w:sz w:val="28"/>
          <w:szCs w:val="28"/>
        </w:rPr>
      </w:pPr>
    </w:p>
    <w:p w:rsidR="009B636F" w:rsidRPr="00B726E5" w:rsidRDefault="009B636F" w:rsidP="009B636F">
      <w:pPr>
        <w:bidi w:val="0"/>
        <w:spacing w:after="0" w:line="360" w:lineRule="auto"/>
        <w:jc w:val="both"/>
        <w:rPr>
          <w:rFonts w:asciiTheme="majorBidi" w:hAnsiTheme="majorBidi" w:cstheme="majorBidi"/>
          <w:sz w:val="28"/>
          <w:szCs w:val="28"/>
        </w:rPr>
      </w:pPr>
      <w:r w:rsidRPr="00B726E5">
        <w:rPr>
          <w:rFonts w:asciiTheme="majorBidi" w:hAnsiTheme="majorBidi" w:cstheme="majorBidi"/>
          <w:sz w:val="28"/>
          <w:szCs w:val="28"/>
        </w:rPr>
        <w:t>HPCR</w:t>
      </w:r>
      <w:r>
        <w:rPr>
          <w:rFonts w:asciiTheme="majorBidi" w:hAnsiTheme="majorBidi" w:cstheme="majorBidi"/>
          <w:sz w:val="28"/>
          <w:szCs w:val="28"/>
        </w:rPr>
        <w:t xml:space="preserve"> (2015), </w:t>
      </w:r>
      <w:r w:rsidRPr="00255A96">
        <w:rPr>
          <w:rFonts w:asciiTheme="majorBidi" w:hAnsiTheme="majorBidi" w:cstheme="majorBidi"/>
          <w:b/>
          <w:bCs/>
          <w:sz w:val="28"/>
          <w:szCs w:val="28"/>
        </w:rPr>
        <w:t>HPCR Advanced Practitioner's Handbook on Commissions of Inquiry – Monitoring, Reporting and Fact-Finding</w:t>
      </w:r>
      <w:r w:rsidRPr="00B726E5">
        <w:rPr>
          <w:rFonts w:asciiTheme="majorBidi" w:hAnsiTheme="majorBidi" w:cstheme="majorBidi"/>
          <w:sz w:val="28"/>
          <w:szCs w:val="28"/>
        </w:rPr>
        <w:t>, Harvard Humanitarian Initiative, Program on Humanitarian Policy and Conflict Research</w:t>
      </w:r>
      <w:r>
        <w:rPr>
          <w:rFonts w:asciiTheme="majorBidi" w:hAnsiTheme="majorBidi" w:cstheme="majorBidi"/>
          <w:sz w:val="28"/>
          <w:szCs w:val="28"/>
        </w:rPr>
        <w:t>.</w:t>
      </w:r>
    </w:p>
    <w:p w:rsidR="009B636F" w:rsidRPr="00B726E5" w:rsidRDefault="009B636F" w:rsidP="009B636F">
      <w:pPr>
        <w:bidi w:val="0"/>
        <w:spacing w:after="0" w:line="360" w:lineRule="auto"/>
        <w:jc w:val="both"/>
        <w:rPr>
          <w:rFonts w:asciiTheme="majorBidi" w:hAnsiTheme="majorBidi" w:cstheme="majorBidi"/>
          <w:sz w:val="28"/>
          <w:szCs w:val="28"/>
        </w:rPr>
      </w:pPr>
      <w:hyperlink r:id="rId11" w:history="1">
        <w:r w:rsidRPr="00B726E5">
          <w:rPr>
            <w:rStyle w:val="Hyperlink"/>
            <w:rFonts w:asciiTheme="majorBidi" w:hAnsiTheme="majorBidi" w:cstheme="majorBidi"/>
            <w:sz w:val="28"/>
            <w:szCs w:val="28"/>
          </w:rPr>
          <w:t>http://www.hpcrresearch.org/sites/default/files/publications/HPCR%20Handbook%20March%202015.pdf</w:t>
        </w:r>
      </w:hyperlink>
    </w:p>
    <w:p w:rsidR="009B636F" w:rsidRPr="00B726E5" w:rsidRDefault="009B636F" w:rsidP="009B636F">
      <w:pPr>
        <w:pStyle w:val="a5"/>
        <w:bidi w:val="0"/>
        <w:spacing w:line="360" w:lineRule="auto"/>
        <w:jc w:val="both"/>
        <w:rPr>
          <w:rFonts w:asciiTheme="majorBidi" w:hAnsiTheme="majorBidi" w:cstheme="majorBidi"/>
          <w:sz w:val="28"/>
          <w:szCs w:val="28"/>
        </w:rPr>
      </w:pPr>
    </w:p>
    <w:p w:rsidR="009B636F" w:rsidRPr="00B726E5" w:rsidRDefault="009B636F" w:rsidP="009B636F">
      <w:pPr>
        <w:pStyle w:val="a5"/>
        <w:bidi w:val="0"/>
        <w:spacing w:line="360" w:lineRule="auto"/>
        <w:jc w:val="both"/>
        <w:rPr>
          <w:rFonts w:asciiTheme="majorBidi" w:hAnsiTheme="majorBidi" w:cstheme="majorBidi"/>
          <w:sz w:val="28"/>
          <w:szCs w:val="28"/>
        </w:rPr>
      </w:pPr>
      <w:r w:rsidRPr="00B726E5">
        <w:rPr>
          <w:rFonts w:asciiTheme="majorBidi" w:hAnsiTheme="majorBidi" w:cstheme="majorBidi"/>
          <w:sz w:val="28"/>
          <w:szCs w:val="28"/>
        </w:rPr>
        <w:t xml:space="preserve">Kahneman Daniel (2011), </w:t>
      </w:r>
      <w:r w:rsidRPr="00B726E5">
        <w:rPr>
          <w:rFonts w:asciiTheme="majorBidi" w:hAnsiTheme="majorBidi" w:cstheme="majorBidi"/>
          <w:b/>
          <w:bCs/>
          <w:sz w:val="28"/>
          <w:szCs w:val="28"/>
        </w:rPr>
        <w:t>Thinking Fast and Slow</w:t>
      </w:r>
      <w:r w:rsidRPr="00B726E5">
        <w:rPr>
          <w:rFonts w:asciiTheme="majorBidi" w:hAnsiTheme="majorBidi" w:cstheme="majorBidi"/>
          <w:sz w:val="28"/>
          <w:szCs w:val="28"/>
        </w:rPr>
        <w:t>, Farrar, Straus and Giroux, New York</w:t>
      </w:r>
      <w:r>
        <w:rPr>
          <w:rFonts w:asciiTheme="majorBidi" w:hAnsiTheme="majorBidi" w:cstheme="majorBidi"/>
          <w:sz w:val="28"/>
          <w:szCs w:val="28"/>
        </w:rPr>
        <w:t>.</w:t>
      </w:r>
    </w:p>
    <w:p w:rsidR="009B636F" w:rsidRPr="00B726E5" w:rsidRDefault="009B636F" w:rsidP="009B636F">
      <w:pPr>
        <w:pStyle w:val="a5"/>
        <w:bidi w:val="0"/>
        <w:spacing w:line="360" w:lineRule="auto"/>
        <w:jc w:val="both"/>
        <w:rPr>
          <w:rFonts w:asciiTheme="majorBidi" w:eastAsia="Times New Roman" w:hAnsiTheme="majorBidi" w:cstheme="majorBidi"/>
          <w:kern w:val="36"/>
          <w:sz w:val="28"/>
          <w:szCs w:val="28"/>
        </w:rPr>
      </w:pPr>
    </w:p>
    <w:p w:rsidR="009B636F" w:rsidRPr="00B726E5" w:rsidRDefault="009B636F" w:rsidP="009B636F">
      <w:pPr>
        <w:pStyle w:val="a5"/>
        <w:bidi w:val="0"/>
        <w:spacing w:line="360" w:lineRule="auto"/>
        <w:jc w:val="both"/>
        <w:rPr>
          <w:rFonts w:asciiTheme="majorBidi" w:hAnsiTheme="majorBidi" w:cstheme="majorBidi"/>
          <w:sz w:val="28"/>
          <w:szCs w:val="28"/>
          <w:rtl/>
        </w:rPr>
      </w:pPr>
      <w:r w:rsidRPr="00B726E5">
        <w:rPr>
          <w:rFonts w:asciiTheme="majorBidi" w:eastAsia="Times New Roman" w:hAnsiTheme="majorBidi" w:cstheme="majorBidi"/>
          <w:sz w:val="28"/>
          <w:szCs w:val="28"/>
        </w:rPr>
        <w:t>Maliks</w:t>
      </w:r>
      <w:r>
        <w:rPr>
          <w:rFonts w:asciiTheme="majorBidi" w:eastAsia="Times New Roman" w:hAnsiTheme="majorBidi" w:cstheme="majorBidi"/>
          <w:sz w:val="28"/>
          <w:szCs w:val="28"/>
        </w:rPr>
        <w:t xml:space="preserve"> </w:t>
      </w:r>
      <w:r w:rsidRPr="00B726E5">
        <w:rPr>
          <w:rFonts w:asciiTheme="majorBidi" w:eastAsia="Times New Roman" w:hAnsiTheme="majorBidi" w:cstheme="majorBidi"/>
          <w:sz w:val="28"/>
          <w:szCs w:val="28"/>
        </w:rPr>
        <w:t xml:space="preserve">Reidar, Follesdal Andreas (2014), </w:t>
      </w:r>
      <w:r w:rsidRPr="00B726E5">
        <w:rPr>
          <w:rFonts w:asciiTheme="majorBidi" w:eastAsia="Times New Roman" w:hAnsiTheme="majorBidi" w:cstheme="majorBidi"/>
          <w:b/>
          <w:bCs/>
          <w:sz w:val="28"/>
          <w:szCs w:val="28"/>
        </w:rPr>
        <w:t>Kantian Theory and Human Rights</w:t>
      </w:r>
      <w:r w:rsidRPr="00B726E5">
        <w:rPr>
          <w:rFonts w:asciiTheme="majorBidi" w:eastAsia="Times New Roman" w:hAnsiTheme="majorBidi" w:cstheme="majorBidi"/>
          <w:sz w:val="28"/>
          <w:szCs w:val="28"/>
        </w:rPr>
        <w:t>, Routledge, New York</w:t>
      </w:r>
      <w:r>
        <w:rPr>
          <w:rFonts w:asciiTheme="majorBidi" w:eastAsia="Times New Roman" w:hAnsiTheme="majorBidi" w:cstheme="majorBidi"/>
          <w:sz w:val="28"/>
          <w:szCs w:val="28"/>
        </w:rPr>
        <w:t>.</w:t>
      </w:r>
    </w:p>
    <w:p w:rsidR="009B636F" w:rsidRPr="00B726E5" w:rsidRDefault="009B636F" w:rsidP="009B636F">
      <w:pPr>
        <w:pStyle w:val="a5"/>
        <w:bidi w:val="0"/>
        <w:spacing w:line="360" w:lineRule="auto"/>
        <w:jc w:val="both"/>
        <w:rPr>
          <w:rFonts w:asciiTheme="majorBidi" w:eastAsia="Times New Roman" w:hAnsiTheme="majorBidi" w:cstheme="majorBidi"/>
          <w:kern w:val="36"/>
          <w:sz w:val="28"/>
          <w:szCs w:val="28"/>
        </w:rPr>
      </w:pPr>
    </w:p>
    <w:p w:rsidR="009B636F" w:rsidRPr="00B726E5" w:rsidRDefault="009B636F" w:rsidP="009B636F">
      <w:pPr>
        <w:pStyle w:val="a5"/>
        <w:bidi w:val="0"/>
        <w:spacing w:line="360" w:lineRule="auto"/>
        <w:jc w:val="both"/>
        <w:rPr>
          <w:rFonts w:asciiTheme="majorBidi" w:hAnsiTheme="majorBidi" w:cstheme="majorBidi"/>
          <w:sz w:val="28"/>
          <w:szCs w:val="28"/>
          <w:rtl/>
        </w:rPr>
      </w:pPr>
      <w:r w:rsidRPr="00B726E5">
        <w:rPr>
          <w:rFonts w:asciiTheme="majorBidi" w:hAnsiTheme="majorBidi" w:cstheme="majorBidi"/>
          <w:sz w:val="28"/>
          <w:szCs w:val="28"/>
        </w:rPr>
        <w:t xml:space="preserve">Morgentau Hans (1948), </w:t>
      </w:r>
      <w:r w:rsidRPr="00B726E5">
        <w:rPr>
          <w:rFonts w:asciiTheme="majorBidi" w:hAnsiTheme="majorBidi" w:cstheme="majorBidi"/>
          <w:b/>
          <w:bCs/>
          <w:sz w:val="28"/>
          <w:szCs w:val="28"/>
        </w:rPr>
        <w:t>Politics Among Nations: The Struggle for Power and Peace</w:t>
      </w:r>
      <w:r w:rsidRPr="00B726E5">
        <w:rPr>
          <w:rFonts w:asciiTheme="majorBidi" w:hAnsiTheme="majorBidi" w:cstheme="majorBidi"/>
          <w:sz w:val="28"/>
          <w:szCs w:val="28"/>
        </w:rPr>
        <w:t>, McGraw-Hill Education, New York</w:t>
      </w:r>
      <w:r w:rsidRPr="00B726E5">
        <w:rPr>
          <w:rFonts w:asciiTheme="majorBidi" w:hAnsiTheme="majorBidi" w:cstheme="majorBidi"/>
          <w:sz w:val="28"/>
          <w:szCs w:val="28"/>
          <w:rtl/>
        </w:rPr>
        <w:t>.</w:t>
      </w:r>
    </w:p>
    <w:p w:rsidR="009B636F" w:rsidRPr="00B726E5" w:rsidRDefault="009B636F" w:rsidP="009B636F">
      <w:pPr>
        <w:pStyle w:val="a5"/>
        <w:bidi w:val="0"/>
        <w:spacing w:line="360" w:lineRule="auto"/>
        <w:jc w:val="both"/>
        <w:rPr>
          <w:rFonts w:asciiTheme="majorBidi" w:eastAsia="Times New Roman" w:hAnsiTheme="majorBidi" w:cstheme="majorBidi"/>
          <w:kern w:val="36"/>
          <w:sz w:val="28"/>
          <w:szCs w:val="28"/>
        </w:rPr>
      </w:pPr>
    </w:p>
    <w:p w:rsidR="009B636F" w:rsidRPr="00B726E5" w:rsidRDefault="009B636F" w:rsidP="009B636F">
      <w:pPr>
        <w:pStyle w:val="a5"/>
        <w:bidi w:val="0"/>
        <w:spacing w:line="360" w:lineRule="auto"/>
        <w:jc w:val="both"/>
        <w:rPr>
          <w:rFonts w:asciiTheme="majorBidi" w:hAnsiTheme="majorBidi" w:cstheme="majorBidi"/>
          <w:sz w:val="28"/>
          <w:szCs w:val="28"/>
        </w:rPr>
      </w:pPr>
      <w:r w:rsidRPr="00B726E5">
        <w:rPr>
          <w:rFonts w:asciiTheme="majorBidi" w:hAnsiTheme="majorBidi" w:cstheme="majorBidi"/>
          <w:sz w:val="28"/>
          <w:szCs w:val="28"/>
        </w:rPr>
        <w:t>Parisi</w:t>
      </w:r>
      <w:r>
        <w:rPr>
          <w:rFonts w:asciiTheme="majorBidi" w:hAnsiTheme="majorBidi" w:cstheme="majorBidi"/>
          <w:sz w:val="28"/>
          <w:szCs w:val="28"/>
        </w:rPr>
        <w:t xml:space="preserve"> </w:t>
      </w:r>
      <w:r w:rsidRPr="00B726E5">
        <w:rPr>
          <w:rFonts w:asciiTheme="majorBidi" w:hAnsiTheme="majorBidi" w:cstheme="majorBidi"/>
          <w:sz w:val="28"/>
          <w:szCs w:val="28"/>
        </w:rPr>
        <w:t>Piergiuseppe (2012), Finding The Crime: The Fact-Finding Mission on the Gaza Conflict Through the Lenses of International Criminal Justice, Università</w:t>
      </w:r>
      <w:r>
        <w:rPr>
          <w:rFonts w:asciiTheme="majorBidi" w:hAnsiTheme="majorBidi" w:cstheme="majorBidi"/>
          <w:sz w:val="28"/>
          <w:szCs w:val="28"/>
        </w:rPr>
        <w:t xml:space="preserve"> </w:t>
      </w:r>
      <w:r w:rsidRPr="00B726E5">
        <w:rPr>
          <w:rFonts w:asciiTheme="majorBidi" w:hAnsiTheme="majorBidi" w:cstheme="majorBidi"/>
          <w:sz w:val="28"/>
          <w:szCs w:val="28"/>
        </w:rPr>
        <w:t>Degli</w:t>
      </w:r>
      <w:r>
        <w:rPr>
          <w:rFonts w:asciiTheme="majorBidi" w:hAnsiTheme="majorBidi" w:cstheme="majorBidi"/>
          <w:sz w:val="28"/>
          <w:szCs w:val="28"/>
        </w:rPr>
        <w:t xml:space="preserve"> </w:t>
      </w:r>
      <w:r w:rsidRPr="00B726E5">
        <w:rPr>
          <w:rFonts w:asciiTheme="majorBidi" w:hAnsiTheme="majorBidi" w:cstheme="majorBidi"/>
          <w:sz w:val="28"/>
          <w:szCs w:val="28"/>
        </w:rPr>
        <w:t>Studi Di Trento</w:t>
      </w:r>
      <w:r>
        <w:rPr>
          <w:rFonts w:asciiTheme="majorBidi" w:hAnsiTheme="majorBidi" w:cstheme="majorBidi"/>
          <w:sz w:val="28"/>
          <w:szCs w:val="28"/>
        </w:rPr>
        <w:t>.</w:t>
      </w:r>
    </w:p>
    <w:p w:rsidR="009B636F" w:rsidRPr="00B726E5" w:rsidRDefault="009B636F" w:rsidP="009B636F">
      <w:pPr>
        <w:pStyle w:val="a5"/>
        <w:bidi w:val="0"/>
        <w:spacing w:line="360" w:lineRule="auto"/>
        <w:jc w:val="both"/>
        <w:rPr>
          <w:rFonts w:asciiTheme="majorBidi" w:hAnsiTheme="majorBidi" w:cstheme="majorBidi"/>
          <w:sz w:val="28"/>
          <w:szCs w:val="28"/>
        </w:rPr>
      </w:pPr>
      <w:hyperlink r:id="rId12" w:history="1">
        <w:r w:rsidRPr="00B726E5">
          <w:rPr>
            <w:rStyle w:val="Hyperlink"/>
            <w:rFonts w:asciiTheme="majorBidi" w:hAnsiTheme="majorBidi" w:cstheme="majorBidi"/>
            <w:sz w:val="28"/>
            <w:szCs w:val="28"/>
          </w:rPr>
          <w:t>http://www.penalecontemporaneo.it/upload/1364555822Tesi_Parisi.pdf</w:t>
        </w:r>
      </w:hyperlink>
    </w:p>
    <w:p w:rsidR="009B636F" w:rsidRPr="00B726E5" w:rsidRDefault="009B636F" w:rsidP="009B636F">
      <w:pPr>
        <w:pStyle w:val="a5"/>
        <w:bidi w:val="0"/>
        <w:spacing w:line="360" w:lineRule="auto"/>
        <w:jc w:val="both"/>
        <w:rPr>
          <w:rFonts w:asciiTheme="majorBidi" w:eastAsia="Times New Roman" w:hAnsiTheme="majorBidi" w:cstheme="majorBidi"/>
          <w:kern w:val="36"/>
          <w:sz w:val="28"/>
          <w:szCs w:val="28"/>
        </w:rPr>
      </w:pPr>
    </w:p>
    <w:p w:rsidR="009B636F" w:rsidRPr="00B726E5" w:rsidRDefault="009B636F" w:rsidP="009B636F">
      <w:pPr>
        <w:bidi w:val="0"/>
        <w:spacing w:after="0" w:line="360" w:lineRule="auto"/>
        <w:jc w:val="both"/>
        <w:rPr>
          <w:rFonts w:asciiTheme="majorBidi" w:hAnsiTheme="majorBidi" w:cstheme="majorBidi"/>
          <w:sz w:val="28"/>
          <w:szCs w:val="28"/>
          <w:rtl/>
        </w:rPr>
      </w:pPr>
      <w:r w:rsidRPr="00B726E5">
        <w:rPr>
          <w:rFonts w:asciiTheme="majorBidi" w:hAnsiTheme="majorBidi" w:cstheme="majorBidi"/>
          <w:sz w:val="28"/>
          <w:szCs w:val="28"/>
        </w:rPr>
        <w:lastRenderedPageBreak/>
        <w:t xml:space="preserve">Spiermann Ole (2004), </w:t>
      </w:r>
      <w:r w:rsidRPr="00B726E5">
        <w:rPr>
          <w:rFonts w:asciiTheme="majorBidi" w:hAnsiTheme="majorBidi" w:cstheme="majorBidi"/>
          <w:b/>
          <w:bCs/>
          <w:sz w:val="28"/>
          <w:szCs w:val="28"/>
        </w:rPr>
        <w:t>International Legal Argument in the Permanent Court of International Justice - The Rise of the International Judiciary</w:t>
      </w:r>
      <w:r w:rsidRPr="00B726E5">
        <w:rPr>
          <w:rFonts w:asciiTheme="majorBidi" w:hAnsiTheme="majorBidi" w:cstheme="majorBidi"/>
          <w:sz w:val="28"/>
          <w:szCs w:val="28"/>
        </w:rPr>
        <w:t>, Cambridge, New York</w:t>
      </w:r>
      <w:r>
        <w:rPr>
          <w:rFonts w:asciiTheme="majorBidi" w:hAnsiTheme="majorBidi" w:cstheme="majorBidi"/>
          <w:sz w:val="28"/>
          <w:szCs w:val="28"/>
        </w:rPr>
        <w:t>.</w:t>
      </w:r>
    </w:p>
    <w:p w:rsidR="009B636F" w:rsidRPr="00B726E5" w:rsidRDefault="009B636F" w:rsidP="009B636F">
      <w:pPr>
        <w:pStyle w:val="a5"/>
        <w:bidi w:val="0"/>
        <w:spacing w:line="360" w:lineRule="auto"/>
        <w:jc w:val="both"/>
        <w:rPr>
          <w:rFonts w:asciiTheme="majorBidi" w:hAnsiTheme="majorBidi" w:cstheme="majorBidi"/>
          <w:sz w:val="28"/>
          <w:szCs w:val="28"/>
        </w:rPr>
      </w:pPr>
    </w:p>
    <w:p w:rsidR="009B636F" w:rsidRPr="00B726E5" w:rsidRDefault="009B636F" w:rsidP="009B636F">
      <w:pPr>
        <w:pStyle w:val="a5"/>
        <w:bidi w:val="0"/>
        <w:spacing w:line="360" w:lineRule="auto"/>
        <w:jc w:val="both"/>
        <w:rPr>
          <w:rFonts w:asciiTheme="majorBidi" w:hAnsiTheme="majorBidi" w:cstheme="majorBidi"/>
          <w:sz w:val="28"/>
          <w:szCs w:val="28"/>
          <w:rtl/>
        </w:rPr>
      </w:pPr>
      <w:r w:rsidRPr="00B726E5">
        <w:rPr>
          <w:rFonts w:asciiTheme="majorBidi" w:hAnsiTheme="majorBidi" w:cstheme="majorBidi"/>
          <w:sz w:val="28"/>
          <w:szCs w:val="28"/>
        </w:rPr>
        <w:t xml:space="preserve">Steinberg Gerald, Herzberg Anne &amp; Berman Jordan (2012), </w:t>
      </w:r>
      <w:r w:rsidRPr="00554981">
        <w:rPr>
          <w:rFonts w:asciiTheme="majorBidi" w:hAnsiTheme="majorBidi" w:cstheme="majorBidi"/>
          <w:b/>
          <w:bCs/>
          <w:sz w:val="28"/>
          <w:szCs w:val="28"/>
        </w:rPr>
        <w:t>Best Practices for Human Rights and Humanitarian NGO Fact Finding</w:t>
      </w:r>
      <w:r w:rsidRPr="00B726E5">
        <w:rPr>
          <w:rFonts w:asciiTheme="majorBidi" w:hAnsiTheme="majorBidi" w:cstheme="majorBidi"/>
          <w:sz w:val="28"/>
          <w:szCs w:val="28"/>
        </w:rPr>
        <w:t>, Leiden, Martinus</w:t>
      </w:r>
      <w:r>
        <w:rPr>
          <w:rFonts w:asciiTheme="majorBidi" w:hAnsiTheme="majorBidi" w:cstheme="majorBidi"/>
          <w:sz w:val="28"/>
          <w:szCs w:val="28"/>
        </w:rPr>
        <w:t xml:space="preserve"> </w:t>
      </w:r>
      <w:r w:rsidRPr="00B726E5">
        <w:rPr>
          <w:rFonts w:asciiTheme="majorBidi" w:hAnsiTheme="majorBidi" w:cstheme="majorBidi"/>
          <w:sz w:val="28"/>
          <w:szCs w:val="28"/>
        </w:rPr>
        <w:t>Nijhof Publishers</w:t>
      </w:r>
      <w:r>
        <w:rPr>
          <w:rFonts w:asciiTheme="majorBidi" w:hAnsiTheme="majorBidi" w:cstheme="majorBidi"/>
          <w:sz w:val="28"/>
          <w:szCs w:val="28"/>
        </w:rPr>
        <w:t>.</w:t>
      </w:r>
    </w:p>
    <w:p w:rsidR="009B636F" w:rsidRPr="00B726E5" w:rsidRDefault="009B636F" w:rsidP="009B636F">
      <w:pPr>
        <w:pStyle w:val="a5"/>
        <w:bidi w:val="0"/>
        <w:spacing w:line="360" w:lineRule="auto"/>
        <w:jc w:val="both"/>
        <w:rPr>
          <w:rFonts w:asciiTheme="majorBidi" w:eastAsia="Times New Roman" w:hAnsiTheme="majorBidi" w:cstheme="majorBidi"/>
          <w:kern w:val="36"/>
          <w:sz w:val="28"/>
          <w:szCs w:val="28"/>
        </w:rPr>
      </w:pPr>
    </w:p>
    <w:p w:rsidR="009B636F" w:rsidRPr="009B636F" w:rsidRDefault="009B636F" w:rsidP="009B636F">
      <w:pPr>
        <w:pStyle w:val="a5"/>
        <w:spacing w:line="360" w:lineRule="auto"/>
        <w:jc w:val="both"/>
        <w:rPr>
          <w:rFonts w:cs="David"/>
          <w:sz w:val="28"/>
          <w:szCs w:val="28"/>
        </w:rPr>
      </w:pPr>
      <w:r w:rsidRPr="009B636F">
        <w:rPr>
          <w:rFonts w:cs="David" w:hint="cs"/>
          <w:sz w:val="28"/>
          <w:szCs w:val="28"/>
          <w:rtl/>
        </w:rPr>
        <w:t>מאמרים ופרקים</w:t>
      </w:r>
    </w:p>
    <w:p w:rsidR="009B636F" w:rsidRPr="009B636F" w:rsidRDefault="009B636F" w:rsidP="009B636F">
      <w:pPr>
        <w:pStyle w:val="a5"/>
        <w:spacing w:line="360" w:lineRule="auto"/>
        <w:jc w:val="both"/>
        <w:rPr>
          <w:rFonts w:cs="David"/>
          <w:sz w:val="28"/>
          <w:szCs w:val="28"/>
          <w:rtl/>
        </w:rPr>
      </w:pPr>
    </w:p>
    <w:p w:rsidR="009B636F" w:rsidRPr="009B636F" w:rsidRDefault="009B636F" w:rsidP="009B636F">
      <w:pPr>
        <w:spacing w:after="0" w:line="360" w:lineRule="auto"/>
        <w:jc w:val="both"/>
        <w:rPr>
          <w:rFonts w:cs="David"/>
          <w:sz w:val="28"/>
          <w:szCs w:val="28"/>
          <w:rtl/>
        </w:rPr>
      </w:pPr>
      <w:r w:rsidRPr="009B636F">
        <w:rPr>
          <w:rFonts w:cs="David" w:hint="cs"/>
          <w:sz w:val="28"/>
          <w:szCs w:val="28"/>
          <w:rtl/>
        </w:rPr>
        <w:t xml:space="preserve">מנדלבליט אביחי (2015), </w:t>
      </w:r>
      <w:r w:rsidRPr="009B636F">
        <w:rPr>
          <w:rFonts w:cs="David" w:hint="cs"/>
          <w:b/>
          <w:bCs/>
          <w:sz w:val="28"/>
          <w:szCs w:val="28"/>
          <w:rtl/>
        </w:rPr>
        <w:t>"לוחמת משפט" ומדינת ישראל - ניסיון העבר ומבט לעתיד</w:t>
      </w:r>
      <w:r w:rsidRPr="009B636F">
        <w:rPr>
          <w:rFonts w:cs="David" w:hint="cs"/>
          <w:sz w:val="28"/>
          <w:szCs w:val="28"/>
          <w:rtl/>
        </w:rPr>
        <w:t>, חיבור לשם קבלת התואר "דוקטור לפילוסופיה", רמת גן: הפקולטה למשפטים, אוניברסיטת בר אילן.</w:t>
      </w:r>
    </w:p>
    <w:p w:rsidR="009B636F" w:rsidRPr="009B636F" w:rsidRDefault="009B636F" w:rsidP="009B636F">
      <w:pPr>
        <w:spacing w:after="0" w:line="360" w:lineRule="auto"/>
        <w:jc w:val="both"/>
        <w:rPr>
          <w:rFonts w:cs="David"/>
          <w:sz w:val="28"/>
          <w:szCs w:val="28"/>
          <w:rtl/>
        </w:rPr>
      </w:pPr>
    </w:p>
    <w:p w:rsidR="009B636F" w:rsidRPr="009B636F" w:rsidRDefault="009B636F" w:rsidP="009B636F">
      <w:pPr>
        <w:spacing w:after="0" w:line="360" w:lineRule="auto"/>
        <w:jc w:val="both"/>
        <w:rPr>
          <w:rFonts w:cs="David"/>
          <w:sz w:val="28"/>
          <w:szCs w:val="28"/>
          <w:rtl/>
        </w:rPr>
      </w:pPr>
      <w:r w:rsidRPr="009B636F">
        <w:rPr>
          <w:rFonts w:cs="David" w:hint="cs"/>
          <w:sz w:val="28"/>
          <w:szCs w:val="28"/>
          <w:rtl/>
        </w:rPr>
        <w:t>קינן גיא (?)</w:t>
      </w:r>
      <w:bookmarkStart w:id="117" w:name="_GoBack"/>
      <w:bookmarkEnd w:id="117"/>
      <w:r w:rsidRPr="009B636F">
        <w:rPr>
          <w:rFonts w:cs="David" w:hint="cs"/>
          <w:sz w:val="28"/>
          <w:szCs w:val="28"/>
          <w:rtl/>
        </w:rPr>
        <w:t>,</w:t>
      </w:r>
      <w:r w:rsidRPr="009B636F">
        <w:rPr>
          <w:rFonts w:cs="David" w:hint="cs"/>
          <w:b/>
          <w:bCs/>
          <w:sz w:val="28"/>
          <w:szCs w:val="28"/>
          <w:rtl/>
        </w:rPr>
        <w:t xml:space="preserve"> ועדות בינלאומיות לחקירת הפרות של דיני המלחמה</w:t>
      </w:r>
      <w:r w:rsidRPr="009B636F">
        <w:rPr>
          <w:rFonts w:cs="David" w:hint="cs"/>
          <w:sz w:val="28"/>
          <w:szCs w:val="28"/>
          <w:rtl/>
        </w:rPr>
        <w:t>, תל אביב: אוניברסיטת תל אביב, הפקולטה למשפטים, מרכז מינרווה לזכויות האדם.</w:t>
      </w:r>
    </w:p>
    <w:p w:rsidR="009B636F" w:rsidRDefault="009B636F" w:rsidP="009B636F">
      <w:pPr>
        <w:spacing w:after="0" w:line="360" w:lineRule="auto"/>
        <w:jc w:val="both"/>
        <w:rPr>
          <w:rFonts w:asciiTheme="majorBidi" w:hAnsiTheme="majorBidi" w:cstheme="majorBidi"/>
          <w:sz w:val="28"/>
          <w:szCs w:val="28"/>
        </w:rPr>
      </w:pPr>
      <w:hyperlink r:id="rId13" w:history="1">
        <w:r w:rsidRPr="008C7D24">
          <w:rPr>
            <w:rStyle w:val="Hyperlink"/>
            <w:rFonts w:asciiTheme="majorBidi" w:hAnsiTheme="majorBidi" w:cstheme="majorBidi"/>
            <w:sz w:val="28"/>
            <w:szCs w:val="28"/>
          </w:rPr>
          <w:t>http://132.66.252.134/Heb/_Uploads/dbsAttachedFiles/kynan-all.pdf</w:t>
        </w:r>
      </w:hyperlink>
    </w:p>
    <w:p w:rsidR="009B636F" w:rsidRDefault="009B636F" w:rsidP="009B636F">
      <w:pPr>
        <w:spacing w:after="0" w:line="360" w:lineRule="auto"/>
        <w:jc w:val="both"/>
        <w:rPr>
          <w:sz w:val="28"/>
          <w:szCs w:val="28"/>
          <w:rtl/>
        </w:rPr>
      </w:pPr>
    </w:p>
    <w:p w:rsidR="009B636F" w:rsidRPr="009B636F" w:rsidRDefault="009B636F" w:rsidP="009B636F">
      <w:pPr>
        <w:spacing w:after="0" w:line="360" w:lineRule="auto"/>
        <w:jc w:val="both"/>
        <w:rPr>
          <w:rFonts w:cs="David"/>
          <w:sz w:val="28"/>
          <w:szCs w:val="28"/>
        </w:rPr>
      </w:pPr>
      <w:r w:rsidRPr="009B636F">
        <w:rPr>
          <w:rFonts w:cs="David" w:hint="cs"/>
          <w:sz w:val="28"/>
          <w:szCs w:val="28"/>
          <w:rtl/>
        </w:rPr>
        <w:t xml:space="preserve">רדאי פרנסס (2014), </w:t>
      </w:r>
      <w:r w:rsidRPr="009B636F">
        <w:rPr>
          <w:rFonts w:cs="David" w:hint="cs"/>
          <w:b/>
          <w:bCs/>
          <w:sz w:val="28"/>
          <w:szCs w:val="28"/>
          <w:rtl/>
        </w:rPr>
        <w:t>ההשלכות של אי שיתוף פעולה של ישראל עם ועדת שבאס ומנגנונים אחרים של האו"ם - זווית ראייה מהשטח</w:t>
      </w:r>
      <w:r w:rsidRPr="009B636F">
        <w:rPr>
          <w:rFonts w:cs="David" w:hint="cs"/>
          <w:sz w:val="28"/>
          <w:szCs w:val="28"/>
          <w:rtl/>
        </w:rPr>
        <w:t>, תל אביב: מרכז קונקורד לחקר קליטת המשפט הבינלאומי בישראל.</w:t>
      </w:r>
    </w:p>
    <w:p w:rsidR="009B636F" w:rsidRDefault="009B636F" w:rsidP="009B636F">
      <w:pPr>
        <w:spacing w:after="0" w:line="360" w:lineRule="auto"/>
        <w:jc w:val="both"/>
        <w:rPr>
          <w:rFonts w:asciiTheme="majorBidi" w:hAnsiTheme="majorBidi" w:cstheme="majorBidi"/>
          <w:sz w:val="28"/>
          <w:szCs w:val="28"/>
        </w:rPr>
      </w:pPr>
      <w:hyperlink r:id="rId14" w:history="1">
        <w:r w:rsidRPr="008C7D24">
          <w:rPr>
            <w:rStyle w:val="Hyperlink"/>
            <w:rFonts w:asciiTheme="majorBidi" w:hAnsiTheme="majorBidi" w:cstheme="majorBidi"/>
            <w:sz w:val="28"/>
            <w:szCs w:val="28"/>
          </w:rPr>
          <w:t>https://www.colman.ac.il/sites/default/files/Lawfare_IHLIsrae_27.pdf</w:t>
        </w:r>
      </w:hyperlink>
    </w:p>
    <w:p w:rsidR="009B636F" w:rsidRPr="0079468D" w:rsidRDefault="009B636F" w:rsidP="009B636F">
      <w:pPr>
        <w:spacing w:after="0" w:line="360" w:lineRule="auto"/>
        <w:jc w:val="both"/>
        <w:rPr>
          <w:rFonts w:asciiTheme="majorBidi" w:hAnsiTheme="majorBidi" w:cstheme="majorBidi"/>
          <w:sz w:val="28"/>
          <w:szCs w:val="28"/>
        </w:rPr>
      </w:pPr>
    </w:p>
    <w:p w:rsidR="009B636F" w:rsidRPr="009B636F" w:rsidRDefault="009B636F" w:rsidP="009B636F">
      <w:pPr>
        <w:spacing w:after="0" w:line="360" w:lineRule="auto"/>
        <w:jc w:val="both"/>
        <w:rPr>
          <w:rFonts w:cs="David"/>
          <w:sz w:val="28"/>
          <w:szCs w:val="28"/>
          <w:rtl/>
        </w:rPr>
      </w:pPr>
      <w:r w:rsidRPr="009B636F">
        <w:rPr>
          <w:rFonts w:cs="David" w:hint="cs"/>
          <w:sz w:val="28"/>
          <w:szCs w:val="28"/>
          <w:rtl/>
        </w:rPr>
        <w:t xml:space="preserve">רוזנצווייג עדו (2010), </w:t>
      </w:r>
      <w:r w:rsidRPr="009B636F">
        <w:rPr>
          <w:rFonts w:cs="David" w:hint="cs"/>
          <w:b/>
          <w:bCs/>
          <w:sz w:val="28"/>
          <w:szCs w:val="28"/>
          <w:rtl/>
        </w:rPr>
        <w:t>כפטריות אחרי הגשם: מעקב אחר ועדות החקירה הבין-לאומיות הקשורות לישראל</w:t>
      </w:r>
      <w:r w:rsidRPr="009B636F">
        <w:rPr>
          <w:rFonts w:cs="David" w:hint="cs"/>
          <w:sz w:val="28"/>
          <w:szCs w:val="28"/>
          <w:rtl/>
        </w:rPr>
        <w:t xml:space="preserve">, ירושלים: המכון הישראלי לדמוקרטיה. </w:t>
      </w:r>
    </w:p>
    <w:p w:rsidR="009B636F" w:rsidRPr="009B636F" w:rsidRDefault="009B636F" w:rsidP="009B636F">
      <w:pPr>
        <w:spacing w:after="0" w:line="360" w:lineRule="auto"/>
        <w:jc w:val="both"/>
        <w:rPr>
          <w:rFonts w:cs="David"/>
          <w:sz w:val="28"/>
          <w:szCs w:val="28"/>
          <w:rtl/>
        </w:rPr>
      </w:pPr>
    </w:p>
    <w:p w:rsidR="009B636F" w:rsidRPr="009B636F" w:rsidRDefault="009B636F" w:rsidP="009B636F">
      <w:pPr>
        <w:spacing w:after="0" w:line="360" w:lineRule="auto"/>
        <w:jc w:val="both"/>
        <w:rPr>
          <w:rFonts w:cs="David"/>
          <w:sz w:val="28"/>
          <w:szCs w:val="28"/>
          <w:rtl/>
        </w:rPr>
      </w:pPr>
      <w:r w:rsidRPr="009B636F">
        <w:rPr>
          <w:rFonts w:cs="David" w:hint="cs"/>
          <w:sz w:val="28"/>
          <w:szCs w:val="28"/>
          <w:rtl/>
        </w:rPr>
        <w:t xml:space="preserve">שני יובל (2010), יישוב סכסוכים בדרכי שלום, בתוך: סיבל רובי, </w:t>
      </w:r>
      <w:r w:rsidRPr="009B636F">
        <w:rPr>
          <w:rFonts w:cs="David" w:hint="cs"/>
          <w:b/>
          <w:bCs/>
          <w:sz w:val="28"/>
          <w:szCs w:val="28"/>
          <w:rtl/>
        </w:rPr>
        <w:t>משפט בינלאומי</w:t>
      </w:r>
      <w:r w:rsidRPr="009B636F">
        <w:rPr>
          <w:rFonts w:cs="David" w:hint="cs"/>
          <w:sz w:val="28"/>
          <w:szCs w:val="28"/>
          <w:rtl/>
        </w:rPr>
        <w:t>, ירושלים: הפקולטה למשפטים.</w:t>
      </w:r>
    </w:p>
    <w:p w:rsidR="009B636F" w:rsidRPr="009B636F" w:rsidRDefault="009B636F" w:rsidP="009B636F">
      <w:pPr>
        <w:spacing w:after="0" w:line="360" w:lineRule="auto"/>
        <w:jc w:val="both"/>
        <w:rPr>
          <w:rFonts w:cs="David"/>
          <w:sz w:val="28"/>
          <w:szCs w:val="28"/>
          <w:rtl/>
        </w:rPr>
      </w:pPr>
    </w:p>
    <w:p w:rsidR="009B636F" w:rsidRPr="009B636F" w:rsidRDefault="009B636F" w:rsidP="009B636F">
      <w:pPr>
        <w:pStyle w:val="a5"/>
        <w:spacing w:line="360" w:lineRule="auto"/>
        <w:jc w:val="both"/>
        <w:rPr>
          <w:rFonts w:ascii="Arial" w:eastAsia="Times New Roman" w:hAnsi="Arial" w:cs="David"/>
          <w:sz w:val="28"/>
          <w:szCs w:val="28"/>
          <w:rtl/>
        </w:rPr>
      </w:pPr>
      <w:r w:rsidRPr="009B636F">
        <w:rPr>
          <w:rFonts w:cs="David" w:hint="cs"/>
          <w:sz w:val="28"/>
          <w:szCs w:val="28"/>
          <w:rtl/>
        </w:rPr>
        <w:t xml:space="preserve">שני יובל (2010), </w:t>
      </w:r>
      <w:r w:rsidRPr="009B636F">
        <w:rPr>
          <w:rFonts w:ascii="Arial" w:eastAsia="Times New Roman" w:hAnsi="Arial" w:cs="David"/>
          <w:sz w:val="28"/>
          <w:szCs w:val="28"/>
          <w:rtl/>
        </w:rPr>
        <w:t>כמו כלים שלובים: ריבונות המדינה בעידן החוקתיזציה של המשפט הבין-לאומי</w:t>
      </w:r>
      <w:r w:rsidRPr="009B636F">
        <w:rPr>
          <w:rFonts w:ascii="Arial" w:eastAsia="Times New Roman" w:hAnsi="Arial" w:cs="David" w:hint="cs"/>
          <w:sz w:val="28"/>
          <w:szCs w:val="28"/>
          <w:rtl/>
        </w:rPr>
        <w:t xml:space="preserve">, </w:t>
      </w:r>
      <w:r w:rsidRPr="009B636F">
        <w:rPr>
          <w:rFonts w:ascii="Arial" w:eastAsia="Times New Roman" w:hAnsi="Arial" w:cs="David" w:hint="cs"/>
          <w:b/>
          <w:bCs/>
          <w:sz w:val="28"/>
          <w:szCs w:val="28"/>
          <w:rtl/>
        </w:rPr>
        <w:t>פרלמנט</w:t>
      </w:r>
      <w:r w:rsidRPr="009B636F">
        <w:rPr>
          <w:rFonts w:ascii="Arial" w:eastAsia="Times New Roman" w:hAnsi="Arial" w:cs="David" w:hint="cs"/>
          <w:sz w:val="28"/>
          <w:szCs w:val="28"/>
          <w:rtl/>
        </w:rPr>
        <w:t>, גיליון 65.</w:t>
      </w:r>
    </w:p>
    <w:p w:rsidR="009B636F" w:rsidRPr="009B636F" w:rsidRDefault="009B636F" w:rsidP="009B636F">
      <w:pPr>
        <w:pStyle w:val="a5"/>
        <w:spacing w:line="360" w:lineRule="auto"/>
        <w:jc w:val="both"/>
        <w:rPr>
          <w:rFonts w:ascii="Arial" w:eastAsia="Times New Roman" w:hAnsi="Arial" w:cs="David"/>
          <w:sz w:val="28"/>
          <w:szCs w:val="28"/>
          <w:rtl/>
        </w:rPr>
      </w:pPr>
    </w:p>
    <w:p w:rsidR="009B636F" w:rsidRPr="009B636F" w:rsidRDefault="009B636F" w:rsidP="009B636F">
      <w:pPr>
        <w:spacing w:after="0" w:line="360" w:lineRule="auto"/>
        <w:jc w:val="both"/>
        <w:rPr>
          <w:rFonts w:cs="David"/>
          <w:sz w:val="28"/>
          <w:szCs w:val="28"/>
          <w:rtl/>
        </w:rPr>
      </w:pPr>
      <w:r w:rsidRPr="009B636F">
        <w:rPr>
          <w:rFonts w:cs="David"/>
          <w:sz w:val="28"/>
          <w:szCs w:val="28"/>
          <w:rtl/>
        </w:rPr>
        <w:t>שרביט ברוך פנינה ואבירם קרן</w:t>
      </w:r>
      <w:r w:rsidRPr="009B636F">
        <w:rPr>
          <w:rFonts w:cs="David" w:hint="cs"/>
          <w:sz w:val="28"/>
          <w:szCs w:val="28"/>
          <w:rtl/>
        </w:rPr>
        <w:t xml:space="preserve"> (2015), </w:t>
      </w:r>
      <w:r w:rsidRPr="009B636F">
        <w:rPr>
          <w:rFonts w:cs="David"/>
          <w:sz w:val="28"/>
          <w:szCs w:val="28"/>
          <w:rtl/>
        </w:rPr>
        <w:t xml:space="preserve">דוח ועדת החקירה של מזכ"ל האו"ם בנוגע לפגיעה במתקני או"ם במבצע 'צוק איתן' </w:t>
      </w:r>
      <w:r w:rsidRPr="009B636F">
        <w:rPr>
          <w:rFonts w:cs="David" w:hint="cs"/>
          <w:sz w:val="28"/>
          <w:szCs w:val="28"/>
          <w:rtl/>
        </w:rPr>
        <w:t xml:space="preserve">- </w:t>
      </w:r>
      <w:r w:rsidRPr="009B636F">
        <w:rPr>
          <w:rFonts w:cs="David"/>
          <w:sz w:val="28"/>
          <w:szCs w:val="28"/>
          <w:rtl/>
        </w:rPr>
        <w:t>ענייני ומאוזן</w:t>
      </w:r>
      <w:r w:rsidRPr="009B636F">
        <w:rPr>
          <w:rFonts w:cs="David" w:hint="cs"/>
          <w:sz w:val="28"/>
          <w:szCs w:val="28"/>
          <w:rtl/>
        </w:rPr>
        <w:t xml:space="preserve">, המכון למחקרי ביטחון לאומי, </w:t>
      </w:r>
      <w:r w:rsidRPr="009B636F">
        <w:rPr>
          <w:rFonts w:cs="David"/>
          <w:b/>
          <w:bCs/>
          <w:sz w:val="28"/>
          <w:szCs w:val="28"/>
          <w:rtl/>
        </w:rPr>
        <w:t>מבט על</w:t>
      </w:r>
      <w:r w:rsidRPr="009B636F">
        <w:rPr>
          <w:rFonts w:cs="David"/>
          <w:sz w:val="28"/>
          <w:szCs w:val="28"/>
          <w:rtl/>
        </w:rPr>
        <w:t>, גיליון 695</w:t>
      </w:r>
      <w:r w:rsidRPr="009B636F">
        <w:rPr>
          <w:rFonts w:cs="David" w:hint="cs"/>
          <w:sz w:val="28"/>
          <w:szCs w:val="28"/>
          <w:rtl/>
        </w:rPr>
        <w:t>.</w:t>
      </w:r>
    </w:p>
    <w:p w:rsidR="009B636F" w:rsidRDefault="009B636F" w:rsidP="009B636F">
      <w:pPr>
        <w:bidi w:val="0"/>
        <w:spacing w:after="0" w:line="360" w:lineRule="auto"/>
        <w:jc w:val="both"/>
        <w:rPr>
          <w:sz w:val="28"/>
          <w:szCs w:val="28"/>
          <w:rtl/>
        </w:rPr>
      </w:pPr>
      <w:hyperlink r:id="rId15" w:history="1">
        <w:r w:rsidRPr="00164377">
          <w:rPr>
            <w:rStyle w:val="Hyperlink"/>
            <w:rFonts w:cs="David"/>
            <w:sz w:val="28"/>
            <w:szCs w:val="28"/>
          </w:rPr>
          <w:t>http://www.inss.org.il/uploadImages/systemFiles/695%20Pnina%20and%20Keren.pdf</w:t>
        </w:r>
      </w:hyperlink>
    </w:p>
    <w:p w:rsidR="009B636F" w:rsidRPr="009B636F" w:rsidRDefault="009B636F" w:rsidP="009B636F">
      <w:pPr>
        <w:spacing w:after="0" w:line="360" w:lineRule="auto"/>
        <w:jc w:val="both"/>
        <w:rPr>
          <w:rFonts w:cs="David"/>
          <w:sz w:val="28"/>
          <w:szCs w:val="28"/>
        </w:rPr>
      </w:pPr>
      <w:r w:rsidRPr="009B636F">
        <w:rPr>
          <w:rFonts w:cs="David" w:hint="cs"/>
          <w:sz w:val="28"/>
          <w:szCs w:val="28"/>
          <w:rtl/>
        </w:rPr>
        <w:t>שרגא דפנה (2015), מתחמי האו</w:t>
      </w:r>
      <w:r w:rsidRPr="009B636F">
        <w:rPr>
          <w:rFonts w:cs="David"/>
          <w:sz w:val="28"/>
          <w:szCs w:val="28"/>
          <w:rtl/>
        </w:rPr>
        <w:t>"</w:t>
      </w:r>
      <w:r w:rsidRPr="009B636F">
        <w:rPr>
          <w:rFonts w:cs="David" w:hint="cs"/>
          <w:sz w:val="28"/>
          <w:szCs w:val="28"/>
          <w:rtl/>
        </w:rPr>
        <w:t>ם כערי מקלט</w:t>
      </w:r>
      <w:r w:rsidRPr="009B636F">
        <w:rPr>
          <w:rFonts w:cs="David"/>
          <w:sz w:val="28"/>
          <w:szCs w:val="28"/>
          <w:rtl/>
        </w:rPr>
        <w:t xml:space="preserve"> – </w:t>
      </w:r>
      <w:r w:rsidRPr="009B636F">
        <w:rPr>
          <w:rFonts w:cs="David" w:hint="cs"/>
          <w:sz w:val="28"/>
          <w:szCs w:val="28"/>
          <w:rtl/>
        </w:rPr>
        <w:t>שתיקת דיני המלחמה</w:t>
      </w:r>
      <w:r w:rsidRPr="009B636F">
        <w:rPr>
          <w:rFonts w:cs="David"/>
          <w:sz w:val="28"/>
          <w:szCs w:val="28"/>
          <w:rtl/>
        </w:rPr>
        <w:t xml:space="preserve">, </w:t>
      </w:r>
      <w:r w:rsidRPr="009B636F">
        <w:rPr>
          <w:rFonts w:cs="David" w:hint="cs"/>
          <w:sz w:val="28"/>
          <w:szCs w:val="28"/>
          <w:rtl/>
        </w:rPr>
        <w:t>המכון למחקרי ביטחון לאומי</w:t>
      </w:r>
      <w:r w:rsidRPr="009B636F">
        <w:rPr>
          <w:rFonts w:cs="David"/>
          <w:sz w:val="28"/>
          <w:szCs w:val="28"/>
          <w:rtl/>
        </w:rPr>
        <w:t xml:space="preserve">, </w:t>
      </w:r>
      <w:r w:rsidRPr="009B636F">
        <w:rPr>
          <w:rFonts w:cs="David" w:hint="cs"/>
          <w:b/>
          <w:bCs/>
          <w:sz w:val="28"/>
          <w:szCs w:val="28"/>
          <w:rtl/>
        </w:rPr>
        <w:t>עדכן אסטרטגי</w:t>
      </w:r>
      <w:r w:rsidRPr="009B636F">
        <w:rPr>
          <w:rFonts w:cs="David"/>
          <w:sz w:val="28"/>
          <w:szCs w:val="28"/>
          <w:rtl/>
        </w:rPr>
        <w:t xml:space="preserve">, </w:t>
      </w:r>
      <w:r w:rsidRPr="009B636F">
        <w:rPr>
          <w:rFonts w:cs="David" w:hint="cs"/>
          <w:sz w:val="28"/>
          <w:szCs w:val="28"/>
          <w:rtl/>
        </w:rPr>
        <w:t>כרך</w:t>
      </w:r>
      <w:r w:rsidRPr="009B636F">
        <w:rPr>
          <w:rFonts w:cs="David"/>
          <w:sz w:val="28"/>
          <w:szCs w:val="28"/>
          <w:rtl/>
        </w:rPr>
        <w:t xml:space="preserve"> 18, </w:t>
      </w:r>
      <w:r w:rsidRPr="009B636F">
        <w:rPr>
          <w:rFonts w:cs="David" w:hint="cs"/>
          <w:sz w:val="28"/>
          <w:szCs w:val="28"/>
          <w:rtl/>
        </w:rPr>
        <w:t>גיליון</w:t>
      </w:r>
      <w:r w:rsidRPr="009B636F">
        <w:rPr>
          <w:rFonts w:cs="David"/>
          <w:sz w:val="28"/>
          <w:szCs w:val="28"/>
          <w:rtl/>
        </w:rPr>
        <w:t xml:space="preserve"> 2, </w:t>
      </w:r>
      <w:r w:rsidRPr="009B636F">
        <w:rPr>
          <w:rFonts w:cs="David" w:hint="cs"/>
          <w:sz w:val="28"/>
          <w:szCs w:val="28"/>
          <w:rtl/>
        </w:rPr>
        <w:t>יולי</w:t>
      </w:r>
      <w:r w:rsidRPr="009B636F">
        <w:rPr>
          <w:rFonts w:cs="David"/>
          <w:sz w:val="28"/>
          <w:szCs w:val="28"/>
          <w:rtl/>
        </w:rPr>
        <w:t xml:space="preserve"> 2015</w:t>
      </w:r>
      <w:r w:rsidRPr="009B636F">
        <w:rPr>
          <w:rFonts w:cs="David" w:hint="cs"/>
          <w:sz w:val="28"/>
          <w:szCs w:val="28"/>
          <w:rtl/>
        </w:rPr>
        <w:t>.</w:t>
      </w:r>
    </w:p>
    <w:p w:rsidR="009B636F" w:rsidRDefault="009B636F" w:rsidP="009B636F">
      <w:pPr>
        <w:bidi w:val="0"/>
        <w:spacing w:after="0" w:line="360" w:lineRule="auto"/>
        <w:jc w:val="both"/>
        <w:rPr>
          <w:rFonts w:asciiTheme="majorBidi" w:hAnsiTheme="majorBidi" w:cstheme="majorBidi"/>
          <w:sz w:val="28"/>
          <w:szCs w:val="28"/>
        </w:rPr>
      </w:pPr>
      <w:hyperlink r:id="rId16" w:history="1">
        <w:r w:rsidRPr="00164377">
          <w:rPr>
            <w:rStyle w:val="Hyperlink"/>
            <w:rFonts w:cs="David"/>
            <w:sz w:val="28"/>
            <w:szCs w:val="28"/>
          </w:rPr>
          <w:t>http://www.inss.org.il/uploadImages/systemFiles/D.%20Shraga.pdf</w:t>
        </w:r>
      </w:hyperlink>
    </w:p>
    <w:p w:rsidR="009B636F" w:rsidRDefault="009B636F" w:rsidP="009B636F">
      <w:pPr>
        <w:bidi w:val="0"/>
        <w:spacing w:after="0" w:line="360" w:lineRule="auto"/>
        <w:jc w:val="both"/>
        <w:rPr>
          <w:rFonts w:asciiTheme="majorBidi" w:hAnsiTheme="majorBidi" w:cstheme="majorBidi"/>
          <w:sz w:val="28"/>
          <w:szCs w:val="28"/>
        </w:rPr>
      </w:pPr>
    </w:p>
    <w:p w:rsidR="009B636F" w:rsidRPr="00B726E5" w:rsidRDefault="009B636F" w:rsidP="009B636F">
      <w:pPr>
        <w:bidi w:val="0"/>
        <w:spacing w:after="0" w:line="360" w:lineRule="auto"/>
        <w:jc w:val="both"/>
        <w:rPr>
          <w:rFonts w:asciiTheme="majorBidi" w:hAnsiTheme="majorBidi" w:cstheme="majorBidi"/>
          <w:sz w:val="28"/>
          <w:szCs w:val="28"/>
        </w:rPr>
      </w:pPr>
      <w:r w:rsidRPr="00B726E5">
        <w:rPr>
          <w:rFonts w:asciiTheme="majorBidi" w:hAnsiTheme="majorBidi" w:cstheme="majorBidi"/>
          <w:sz w:val="28"/>
          <w:szCs w:val="28"/>
        </w:rPr>
        <w:t>Aksenova Marina and Bergsmo Morten (2015), Defining the Purposes, Mandates and Outcomes of Fact</w:t>
      </w:r>
      <w:r>
        <w:rPr>
          <w:rFonts w:asciiTheme="majorBidi" w:hAnsiTheme="majorBidi" w:cstheme="majorBidi"/>
          <w:sz w:val="28"/>
          <w:szCs w:val="28"/>
        </w:rPr>
        <w:t xml:space="preserve"> </w:t>
      </w:r>
      <w:r w:rsidRPr="00B726E5">
        <w:rPr>
          <w:rFonts w:asciiTheme="majorBidi" w:hAnsiTheme="majorBidi" w:cstheme="majorBidi"/>
          <w:sz w:val="28"/>
          <w:szCs w:val="28"/>
        </w:rPr>
        <w:t xml:space="preserve">Finding Commissions Beyond International Criminal Justice, </w:t>
      </w:r>
      <w:r w:rsidRPr="00B726E5">
        <w:rPr>
          <w:rFonts w:asciiTheme="majorBidi" w:hAnsiTheme="majorBidi" w:cstheme="majorBidi"/>
          <w:b/>
          <w:bCs/>
          <w:sz w:val="28"/>
          <w:szCs w:val="28"/>
        </w:rPr>
        <w:t>FICHL Policy Brief Series</w:t>
      </w:r>
      <w:r w:rsidRPr="00B726E5">
        <w:rPr>
          <w:rFonts w:asciiTheme="majorBidi" w:hAnsiTheme="majorBidi" w:cstheme="majorBidi"/>
          <w:sz w:val="28"/>
          <w:szCs w:val="28"/>
        </w:rPr>
        <w:t>, No. 38, Torkel</w:t>
      </w:r>
      <w:r>
        <w:rPr>
          <w:rFonts w:asciiTheme="majorBidi" w:hAnsiTheme="majorBidi" w:cstheme="majorBidi"/>
          <w:sz w:val="28"/>
          <w:szCs w:val="28"/>
        </w:rPr>
        <w:t xml:space="preserve"> </w:t>
      </w:r>
      <w:r w:rsidRPr="00B726E5">
        <w:rPr>
          <w:rFonts w:asciiTheme="majorBidi" w:hAnsiTheme="majorBidi" w:cstheme="majorBidi"/>
          <w:sz w:val="28"/>
          <w:szCs w:val="28"/>
        </w:rPr>
        <w:t>Opsahl Academic EPublisher.</w:t>
      </w:r>
    </w:p>
    <w:p w:rsidR="009B636F" w:rsidRPr="00B726E5" w:rsidRDefault="009B636F" w:rsidP="009B636F">
      <w:pPr>
        <w:bidi w:val="0"/>
        <w:spacing w:after="0" w:line="360" w:lineRule="auto"/>
        <w:jc w:val="both"/>
        <w:rPr>
          <w:rFonts w:asciiTheme="majorBidi" w:hAnsiTheme="majorBidi" w:cstheme="majorBidi"/>
          <w:sz w:val="28"/>
          <w:szCs w:val="28"/>
        </w:rPr>
      </w:pPr>
      <w:hyperlink r:id="rId17" w:history="1">
        <w:r w:rsidRPr="00B726E5">
          <w:rPr>
            <w:rStyle w:val="Hyperlink"/>
            <w:rFonts w:asciiTheme="majorBidi" w:hAnsiTheme="majorBidi" w:cstheme="majorBidi"/>
            <w:sz w:val="28"/>
            <w:szCs w:val="28"/>
          </w:rPr>
          <w:t>https://www.fichl.org/fileadmin/fichl/documents/FICHL_Policy_Brief_Series/150519_PBS_No._38__2015___Aksenova__Bergsmo_.pdf</w:t>
        </w:r>
      </w:hyperlink>
    </w:p>
    <w:p w:rsidR="009B636F" w:rsidRPr="00B726E5" w:rsidRDefault="009B636F" w:rsidP="009B636F">
      <w:pPr>
        <w:bidi w:val="0"/>
        <w:spacing w:after="0" w:line="360" w:lineRule="auto"/>
        <w:jc w:val="both"/>
        <w:rPr>
          <w:rFonts w:asciiTheme="majorBidi" w:hAnsiTheme="majorBidi" w:cstheme="majorBidi"/>
          <w:sz w:val="28"/>
          <w:szCs w:val="28"/>
        </w:rPr>
      </w:pPr>
    </w:p>
    <w:p w:rsidR="009B636F" w:rsidRPr="00B726E5" w:rsidRDefault="009B636F" w:rsidP="009B636F">
      <w:pPr>
        <w:pStyle w:val="a5"/>
        <w:bidi w:val="0"/>
        <w:spacing w:line="360" w:lineRule="auto"/>
        <w:jc w:val="both"/>
        <w:rPr>
          <w:rFonts w:asciiTheme="majorBidi" w:hAnsiTheme="majorBidi" w:cstheme="majorBidi"/>
          <w:sz w:val="28"/>
          <w:szCs w:val="28"/>
        </w:rPr>
      </w:pPr>
      <w:r w:rsidRPr="00B726E5">
        <w:rPr>
          <w:rFonts w:asciiTheme="majorBidi" w:hAnsiTheme="majorBidi" w:cstheme="majorBidi"/>
          <w:sz w:val="28"/>
          <w:szCs w:val="28"/>
        </w:rPr>
        <w:t>Alinikoff Emily and Piccone</w:t>
      </w:r>
      <w:r>
        <w:t xml:space="preserve"> </w:t>
      </w:r>
      <w:hyperlink r:id="rId18" w:history="1">
        <w:r w:rsidRPr="00B726E5">
          <w:rPr>
            <w:rFonts w:asciiTheme="majorBidi" w:hAnsiTheme="majorBidi" w:cstheme="majorBidi"/>
            <w:sz w:val="28"/>
            <w:szCs w:val="28"/>
          </w:rPr>
          <w:t xml:space="preserve">Ted </w:t>
        </w:r>
      </w:hyperlink>
      <w:r w:rsidRPr="00B726E5">
        <w:rPr>
          <w:rFonts w:asciiTheme="majorBidi" w:hAnsiTheme="majorBidi" w:cstheme="majorBidi"/>
          <w:sz w:val="28"/>
          <w:szCs w:val="28"/>
        </w:rPr>
        <w:t xml:space="preserve">(2011), The Goldstone Report: Behind the Uproar, </w:t>
      </w:r>
      <w:r w:rsidRPr="00B726E5">
        <w:rPr>
          <w:rFonts w:asciiTheme="majorBidi" w:hAnsiTheme="majorBidi" w:cstheme="majorBidi"/>
          <w:b/>
          <w:bCs/>
          <w:sz w:val="28"/>
          <w:szCs w:val="28"/>
        </w:rPr>
        <w:t>Brookings</w:t>
      </w:r>
      <w:r>
        <w:rPr>
          <w:rFonts w:asciiTheme="majorBidi" w:hAnsiTheme="majorBidi" w:cstheme="majorBidi" w:hint="cs"/>
          <w:sz w:val="28"/>
          <w:szCs w:val="28"/>
          <w:rtl/>
        </w:rPr>
        <w:t>.</w:t>
      </w:r>
    </w:p>
    <w:p w:rsidR="009B636F" w:rsidRPr="00B726E5" w:rsidRDefault="009B636F" w:rsidP="009B636F">
      <w:pPr>
        <w:pStyle w:val="a5"/>
        <w:bidi w:val="0"/>
        <w:spacing w:line="360" w:lineRule="auto"/>
        <w:jc w:val="both"/>
        <w:rPr>
          <w:rFonts w:asciiTheme="majorBidi" w:hAnsiTheme="majorBidi" w:cstheme="majorBidi"/>
          <w:sz w:val="28"/>
          <w:szCs w:val="28"/>
        </w:rPr>
      </w:pPr>
      <w:hyperlink r:id="rId19" w:history="1">
        <w:r w:rsidRPr="00B726E5">
          <w:rPr>
            <w:rStyle w:val="Hyperlink"/>
            <w:rFonts w:asciiTheme="majorBidi" w:hAnsiTheme="majorBidi" w:cstheme="majorBidi"/>
            <w:sz w:val="28"/>
            <w:szCs w:val="28"/>
          </w:rPr>
          <w:t>http://www.brookings.edu/research/opinions/2011/04/09-goldstone-piccone</w:t>
        </w:r>
      </w:hyperlink>
    </w:p>
    <w:p w:rsidR="009B636F" w:rsidRPr="00B726E5" w:rsidRDefault="009B636F" w:rsidP="009B636F">
      <w:pPr>
        <w:pStyle w:val="a5"/>
        <w:bidi w:val="0"/>
        <w:spacing w:line="360" w:lineRule="auto"/>
        <w:jc w:val="both"/>
        <w:rPr>
          <w:rFonts w:asciiTheme="majorBidi" w:hAnsiTheme="majorBidi" w:cstheme="majorBidi"/>
          <w:sz w:val="28"/>
          <w:szCs w:val="28"/>
        </w:rPr>
      </w:pPr>
    </w:p>
    <w:p w:rsidR="009B636F" w:rsidRPr="00B726E5" w:rsidRDefault="009B636F" w:rsidP="009B636F">
      <w:pPr>
        <w:pStyle w:val="a5"/>
        <w:bidi w:val="0"/>
        <w:spacing w:line="360" w:lineRule="auto"/>
        <w:jc w:val="both"/>
        <w:rPr>
          <w:rFonts w:asciiTheme="majorBidi" w:hAnsiTheme="majorBidi" w:cstheme="majorBidi"/>
          <w:sz w:val="28"/>
          <w:szCs w:val="28"/>
        </w:rPr>
      </w:pPr>
      <w:r w:rsidRPr="00B726E5">
        <w:rPr>
          <w:rFonts w:asciiTheme="majorBidi" w:hAnsiTheme="majorBidi" w:cstheme="majorBidi"/>
          <w:sz w:val="28"/>
          <w:szCs w:val="28"/>
        </w:rPr>
        <w:t>Bassiouni</w:t>
      </w:r>
      <w:r>
        <w:rPr>
          <w:rFonts w:asciiTheme="majorBidi" w:hAnsiTheme="majorBidi" w:cstheme="majorBidi"/>
          <w:sz w:val="28"/>
          <w:szCs w:val="28"/>
        </w:rPr>
        <w:t xml:space="preserve"> </w:t>
      </w:r>
      <w:r w:rsidRPr="00B726E5">
        <w:rPr>
          <w:rFonts w:asciiTheme="majorBidi" w:hAnsiTheme="majorBidi" w:cstheme="majorBidi"/>
          <w:sz w:val="28"/>
          <w:szCs w:val="28"/>
        </w:rPr>
        <w:t xml:space="preserve">Cherif (2001), Appraising UN Justice-Related Fact-Finding Missions, </w:t>
      </w:r>
      <w:r w:rsidRPr="00B726E5">
        <w:rPr>
          <w:rFonts w:asciiTheme="majorBidi" w:hAnsiTheme="majorBidi" w:cstheme="majorBidi"/>
          <w:b/>
          <w:bCs/>
          <w:sz w:val="28"/>
          <w:szCs w:val="28"/>
        </w:rPr>
        <w:t>Journal of Law &amp; Policy</w:t>
      </w:r>
      <w:r w:rsidRPr="00B726E5">
        <w:rPr>
          <w:rFonts w:asciiTheme="majorBidi" w:hAnsiTheme="majorBidi" w:cstheme="majorBidi"/>
          <w:sz w:val="28"/>
          <w:szCs w:val="28"/>
        </w:rPr>
        <w:t>, Vol. 5:35, pp. 41-42</w:t>
      </w:r>
      <w:r>
        <w:rPr>
          <w:rFonts w:asciiTheme="majorBidi" w:hAnsiTheme="majorBidi" w:cstheme="majorBidi" w:hint="cs"/>
          <w:sz w:val="28"/>
          <w:szCs w:val="28"/>
          <w:rtl/>
        </w:rPr>
        <w:t>.</w:t>
      </w:r>
    </w:p>
    <w:p w:rsidR="009B636F" w:rsidRPr="00B726E5" w:rsidRDefault="009B636F" w:rsidP="009B636F">
      <w:pPr>
        <w:pStyle w:val="a5"/>
        <w:bidi w:val="0"/>
        <w:spacing w:line="360" w:lineRule="auto"/>
        <w:jc w:val="both"/>
        <w:rPr>
          <w:rFonts w:asciiTheme="majorBidi" w:hAnsiTheme="majorBidi" w:cstheme="majorBidi"/>
          <w:sz w:val="28"/>
          <w:szCs w:val="28"/>
        </w:rPr>
      </w:pPr>
      <w:hyperlink r:id="rId20" w:history="1">
        <w:r w:rsidRPr="00B726E5">
          <w:rPr>
            <w:rStyle w:val="Hyperlink"/>
            <w:rFonts w:asciiTheme="majorBidi" w:hAnsiTheme="majorBidi" w:cstheme="majorBidi"/>
            <w:sz w:val="28"/>
            <w:szCs w:val="28"/>
          </w:rPr>
          <w:t>https://law.wustl.edu/harris/documents/p_35_Bassiouni.pdf</w:t>
        </w:r>
      </w:hyperlink>
    </w:p>
    <w:p w:rsidR="009B636F" w:rsidRPr="00B726E5" w:rsidRDefault="009B636F" w:rsidP="009B636F">
      <w:pPr>
        <w:pStyle w:val="a5"/>
        <w:bidi w:val="0"/>
        <w:spacing w:line="360" w:lineRule="auto"/>
        <w:jc w:val="both"/>
        <w:rPr>
          <w:rFonts w:asciiTheme="majorBidi" w:hAnsiTheme="majorBidi" w:cstheme="majorBidi"/>
          <w:sz w:val="28"/>
          <w:szCs w:val="28"/>
        </w:rPr>
      </w:pPr>
    </w:p>
    <w:p w:rsidR="009B636F" w:rsidRPr="00B726E5" w:rsidRDefault="009B636F" w:rsidP="009B636F">
      <w:pPr>
        <w:pStyle w:val="a5"/>
        <w:bidi w:val="0"/>
        <w:spacing w:line="360" w:lineRule="auto"/>
        <w:jc w:val="both"/>
        <w:rPr>
          <w:rFonts w:asciiTheme="majorBidi" w:hAnsiTheme="majorBidi" w:cstheme="majorBidi"/>
          <w:sz w:val="28"/>
          <w:szCs w:val="28"/>
        </w:rPr>
      </w:pPr>
      <w:r w:rsidRPr="00B726E5">
        <w:rPr>
          <w:rFonts w:asciiTheme="majorBidi" w:hAnsiTheme="majorBidi" w:cstheme="majorBidi"/>
          <w:sz w:val="28"/>
          <w:szCs w:val="28"/>
        </w:rPr>
        <w:t xml:space="preserve">Berg Axel (1993), The 1991 Declaration on Fact-finding by the United Nations, </w:t>
      </w:r>
      <w:r w:rsidRPr="00B726E5">
        <w:rPr>
          <w:rFonts w:asciiTheme="majorBidi" w:hAnsiTheme="majorBidi" w:cstheme="majorBidi"/>
          <w:b/>
          <w:bCs/>
          <w:sz w:val="28"/>
          <w:szCs w:val="28"/>
        </w:rPr>
        <w:t>EJIL</w:t>
      </w:r>
      <w:r w:rsidRPr="00B726E5">
        <w:rPr>
          <w:rFonts w:asciiTheme="majorBidi" w:hAnsiTheme="majorBidi" w:cstheme="majorBidi"/>
          <w:sz w:val="28"/>
          <w:szCs w:val="28"/>
        </w:rPr>
        <w:t>, Vol. 4, pp. 107-114</w:t>
      </w:r>
      <w:r>
        <w:rPr>
          <w:rFonts w:asciiTheme="majorBidi" w:hAnsiTheme="majorBidi" w:cstheme="majorBidi" w:hint="cs"/>
          <w:sz w:val="28"/>
          <w:szCs w:val="28"/>
          <w:rtl/>
        </w:rPr>
        <w:t>.</w:t>
      </w:r>
    </w:p>
    <w:p w:rsidR="009B636F" w:rsidRPr="00B726E5" w:rsidRDefault="009B636F" w:rsidP="009B636F">
      <w:pPr>
        <w:pStyle w:val="a5"/>
        <w:bidi w:val="0"/>
        <w:spacing w:line="360" w:lineRule="auto"/>
        <w:jc w:val="both"/>
        <w:rPr>
          <w:rFonts w:asciiTheme="majorBidi" w:hAnsiTheme="majorBidi" w:cstheme="majorBidi"/>
          <w:sz w:val="28"/>
          <w:szCs w:val="28"/>
        </w:rPr>
      </w:pPr>
      <w:hyperlink r:id="rId21" w:history="1">
        <w:r w:rsidRPr="00B726E5">
          <w:rPr>
            <w:rStyle w:val="Hyperlink"/>
            <w:rFonts w:asciiTheme="majorBidi" w:hAnsiTheme="majorBidi" w:cstheme="majorBidi"/>
            <w:sz w:val="28"/>
            <w:szCs w:val="28"/>
          </w:rPr>
          <w:t>http://www.ejil.org/pdfs/4/1/1184.pdf</w:t>
        </w:r>
      </w:hyperlink>
    </w:p>
    <w:p w:rsidR="009B636F" w:rsidRPr="00B726E5" w:rsidRDefault="009B636F" w:rsidP="009B636F">
      <w:pPr>
        <w:pStyle w:val="a5"/>
        <w:bidi w:val="0"/>
        <w:spacing w:line="360" w:lineRule="auto"/>
        <w:jc w:val="both"/>
        <w:rPr>
          <w:rFonts w:asciiTheme="majorBidi" w:hAnsiTheme="majorBidi" w:cstheme="majorBidi"/>
          <w:sz w:val="28"/>
          <w:szCs w:val="28"/>
        </w:rPr>
      </w:pPr>
    </w:p>
    <w:p w:rsidR="009B636F" w:rsidRPr="00B726E5" w:rsidRDefault="009B636F" w:rsidP="009B636F">
      <w:pPr>
        <w:pStyle w:val="a5"/>
        <w:bidi w:val="0"/>
        <w:spacing w:line="360" w:lineRule="auto"/>
        <w:jc w:val="both"/>
        <w:rPr>
          <w:rFonts w:asciiTheme="majorBidi" w:hAnsiTheme="majorBidi" w:cstheme="majorBidi"/>
          <w:sz w:val="28"/>
          <w:szCs w:val="28"/>
        </w:rPr>
      </w:pPr>
      <w:r w:rsidRPr="00B726E5">
        <w:rPr>
          <w:rFonts w:asciiTheme="majorBidi" w:hAnsiTheme="majorBidi" w:cstheme="majorBidi"/>
          <w:sz w:val="28"/>
          <w:szCs w:val="28"/>
        </w:rPr>
        <w:t xml:space="preserve">Cohen Amichai, Cohen Stuart (2011), </w:t>
      </w:r>
      <w:hyperlink r:id="rId22" w:history="1">
        <w:r w:rsidRPr="00B726E5">
          <w:rPr>
            <w:rFonts w:asciiTheme="majorBidi" w:eastAsia="Times New Roman" w:hAnsiTheme="majorBidi" w:cstheme="majorBidi"/>
            <w:sz w:val="28"/>
            <w:szCs w:val="28"/>
          </w:rPr>
          <w:t>Israel and International Humanitarian Law: Between the Neo-Realism of State Security and the "Soft Power" of Legal Acceptability</w:t>
        </w:r>
      </w:hyperlink>
      <w:r w:rsidRPr="00B726E5">
        <w:rPr>
          <w:rFonts w:asciiTheme="majorBidi" w:eastAsia="Times New Roman" w:hAnsiTheme="majorBidi" w:cstheme="majorBidi"/>
          <w:sz w:val="28"/>
          <w:szCs w:val="28"/>
        </w:rPr>
        <w:t xml:space="preserve">, </w:t>
      </w:r>
      <w:hyperlink r:id="rId23" w:history="1">
        <w:r w:rsidRPr="00B726E5">
          <w:rPr>
            <w:rFonts w:asciiTheme="majorBidi" w:hAnsiTheme="majorBidi" w:cstheme="majorBidi"/>
            <w:b/>
            <w:bCs/>
            <w:sz w:val="28"/>
            <w:szCs w:val="28"/>
          </w:rPr>
          <w:t>Israel Studies</w:t>
        </w:r>
      </w:hyperlink>
      <w:r w:rsidRPr="00B726E5">
        <w:rPr>
          <w:rFonts w:asciiTheme="majorBidi" w:hAnsiTheme="majorBidi" w:cstheme="majorBidi"/>
          <w:sz w:val="28"/>
          <w:szCs w:val="28"/>
        </w:rPr>
        <w:t>, Vol. 16, No. 2</w:t>
      </w:r>
      <w:r>
        <w:rPr>
          <w:rFonts w:asciiTheme="majorBidi" w:hAnsiTheme="majorBidi" w:cstheme="majorBidi" w:hint="cs"/>
          <w:sz w:val="28"/>
          <w:szCs w:val="28"/>
          <w:rtl/>
        </w:rPr>
        <w:t>.</w:t>
      </w:r>
    </w:p>
    <w:p w:rsidR="009B636F" w:rsidRPr="00B726E5" w:rsidRDefault="009B636F" w:rsidP="009B636F">
      <w:pPr>
        <w:pStyle w:val="a5"/>
        <w:bidi w:val="0"/>
        <w:spacing w:line="360" w:lineRule="auto"/>
        <w:jc w:val="both"/>
        <w:rPr>
          <w:rFonts w:asciiTheme="majorBidi" w:hAnsiTheme="majorBidi" w:cstheme="majorBidi"/>
          <w:sz w:val="28"/>
          <w:szCs w:val="28"/>
        </w:rPr>
      </w:pPr>
      <w:hyperlink r:id="rId24" w:history="1">
        <w:r w:rsidRPr="00B726E5">
          <w:rPr>
            <w:rStyle w:val="Hyperlink"/>
            <w:rFonts w:asciiTheme="majorBidi" w:hAnsiTheme="majorBidi" w:cstheme="majorBidi"/>
            <w:sz w:val="28"/>
            <w:szCs w:val="28"/>
          </w:rPr>
          <w:t>http://muse.jhu.edu/article/429105/pdf</w:t>
        </w:r>
      </w:hyperlink>
    </w:p>
    <w:p w:rsidR="009B636F" w:rsidRPr="00B726E5" w:rsidRDefault="009B636F" w:rsidP="009B636F">
      <w:pPr>
        <w:pStyle w:val="a5"/>
        <w:bidi w:val="0"/>
        <w:spacing w:line="360" w:lineRule="auto"/>
        <w:jc w:val="both"/>
        <w:rPr>
          <w:rFonts w:asciiTheme="majorBidi" w:hAnsiTheme="majorBidi" w:cstheme="majorBidi"/>
          <w:sz w:val="28"/>
          <w:szCs w:val="28"/>
        </w:rPr>
      </w:pPr>
    </w:p>
    <w:p w:rsidR="009B636F" w:rsidRPr="00FA11B8" w:rsidRDefault="009B636F" w:rsidP="009B636F">
      <w:pPr>
        <w:pStyle w:val="a5"/>
        <w:bidi w:val="0"/>
        <w:spacing w:line="360" w:lineRule="auto"/>
        <w:jc w:val="both"/>
        <w:rPr>
          <w:rFonts w:asciiTheme="majorBidi" w:hAnsiTheme="majorBidi" w:cstheme="majorBidi"/>
          <w:sz w:val="28"/>
          <w:szCs w:val="28"/>
        </w:rPr>
      </w:pPr>
      <w:r w:rsidRPr="00FA11B8">
        <w:rPr>
          <w:rFonts w:asciiTheme="majorBidi" w:hAnsiTheme="majorBidi" w:cstheme="majorBidi"/>
          <w:sz w:val="28"/>
          <w:szCs w:val="28"/>
        </w:rPr>
        <w:t xml:space="preserve">Commission on the Responsibility of the Authors of the War and on Enforcement of Penalties </w:t>
      </w:r>
      <w:r w:rsidRPr="00FA11B8">
        <w:rPr>
          <w:rFonts w:asciiTheme="majorBidi" w:hAnsiTheme="majorBidi" w:cstheme="majorBidi"/>
          <w:sz w:val="28"/>
          <w:szCs w:val="28"/>
          <w:shd w:val="clear" w:color="auto" w:fill="FFFFFF"/>
        </w:rPr>
        <w:t xml:space="preserve">(1920), </w:t>
      </w:r>
      <w:r w:rsidRPr="00FA11B8">
        <w:rPr>
          <w:rFonts w:asciiTheme="majorBidi" w:hAnsiTheme="majorBidi" w:cstheme="majorBidi"/>
          <w:b/>
          <w:bCs/>
          <w:sz w:val="28"/>
          <w:szCs w:val="28"/>
          <w:shd w:val="clear" w:color="auto" w:fill="FFFFFF"/>
        </w:rPr>
        <w:t>The American Journal of International Law</w:t>
      </w:r>
      <w:r w:rsidRPr="00FA11B8">
        <w:rPr>
          <w:rFonts w:asciiTheme="majorBidi" w:hAnsiTheme="majorBidi" w:cstheme="majorBidi"/>
          <w:sz w:val="28"/>
          <w:szCs w:val="28"/>
          <w:shd w:val="clear" w:color="auto" w:fill="FFFFFF"/>
        </w:rPr>
        <w:t>, Vol. 14, No. 1/2, pp. 95-154.</w:t>
      </w:r>
    </w:p>
    <w:p w:rsidR="009B636F" w:rsidRPr="00FA11B8" w:rsidRDefault="009B636F" w:rsidP="009B636F">
      <w:pPr>
        <w:pStyle w:val="a5"/>
        <w:bidi w:val="0"/>
        <w:spacing w:line="360" w:lineRule="auto"/>
        <w:jc w:val="both"/>
        <w:rPr>
          <w:rFonts w:asciiTheme="majorBidi" w:hAnsiTheme="majorBidi" w:cstheme="majorBidi"/>
          <w:sz w:val="28"/>
          <w:szCs w:val="28"/>
        </w:rPr>
      </w:pPr>
    </w:p>
    <w:p w:rsidR="009B636F" w:rsidRPr="00B726E5" w:rsidRDefault="009B636F" w:rsidP="009B636F">
      <w:pPr>
        <w:pStyle w:val="a5"/>
        <w:bidi w:val="0"/>
        <w:spacing w:line="360" w:lineRule="auto"/>
        <w:jc w:val="both"/>
        <w:rPr>
          <w:rFonts w:asciiTheme="majorBidi" w:hAnsiTheme="majorBidi" w:cstheme="majorBidi"/>
          <w:sz w:val="28"/>
          <w:szCs w:val="28"/>
          <w:rtl/>
        </w:rPr>
      </w:pPr>
      <w:r w:rsidRPr="00B726E5">
        <w:rPr>
          <w:rFonts w:asciiTheme="majorBidi" w:hAnsiTheme="majorBidi" w:cstheme="majorBidi"/>
          <w:sz w:val="28"/>
          <w:szCs w:val="28"/>
        </w:rPr>
        <w:t xml:space="preserve">Cottier Thomas and Muller Jorg Paul, Estoppel (Last Updated in 2007), in </w:t>
      </w:r>
      <w:r w:rsidRPr="00B726E5">
        <w:rPr>
          <w:rFonts w:asciiTheme="majorBidi" w:hAnsiTheme="majorBidi" w:cstheme="majorBidi"/>
          <w:b/>
          <w:bCs/>
          <w:sz w:val="28"/>
          <w:szCs w:val="28"/>
        </w:rPr>
        <w:t>Max Planck Encyclopedia of Public International Law</w:t>
      </w:r>
      <w:r w:rsidRPr="00B726E5">
        <w:rPr>
          <w:rFonts w:asciiTheme="majorBidi" w:hAnsiTheme="majorBidi" w:cstheme="majorBidi"/>
          <w:sz w:val="28"/>
          <w:szCs w:val="28"/>
        </w:rPr>
        <w:t>, Oxford University Press, Vol. 3</w:t>
      </w:r>
      <w:r>
        <w:rPr>
          <w:rFonts w:asciiTheme="majorBidi" w:hAnsiTheme="majorBidi" w:cstheme="majorBidi"/>
          <w:sz w:val="28"/>
          <w:szCs w:val="28"/>
        </w:rPr>
        <w:t>.</w:t>
      </w:r>
    </w:p>
    <w:p w:rsidR="009B636F" w:rsidRPr="00B726E5" w:rsidRDefault="009B636F" w:rsidP="009B636F">
      <w:pPr>
        <w:pStyle w:val="a5"/>
        <w:bidi w:val="0"/>
        <w:spacing w:line="360" w:lineRule="auto"/>
        <w:jc w:val="both"/>
        <w:rPr>
          <w:rFonts w:asciiTheme="majorBidi" w:hAnsiTheme="majorBidi" w:cstheme="majorBidi"/>
          <w:sz w:val="28"/>
          <w:szCs w:val="28"/>
        </w:rPr>
      </w:pPr>
    </w:p>
    <w:p w:rsidR="009B636F" w:rsidRPr="00B726E5" w:rsidRDefault="009B636F" w:rsidP="009B636F">
      <w:pPr>
        <w:pStyle w:val="a5"/>
        <w:bidi w:val="0"/>
        <w:spacing w:line="360" w:lineRule="auto"/>
        <w:jc w:val="both"/>
        <w:rPr>
          <w:rFonts w:asciiTheme="majorBidi" w:hAnsiTheme="majorBidi" w:cstheme="majorBidi"/>
          <w:sz w:val="28"/>
          <w:szCs w:val="28"/>
        </w:rPr>
      </w:pPr>
      <w:r w:rsidRPr="00B726E5">
        <w:rPr>
          <w:rFonts w:asciiTheme="majorBidi" w:hAnsiTheme="majorBidi" w:cstheme="majorBidi"/>
          <w:sz w:val="28"/>
          <w:szCs w:val="28"/>
        </w:rPr>
        <w:t>Dershowitz Alan (2010), The Case Against the Goldstone Report: A Study in Evidentiary Bias</w:t>
      </w:r>
      <w:r>
        <w:rPr>
          <w:rFonts w:asciiTheme="majorBidi" w:hAnsiTheme="majorBidi" w:cstheme="majorBidi"/>
          <w:sz w:val="28"/>
          <w:szCs w:val="28"/>
        </w:rPr>
        <w:t>.</w:t>
      </w:r>
    </w:p>
    <w:p w:rsidR="009B636F" w:rsidRPr="00B726E5" w:rsidRDefault="009B636F" w:rsidP="009B636F">
      <w:pPr>
        <w:pStyle w:val="a5"/>
        <w:bidi w:val="0"/>
        <w:spacing w:line="360" w:lineRule="auto"/>
        <w:jc w:val="both"/>
        <w:rPr>
          <w:rFonts w:asciiTheme="majorBidi" w:hAnsiTheme="majorBidi" w:cstheme="majorBidi"/>
          <w:sz w:val="28"/>
          <w:szCs w:val="28"/>
        </w:rPr>
      </w:pPr>
      <w:hyperlink r:id="rId25" w:history="1">
        <w:r w:rsidRPr="00B726E5">
          <w:rPr>
            <w:rStyle w:val="Hyperlink"/>
            <w:rFonts w:asciiTheme="majorBidi" w:hAnsiTheme="majorBidi" w:cstheme="majorBidi"/>
            <w:sz w:val="28"/>
            <w:szCs w:val="28"/>
          </w:rPr>
          <w:t>https://dash.harvard.edu/bitstream/handle/1/3593975/DershowitzGoldstone.pdf?sequence=2</w:t>
        </w:r>
      </w:hyperlink>
    </w:p>
    <w:p w:rsidR="009B636F" w:rsidRPr="00B726E5" w:rsidRDefault="009B636F" w:rsidP="009B636F">
      <w:pPr>
        <w:pStyle w:val="a5"/>
        <w:bidi w:val="0"/>
        <w:spacing w:line="360" w:lineRule="auto"/>
        <w:jc w:val="both"/>
        <w:rPr>
          <w:rFonts w:asciiTheme="majorBidi" w:hAnsiTheme="majorBidi" w:cstheme="majorBidi"/>
          <w:sz w:val="28"/>
          <w:szCs w:val="28"/>
        </w:rPr>
      </w:pPr>
    </w:p>
    <w:p w:rsidR="009B636F" w:rsidRPr="009B636F" w:rsidRDefault="009B636F" w:rsidP="009B636F">
      <w:pPr>
        <w:pStyle w:val="a5"/>
        <w:bidi w:val="0"/>
        <w:spacing w:line="360" w:lineRule="auto"/>
        <w:jc w:val="both"/>
        <w:rPr>
          <w:rFonts w:asciiTheme="majorBidi" w:eastAsia="Times New Roman" w:hAnsiTheme="majorBidi" w:cstheme="majorBidi"/>
          <w:sz w:val="28"/>
          <w:szCs w:val="28"/>
        </w:rPr>
      </w:pPr>
      <w:r w:rsidRPr="009B636F">
        <w:rPr>
          <w:rFonts w:asciiTheme="majorBidi" w:hAnsiTheme="majorBidi" w:cstheme="majorBidi"/>
          <w:sz w:val="28"/>
          <w:szCs w:val="28"/>
        </w:rPr>
        <w:t xml:space="preserve">Dill Janina (2014), </w:t>
      </w:r>
      <w:r w:rsidRPr="009B636F">
        <w:rPr>
          <w:rFonts w:asciiTheme="majorBidi" w:eastAsia="Times New Roman" w:hAnsiTheme="majorBidi" w:cstheme="majorBidi"/>
          <w:sz w:val="28"/>
          <w:szCs w:val="28"/>
        </w:rPr>
        <w:t xml:space="preserve">Guest Post: Israel’s Use of Law and Warnings in Gaza, </w:t>
      </w:r>
      <w:r w:rsidRPr="009B636F">
        <w:rPr>
          <w:rFonts w:asciiTheme="majorBidi" w:eastAsia="Times New Roman" w:hAnsiTheme="majorBidi" w:cstheme="majorBidi"/>
          <w:b/>
          <w:bCs/>
          <w:sz w:val="28"/>
          <w:szCs w:val="28"/>
        </w:rPr>
        <w:t>Opinio Juris</w:t>
      </w:r>
      <w:r w:rsidRPr="009B636F">
        <w:rPr>
          <w:rFonts w:asciiTheme="majorBidi" w:eastAsia="Times New Roman" w:hAnsiTheme="majorBidi" w:cstheme="majorBidi"/>
          <w:sz w:val="28"/>
          <w:szCs w:val="28"/>
        </w:rPr>
        <w:t>.</w:t>
      </w:r>
    </w:p>
    <w:p w:rsidR="009B636F" w:rsidRPr="00FA11B8" w:rsidRDefault="009B636F" w:rsidP="009B636F">
      <w:pPr>
        <w:pStyle w:val="a5"/>
        <w:bidi w:val="0"/>
        <w:spacing w:line="360" w:lineRule="auto"/>
        <w:jc w:val="both"/>
        <w:rPr>
          <w:rFonts w:asciiTheme="majorBidi" w:eastAsia="Times New Roman" w:hAnsiTheme="majorBidi" w:cstheme="majorBidi"/>
          <w:sz w:val="28"/>
          <w:szCs w:val="28"/>
        </w:rPr>
      </w:pPr>
      <w:hyperlink r:id="rId26" w:history="1">
        <w:r w:rsidRPr="00FA11B8">
          <w:rPr>
            <w:rStyle w:val="Hyperlink"/>
            <w:rFonts w:asciiTheme="majorBidi" w:eastAsia="Times New Roman" w:hAnsiTheme="majorBidi" w:cstheme="majorBidi"/>
            <w:sz w:val="28"/>
            <w:szCs w:val="28"/>
          </w:rPr>
          <w:t>http://opiniojuris.org/2014/07/30/guest-post-israels-use-law-warnings-gaza/</w:t>
        </w:r>
      </w:hyperlink>
    </w:p>
    <w:p w:rsidR="009B636F" w:rsidRPr="00FA11B8" w:rsidRDefault="009B636F" w:rsidP="009B636F">
      <w:pPr>
        <w:pStyle w:val="a5"/>
        <w:bidi w:val="0"/>
        <w:spacing w:line="360" w:lineRule="auto"/>
        <w:jc w:val="both"/>
        <w:rPr>
          <w:rFonts w:asciiTheme="majorBidi" w:hAnsiTheme="majorBidi" w:cstheme="majorBidi"/>
          <w:sz w:val="28"/>
          <w:szCs w:val="28"/>
          <w:rtl/>
        </w:rPr>
      </w:pPr>
    </w:p>
    <w:p w:rsidR="009B636F" w:rsidRPr="00B726E5" w:rsidRDefault="009B636F" w:rsidP="009B636F">
      <w:pPr>
        <w:pStyle w:val="a5"/>
        <w:bidi w:val="0"/>
        <w:spacing w:line="360" w:lineRule="auto"/>
        <w:jc w:val="both"/>
        <w:rPr>
          <w:rFonts w:asciiTheme="majorBidi" w:hAnsiTheme="majorBidi" w:cstheme="majorBidi"/>
          <w:b/>
          <w:bCs/>
          <w:sz w:val="28"/>
          <w:szCs w:val="28"/>
          <w:rtl/>
        </w:rPr>
      </w:pPr>
      <w:r w:rsidRPr="00B726E5">
        <w:rPr>
          <w:rFonts w:asciiTheme="majorBidi" w:hAnsiTheme="majorBidi" w:cstheme="majorBidi"/>
          <w:sz w:val="28"/>
          <w:szCs w:val="28"/>
        </w:rPr>
        <w:t xml:space="preserve">Dunlap Charles (2008), Lawfare Today – A Perspective, </w:t>
      </w:r>
      <w:r w:rsidRPr="00B726E5">
        <w:rPr>
          <w:rFonts w:asciiTheme="majorBidi" w:hAnsiTheme="majorBidi" w:cstheme="majorBidi"/>
          <w:b/>
          <w:bCs/>
          <w:sz w:val="28"/>
          <w:szCs w:val="28"/>
        </w:rPr>
        <w:t>Yale Journal of International Affairs</w:t>
      </w:r>
      <w:r w:rsidRPr="00B726E5">
        <w:rPr>
          <w:rFonts w:asciiTheme="majorBidi" w:hAnsiTheme="majorBidi" w:cstheme="majorBidi"/>
          <w:sz w:val="28"/>
          <w:szCs w:val="28"/>
        </w:rPr>
        <w:t>, Winter</w:t>
      </w:r>
      <w:r>
        <w:rPr>
          <w:rFonts w:asciiTheme="majorBidi" w:hAnsiTheme="majorBidi" w:cstheme="majorBidi"/>
          <w:sz w:val="28"/>
          <w:szCs w:val="28"/>
        </w:rPr>
        <w:t>.</w:t>
      </w:r>
    </w:p>
    <w:p w:rsidR="009B636F" w:rsidRPr="00B726E5" w:rsidRDefault="009B636F" w:rsidP="009B636F">
      <w:pPr>
        <w:pStyle w:val="a5"/>
        <w:bidi w:val="0"/>
        <w:spacing w:line="360" w:lineRule="auto"/>
        <w:jc w:val="both"/>
        <w:rPr>
          <w:rFonts w:asciiTheme="majorBidi" w:eastAsia="Times New Roman" w:hAnsiTheme="majorBidi" w:cstheme="majorBidi"/>
          <w:kern w:val="36"/>
          <w:sz w:val="28"/>
          <w:szCs w:val="28"/>
        </w:rPr>
      </w:pPr>
    </w:p>
    <w:p w:rsidR="009B636F" w:rsidRPr="00B726E5" w:rsidRDefault="009B636F" w:rsidP="009B636F">
      <w:pPr>
        <w:pStyle w:val="a5"/>
        <w:bidi w:val="0"/>
        <w:spacing w:line="360" w:lineRule="auto"/>
        <w:jc w:val="both"/>
        <w:rPr>
          <w:rFonts w:asciiTheme="majorBidi" w:hAnsiTheme="majorBidi" w:cstheme="majorBidi"/>
          <w:sz w:val="28"/>
          <w:szCs w:val="28"/>
          <w:rtl/>
        </w:rPr>
      </w:pPr>
      <w:r w:rsidRPr="00B726E5">
        <w:rPr>
          <w:rFonts w:asciiTheme="majorBidi" w:hAnsiTheme="majorBidi" w:cstheme="majorBidi"/>
          <w:sz w:val="28"/>
          <w:szCs w:val="28"/>
        </w:rPr>
        <w:t xml:space="preserve">Franck Thomas (1989), Justice in the International System, </w:t>
      </w:r>
      <w:r w:rsidRPr="00B726E5">
        <w:rPr>
          <w:rFonts w:asciiTheme="majorBidi" w:hAnsiTheme="majorBidi" w:cstheme="majorBidi"/>
          <w:b/>
          <w:bCs/>
          <w:sz w:val="28"/>
          <w:szCs w:val="28"/>
        </w:rPr>
        <w:t>Michigan Journal of International Law</w:t>
      </w:r>
      <w:r w:rsidRPr="00B726E5">
        <w:rPr>
          <w:rFonts w:asciiTheme="majorBidi" w:hAnsiTheme="majorBidi" w:cstheme="majorBidi"/>
          <w:sz w:val="28"/>
          <w:szCs w:val="28"/>
        </w:rPr>
        <w:t>, Vol. 10, pp. 127-162</w:t>
      </w:r>
      <w:r>
        <w:rPr>
          <w:rFonts w:asciiTheme="majorBidi" w:hAnsiTheme="majorBidi" w:cstheme="majorBidi"/>
          <w:sz w:val="28"/>
          <w:szCs w:val="28"/>
        </w:rPr>
        <w:t>.</w:t>
      </w:r>
    </w:p>
    <w:p w:rsidR="009B636F" w:rsidRPr="00B726E5" w:rsidRDefault="009B636F" w:rsidP="009B636F">
      <w:pPr>
        <w:pStyle w:val="a5"/>
        <w:bidi w:val="0"/>
        <w:spacing w:line="360" w:lineRule="auto"/>
        <w:jc w:val="both"/>
        <w:rPr>
          <w:rFonts w:asciiTheme="majorBidi" w:hAnsiTheme="majorBidi" w:cstheme="majorBidi"/>
          <w:sz w:val="28"/>
          <w:szCs w:val="28"/>
        </w:rPr>
      </w:pPr>
    </w:p>
    <w:p w:rsidR="009B636F" w:rsidRPr="00B726E5" w:rsidRDefault="009B636F" w:rsidP="009B636F">
      <w:pPr>
        <w:pStyle w:val="a5"/>
        <w:bidi w:val="0"/>
        <w:spacing w:line="360" w:lineRule="auto"/>
        <w:jc w:val="both"/>
        <w:rPr>
          <w:rFonts w:asciiTheme="majorBidi" w:hAnsiTheme="majorBidi" w:cstheme="majorBidi"/>
          <w:sz w:val="28"/>
          <w:szCs w:val="28"/>
        </w:rPr>
      </w:pPr>
      <w:r w:rsidRPr="00B726E5">
        <w:rPr>
          <w:rFonts w:asciiTheme="majorBidi" w:hAnsiTheme="majorBidi" w:cstheme="majorBidi"/>
          <w:sz w:val="28"/>
          <w:szCs w:val="28"/>
        </w:rPr>
        <w:t xml:space="preserve">Franck Thomas (2006), The Power of Legitimacy and the Legitimacy of Power: International Law in an Age of Power Disequilibrium, </w:t>
      </w:r>
      <w:r w:rsidRPr="00B726E5">
        <w:rPr>
          <w:rFonts w:asciiTheme="majorBidi" w:hAnsiTheme="majorBidi" w:cstheme="majorBidi"/>
          <w:b/>
          <w:bCs/>
          <w:sz w:val="28"/>
          <w:szCs w:val="28"/>
        </w:rPr>
        <w:t>AJIL</w:t>
      </w:r>
      <w:r w:rsidRPr="00B726E5">
        <w:rPr>
          <w:rFonts w:asciiTheme="majorBidi" w:hAnsiTheme="majorBidi" w:cstheme="majorBidi"/>
          <w:sz w:val="28"/>
          <w:szCs w:val="28"/>
        </w:rPr>
        <w:t>, Vol. 100, No. 1, pp. 88-106</w:t>
      </w:r>
      <w:r>
        <w:rPr>
          <w:rFonts w:asciiTheme="majorBidi" w:hAnsiTheme="majorBidi" w:cstheme="majorBidi"/>
          <w:sz w:val="28"/>
          <w:szCs w:val="28"/>
        </w:rPr>
        <w:t>.</w:t>
      </w:r>
    </w:p>
    <w:p w:rsidR="009B636F" w:rsidRPr="00B726E5" w:rsidRDefault="009B636F" w:rsidP="009B636F">
      <w:pPr>
        <w:pStyle w:val="a5"/>
        <w:bidi w:val="0"/>
        <w:spacing w:line="360" w:lineRule="auto"/>
        <w:jc w:val="both"/>
        <w:rPr>
          <w:rFonts w:asciiTheme="majorBidi" w:hAnsiTheme="majorBidi" w:cstheme="majorBidi"/>
          <w:sz w:val="28"/>
          <w:szCs w:val="28"/>
          <w:rtl/>
        </w:rPr>
      </w:pPr>
    </w:p>
    <w:p w:rsidR="009B636F" w:rsidRPr="00B726E5" w:rsidRDefault="009B636F" w:rsidP="009B636F">
      <w:pPr>
        <w:pStyle w:val="a5"/>
        <w:bidi w:val="0"/>
        <w:spacing w:line="360" w:lineRule="auto"/>
        <w:jc w:val="both"/>
        <w:rPr>
          <w:rStyle w:val="aa"/>
          <w:rFonts w:asciiTheme="majorBidi" w:hAnsiTheme="majorBidi" w:cstheme="majorBidi"/>
          <w:sz w:val="28"/>
          <w:szCs w:val="28"/>
        </w:rPr>
      </w:pPr>
      <w:r w:rsidRPr="009B636F">
        <w:rPr>
          <w:rStyle w:val="aa"/>
          <w:rFonts w:asciiTheme="majorBidi" w:hAnsiTheme="majorBidi" w:cstheme="majorBidi"/>
          <w:b w:val="0"/>
          <w:color w:val="000000"/>
          <w:sz w:val="28"/>
          <w:szCs w:val="28"/>
        </w:rPr>
        <w:t>Gold Dore (2010),</w:t>
      </w:r>
      <w:r w:rsidRPr="00B726E5">
        <w:rPr>
          <w:rStyle w:val="aa"/>
          <w:rFonts w:asciiTheme="majorBidi" w:hAnsiTheme="majorBidi" w:cstheme="majorBidi"/>
          <w:bCs w:val="0"/>
          <w:color w:val="000000"/>
          <w:sz w:val="28"/>
          <w:szCs w:val="28"/>
        </w:rPr>
        <w:t xml:space="preserve"> </w:t>
      </w:r>
      <w:r w:rsidRPr="009B636F">
        <w:rPr>
          <w:rStyle w:val="aa"/>
          <w:rFonts w:asciiTheme="majorBidi" w:hAnsiTheme="majorBidi" w:cstheme="majorBidi"/>
          <w:b w:val="0"/>
          <w:sz w:val="28"/>
          <w:szCs w:val="28"/>
        </w:rPr>
        <w:t>New Revelations about the UN Goldstone Report that Seriously Undermine its Credibility,</w:t>
      </w:r>
      <w:r w:rsidRPr="00B726E5">
        <w:rPr>
          <w:rStyle w:val="aa"/>
          <w:rFonts w:asciiTheme="majorBidi" w:hAnsiTheme="majorBidi" w:cstheme="majorBidi"/>
          <w:sz w:val="28"/>
          <w:szCs w:val="28"/>
        </w:rPr>
        <w:t xml:space="preserve"> Jerusalem Center for Public Affairs</w:t>
      </w:r>
      <w:r>
        <w:rPr>
          <w:rStyle w:val="aa"/>
          <w:rFonts w:asciiTheme="majorBidi" w:hAnsiTheme="majorBidi" w:cstheme="majorBidi"/>
          <w:sz w:val="28"/>
          <w:szCs w:val="28"/>
        </w:rPr>
        <w:t>.</w:t>
      </w:r>
    </w:p>
    <w:p w:rsidR="009B636F" w:rsidRPr="00B726E5" w:rsidRDefault="009B636F" w:rsidP="009B636F">
      <w:pPr>
        <w:pStyle w:val="a5"/>
        <w:bidi w:val="0"/>
        <w:spacing w:line="360" w:lineRule="auto"/>
        <w:jc w:val="both"/>
        <w:rPr>
          <w:rFonts w:asciiTheme="majorBidi" w:hAnsiTheme="majorBidi" w:cstheme="majorBidi"/>
          <w:b/>
          <w:bCs/>
          <w:sz w:val="28"/>
          <w:szCs w:val="28"/>
        </w:rPr>
      </w:pPr>
      <w:hyperlink r:id="rId27" w:anchor="sthash.IRJzqKEg.dpuf" w:history="1">
        <w:r w:rsidRPr="00B726E5">
          <w:rPr>
            <w:rStyle w:val="Hyperlink"/>
            <w:rFonts w:asciiTheme="majorBidi" w:hAnsiTheme="majorBidi" w:cstheme="majorBidi"/>
            <w:bCs/>
            <w:sz w:val="28"/>
            <w:szCs w:val="28"/>
          </w:rPr>
          <w:t>http://jcpa.org/article/new-revelations-about-the-un-goldstone-report-that-seriously-undermine-its-credibility/#sthash.IRJzqKEg.dpuf</w:t>
        </w:r>
      </w:hyperlink>
    </w:p>
    <w:p w:rsidR="009B636F" w:rsidRPr="00B726E5" w:rsidRDefault="009B636F" w:rsidP="009B636F">
      <w:pPr>
        <w:pStyle w:val="a5"/>
        <w:bidi w:val="0"/>
        <w:spacing w:line="360" w:lineRule="auto"/>
        <w:jc w:val="both"/>
        <w:rPr>
          <w:rFonts w:asciiTheme="majorBidi" w:hAnsiTheme="majorBidi" w:cstheme="majorBidi"/>
          <w:sz w:val="28"/>
          <w:szCs w:val="28"/>
        </w:rPr>
      </w:pPr>
    </w:p>
    <w:p w:rsidR="009B636F" w:rsidRPr="00B726E5" w:rsidRDefault="009B636F" w:rsidP="009B636F">
      <w:pPr>
        <w:pStyle w:val="a5"/>
        <w:bidi w:val="0"/>
        <w:spacing w:line="360" w:lineRule="auto"/>
        <w:jc w:val="both"/>
        <w:rPr>
          <w:rFonts w:asciiTheme="majorBidi" w:hAnsiTheme="majorBidi" w:cstheme="majorBidi"/>
          <w:sz w:val="28"/>
          <w:szCs w:val="28"/>
        </w:rPr>
      </w:pPr>
      <w:r w:rsidRPr="00B726E5">
        <w:rPr>
          <w:rFonts w:asciiTheme="majorBidi" w:hAnsiTheme="majorBidi" w:cstheme="majorBidi"/>
          <w:sz w:val="28"/>
          <w:szCs w:val="28"/>
        </w:rPr>
        <w:t xml:space="preserve">Greenspan Morris (1972), Human Rights in the Territories Occupied by Israel, </w:t>
      </w:r>
      <w:r w:rsidRPr="00255A96">
        <w:rPr>
          <w:rFonts w:asciiTheme="majorBidi" w:hAnsiTheme="majorBidi" w:cstheme="majorBidi"/>
          <w:b/>
          <w:bCs/>
          <w:sz w:val="28"/>
          <w:szCs w:val="28"/>
        </w:rPr>
        <w:t>Santa Clara Lawyer</w:t>
      </w:r>
      <w:r>
        <w:rPr>
          <w:rFonts w:asciiTheme="majorBidi" w:hAnsiTheme="majorBidi" w:cstheme="majorBidi"/>
          <w:sz w:val="28"/>
          <w:szCs w:val="28"/>
        </w:rPr>
        <w:t>, Vol. 12,</w:t>
      </w:r>
      <w:r w:rsidRPr="00B726E5">
        <w:rPr>
          <w:rFonts w:asciiTheme="majorBidi" w:hAnsiTheme="majorBidi" w:cstheme="majorBidi"/>
          <w:sz w:val="28"/>
          <w:szCs w:val="28"/>
        </w:rPr>
        <w:t xml:space="preserve"> </w:t>
      </w:r>
      <w:r>
        <w:rPr>
          <w:rFonts w:asciiTheme="majorBidi" w:hAnsiTheme="majorBidi" w:cstheme="majorBidi"/>
          <w:sz w:val="28"/>
          <w:szCs w:val="28"/>
        </w:rPr>
        <w:t xml:space="preserve">p. </w:t>
      </w:r>
      <w:r w:rsidRPr="00B726E5">
        <w:rPr>
          <w:rFonts w:asciiTheme="majorBidi" w:hAnsiTheme="majorBidi" w:cstheme="majorBidi"/>
          <w:sz w:val="28"/>
          <w:szCs w:val="28"/>
        </w:rPr>
        <w:t>377</w:t>
      </w:r>
      <w:r>
        <w:rPr>
          <w:rFonts w:asciiTheme="majorBidi" w:hAnsiTheme="majorBidi" w:cstheme="majorBidi"/>
          <w:sz w:val="28"/>
          <w:szCs w:val="28"/>
        </w:rPr>
        <w:t>.</w:t>
      </w:r>
    </w:p>
    <w:p w:rsidR="009B636F" w:rsidRPr="00FA11B8" w:rsidRDefault="009B636F" w:rsidP="009B636F">
      <w:pPr>
        <w:pStyle w:val="a5"/>
        <w:bidi w:val="0"/>
        <w:spacing w:line="360" w:lineRule="auto"/>
        <w:jc w:val="both"/>
        <w:rPr>
          <w:rStyle w:val="Hyperlink"/>
          <w:rFonts w:asciiTheme="majorBidi" w:hAnsiTheme="majorBidi" w:cstheme="majorBidi"/>
          <w:bCs/>
          <w:sz w:val="28"/>
          <w:szCs w:val="28"/>
        </w:rPr>
      </w:pPr>
      <w:hyperlink r:id="rId28" w:history="1">
        <w:r w:rsidRPr="00FA11B8">
          <w:rPr>
            <w:rStyle w:val="Hyperlink"/>
            <w:rFonts w:asciiTheme="majorBidi" w:hAnsiTheme="majorBidi" w:cstheme="majorBidi"/>
            <w:bCs/>
            <w:sz w:val="28"/>
            <w:szCs w:val="28"/>
          </w:rPr>
          <w:t>http://digitalcommons.law.scu.edu/lawreview/vol12/iss2/7</w:t>
        </w:r>
      </w:hyperlink>
    </w:p>
    <w:p w:rsidR="009B636F" w:rsidRPr="00B726E5" w:rsidRDefault="009B636F" w:rsidP="009B636F">
      <w:pPr>
        <w:pStyle w:val="a5"/>
        <w:bidi w:val="0"/>
        <w:spacing w:line="360" w:lineRule="auto"/>
        <w:jc w:val="both"/>
        <w:rPr>
          <w:rFonts w:asciiTheme="majorBidi" w:hAnsiTheme="majorBidi" w:cstheme="majorBidi"/>
          <w:sz w:val="28"/>
          <w:szCs w:val="28"/>
          <w:rtl/>
        </w:rPr>
      </w:pPr>
    </w:p>
    <w:p w:rsidR="009B636F" w:rsidRPr="00B726E5" w:rsidRDefault="009B636F" w:rsidP="009B636F">
      <w:pPr>
        <w:pStyle w:val="a5"/>
        <w:bidi w:val="0"/>
        <w:spacing w:line="360" w:lineRule="auto"/>
        <w:jc w:val="both"/>
        <w:rPr>
          <w:rFonts w:asciiTheme="majorBidi" w:hAnsiTheme="majorBidi" w:cstheme="majorBidi"/>
          <w:sz w:val="28"/>
          <w:szCs w:val="28"/>
        </w:rPr>
      </w:pPr>
      <w:r w:rsidRPr="00B726E5">
        <w:rPr>
          <w:rStyle w:val="watch-title"/>
          <w:rFonts w:asciiTheme="majorBidi" w:hAnsiTheme="majorBidi" w:cstheme="majorBidi"/>
          <w:sz w:val="28"/>
          <w:szCs w:val="28"/>
          <w:bdr w:val="none" w:sz="0" w:space="0" w:color="auto" w:frame="1"/>
        </w:rPr>
        <w:t>ICRC Panel Discussion: Is the law of armed conflict in crisis and how to recommit to its respect?</w:t>
      </w:r>
      <w:r w:rsidRPr="00B726E5">
        <w:rPr>
          <w:rFonts w:asciiTheme="majorBidi" w:hAnsiTheme="majorBidi" w:cstheme="majorBidi"/>
          <w:sz w:val="28"/>
          <w:szCs w:val="28"/>
        </w:rPr>
        <w:t>, ICRC Humanitarium, Geneva, 21 April 2016</w:t>
      </w:r>
      <w:r>
        <w:rPr>
          <w:rFonts w:asciiTheme="majorBidi" w:hAnsiTheme="majorBidi" w:cstheme="majorBidi"/>
          <w:sz w:val="28"/>
          <w:szCs w:val="28"/>
        </w:rPr>
        <w:t>.</w:t>
      </w:r>
    </w:p>
    <w:p w:rsidR="009B636F" w:rsidRPr="00B726E5" w:rsidRDefault="009B636F" w:rsidP="009B636F">
      <w:pPr>
        <w:pStyle w:val="a5"/>
        <w:bidi w:val="0"/>
        <w:spacing w:line="360" w:lineRule="auto"/>
        <w:jc w:val="both"/>
        <w:rPr>
          <w:rFonts w:asciiTheme="majorBidi" w:hAnsiTheme="majorBidi" w:cstheme="majorBidi"/>
          <w:sz w:val="28"/>
          <w:szCs w:val="28"/>
        </w:rPr>
      </w:pPr>
      <w:r w:rsidRPr="009B636F">
        <w:rPr>
          <w:rStyle w:val="Hyperlink"/>
          <w:rFonts w:asciiTheme="majorBidi" w:hAnsiTheme="majorBidi" w:cstheme="majorBidi"/>
          <w:bCs/>
          <w:sz w:val="28"/>
          <w:szCs w:val="28"/>
        </w:rPr>
        <w:t>https://www.youtube.com/watch?v=XnSbYzP-Z_M&amp;feature=youtu.be</w:t>
      </w:r>
      <w:r w:rsidRPr="00B726E5">
        <w:rPr>
          <w:rFonts w:asciiTheme="majorBidi" w:hAnsiTheme="majorBidi" w:cstheme="majorBidi"/>
          <w:sz w:val="28"/>
          <w:szCs w:val="28"/>
        </w:rPr>
        <w:t>, @48:55</w:t>
      </w:r>
    </w:p>
    <w:p w:rsidR="009B636F" w:rsidRPr="00B726E5" w:rsidRDefault="009B636F" w:rsidP="009B636F">
      <w:pPr>
        <w:pStyle w:val="a5"/>
        <w:bidi w:val="0"/>
        <w:spacing w:line="360" w:lineRule="auto"/>
        <w:jc w:val="both"/>
        <w:rPr>
          <w:rFonts w:asciiTheme="majorBidi" w:eastAsia="Times New Roman" w:hAnsiTheme="majorBidi" w:cstheme="majorBidi"/>
          <w:kern w:val="36"/>
          <w:sz w:val="28"/>
          <w:szCs w:val="28"/>
        </w:rPr>
      </w:pPr>
    </w:p>
    <w:p w:rsidR="009B636F" w:rsidRPr="00B726E5" w:rsidRDefault="009B636F" w:rsidP="009B636F">
      <w:pPr>
        <w:pStyle w:val="a5"/>
        <w:bidi w:val="0"/>
        <w:spacing w:line="360" w:lineRule="auto"/>
        <w:jc w:val="both"/>
        <w:rPr>
          <w:rFonts w:asciiTheme="majorBidi" w:hAnsiTheme="majorBidi" w:cstheme="majorBidi"/>
          <w:sz w:val="28"/>
          <w:szCs w:val="28"/>
        </w:rPr>
      </w:pPr>
      <w:r w:rsidRPr="00B726E5">
        <w:rPr>
          <w:rFonts w:asciiTheme="majorBidi" w:hAnsiTheme="majorBidi" w:cstheme="majorBidi"/>
          <w:sz w:val="28"/>
          <w:szCs w:val="28"/>
        </w:rPr>
        <w:t xml:space="preserve">Koh Harold (1998), Bringing International Law Home, </w:t>
      </w:r>
      <w:r w:rsidRPr="00B726E5">
        <w:rPr>
          <w:rFonts w:asciiTheme="majorBidi" w:hAnsiTheme="majorBidi" w:cstheme="majorBidi"/>
          <w:b/>
          <w:bCs/>
          <w:sz w:val="28"/>
          <w:szCs w:val="28"/>
        </w:rPr>
        <w:t>Houston Law Review</w:t>
      </w:r>
      <w:r w:rsidRPr="00B726E5">
        <w:rPr>
          <w:rFonts w:asciiTheme="majorBidi" w:hAnsiTheme="majorBidi" w:cstheme="majorBidi"/>
          <w:sz w:val="28"/>
          <w:szCs w:val="28"/>
        </w:rPr>
        <w:t>, Vol. 35, pp. 623-681</w:t>
      </w:r>
      <w:r>
        <w:rPr>
          <w:rFonts w:asciiTheme="majorBidi" w:hAnsiTheme="majorBidi" w:cstheme="majorBidi"/>
          <w:sz w:val="28"/>
          <w:szCs w:val="28"/>
        </w:rPr>
        <w:t>.</w:t>
      </w:r>
    </w:p>
    <w:p w:rsidR="009B636F" w:rsidRPr="00B726E5" w:rsidRDefault="009B636F" w:rsidP="009B636F">
      <w:pPr>
        <w:pStyle w:val="a5"/>
        <w:bidi w:val="0"/>
        <w:spacing w:line="360" w:lineRule="auto"/>
        <w:jc w:val="both"/>
        <w:rPr>
          <w:rFonts w:asciiTheme="majorBidi" w:hAnsiTheme="majorBidi" w:cstheme="majorBidi"/>
          <w:sz w:val="28"/>
          <w:szCs w:val="28"/>
        </w:rPr>
      </w:pPr>
    </w:p>
    <w:p w:rsidR="009B636F" w:rsidRPr="00B726E5" w:rsidRDefault="009B636F" w:rsidP="009B636F">
      <w:pPr>
        <w:pStyle w:val="a5"/>
        <w:bidi w:val="0"/>
        <w:spacing w:line="360" w:lineRule="auto"/>
        <w:jc w:val="both"/>
        <w:rPr>
          <w:rFonts w:asciiTheme="majorBidi" w:hAnsiTheme="majorBidi" w:cstheme="majorBidi"/>
          <w:sz w:val="28"/>
          <w:szCs w:val="28"/>
          <w:rtl/>
        </w:rPr>
      </w:pPr>
      <w:r w:rsidRPr="00B726E5">
        <w:rPr>
          <w:rFonts w:asciiTheme="majorBidi" w:hAnsiTheme="majorBidi" w:cstheme="majorBidi"/>
          <w:sz w:val="28"/>
          <w:szCs w:val="28"/>
        </w:rPr>
        <w:t>Koh Harold (1998), How is International Human Rights Law Enforced?,</w:t>
      </w:r>
      <w:r>
        <w:rPr>
          <w:rFonts w:asciiTheme="majorBidi" w:hAnsiTheme="majorBidi" w:cstheme="majorBidi"/>
          <w:b/>
          <w:bCs/>
          <w:sz w:val="28"/>
          <w:szCs w:val="28"/>
        </w:rPr>
        <w:t xml:space="preserve"> </w:t>
      </w:r>
      <w:r w:rsidRPr="00B726E5">
        <w:rPr>
          <w:rFonts w:asciiTheme="majorBidi" w:hAnsiTheme="majorBidi" w:cstheme="majorBidi"/>
          <w:b/>
          <w:bCs/>
          <w:sz w:val="28"/>
          <w:szCs w:val="28"/>
        </w:rPr>
        <w:t>Indiana Law Journal</w:t>
      </w:r>
      <w:r w:rsidRPr="00B726E5">
        <w:rPr>
          <w:rFonts w:asciiTheme="majorBidi" w:hAnsiTheme="majorBidi" w:cstheme="majorBidi"/>
          <w:sz w:val="28"/>
          <w:szCs w:val="28"/>
        </w:rPr>
        <w:t>, Vol. 74, pp. 1397-1417</w:t>
      </w:r>
      <w:r>
        <w:rPr>
          <w:rFonts w:asciiTheme="majorBidi" w:hAnsiTheme="majorBidi" w:cstheme="majorBidi"/>
          <w:sz w:val="28"/>
          <w:szCs w:val="28"/>
        </w:rPr>
        <w:t>.</w:t>
      </w:r>
    </w:p>
    <w:p w:rsidR="009B636F" w:rsidRPr="00B726E5" w:rsidRDefault="009B636F" w:rsidP="009B636F">
      <w:pPr>
        <w:pStyle w:val="a5"/>
        <w:bidi w:val="0"/>
        <w:spacing w:line="360" w:lineRule="auto"/>
        <w:jc w:val="both"/>
        <w:rPr>
          <w:rFonts w:asciiTheme="majorBidi" w:eastAsia="Times New Roman" w:hAnsiTheme="majorBidi" w:cstheme="majorBidi"/>
          <w:kern w:val="36"/>
          <w:sz w:val="28"/>
          <w:szCs w:val="28"/>
        </w:rPr>
      </w:pPr>
    </w:p>
    <w:p w:rsidR="009B636F" w:rsidRPr="00B726E5" w:rsidRDefault="009B636F" w:rsidP="009B636F">
      <w:pPr>
        <w:pStyle w:val="a5"/>
        <w:bidi w:val="0"/>
        <w:spacing w:line="360" w:lineRule="auto"/>
        <w:jc w:val="both"/>
        <w:rPr>
          <w:rFonts w:asciiTheme="majorBidi" w:hAnsiTheme="majorBidi" w:cstheme="majorBidi"/>
          <w:sz w:val="28"/>
          <w:szCs w:val="28"/>
        </w:rPr>
      </w:pPr>
      <w:r w:rsidRPr="00B726E5">
        <w:rPr>
          <w:rFonts w:asciiTheme="majorBidi" w:hAnsiTheme="majorBidi" w:cstheme="majorBidi"/>
          <w:sz w:val="28"/>
          <w:szCs w:val="28"/>
        </w:rPr>
        <w:t>Koh Harold (1997), Why do Nations Obey International Law?,</w:t>
      </w:r>
      <w:r>
        <w:rPr>
          <w:rFonts w:asciiTheme="majorBidi" w:hAnsiTheme="majorBidi" w:cstheme="majorBidi"/>
          <w:sz w:val="28"/>
          <w:szCs w:val="28"/>
        </w:rPr>
        <w:t xml:space="preserve"> </w:t>
      </w:r>
      <w:r w:rsidRPr="00B726E5">
        <w:rPr>
          <w:rFonts w:asciiTheme="majorBidi" w:hAnsiTheme="majorBidi" w:cstheme="majorBidi"/>
          <w:b/>
          <w:bCs/>
          <w:sz w:val="28"/>
          <w:szCs w:val="28"/>
        </w:rPr>
        <w:t>The Yale Law Journal</w:t>
      </w:r>
      <w:r w:rsidRPr="00B726E5">
        <w:rPr>
          <w:rFonts w:asciiTheme="majorBidi" w:hAnsiTheme="majorBidi" w:cstheme="majorBidi"/>
          <w:sz w:val="28"/>
          <w:szCs w:val="28"/>
        </w:rPr>
        <w:t xml:space="preserve">, Vol. 106, No. 8, pp. 2599-2659, </w:t>
      </w:r>
    </w:p>
    <w:p w:rsidR="009B636F" w:rsidRPr="00B726E5" w:rsidRDefault="009B636F" w:rsidP="009B636F">
      <w:pPr>
        <w:pStyle w:val="a5"/>
        <w:bidi w:val="0"/>
        <w:spacing w:line="360" w:lineRule="auto"/>
        <w:jc w:val="both"/>
        <w:rPr>
          <w:rFonts w:asciiTheme="majorBidi" w:hAnsiTheme="majorBidi" w:cstheme="majorBidi"/>
          <w:sz w:val="28"/>
          <w:szCs w:val="28"/>
        </w:rPr>
      </w:pPr>
      <w:hyperlink r:id="rId29" w:history="1">
        <w:r w:rsidRPr="00B726E5">
          <w:rPr>
            <w:rStyle w:val="Hyperlink"/>
            <w:rFonts w:asciiTheme="majorBidi" w:hAnsiTheme="majorBidi" w:cstheme="majorBidi"/>
            <w:sz w:val="28"/>
            <w:szCs w:val="28"/>
          </w:rPr>
          <w:t>http://digitalcommons.law.yale.edu/cgi/viewcontent.cgi?article=2897&amp;context=fss_papers</w:t>
        </w:r>
      </w:hyperlink>
    </w:p>
    <w:p w:rsidR="009B636F" w:rsidRPr="00B726E5" w:rsidRDefault="009B636F" w:rsidP="009B636F">
      <w:pPr>
        <w:pStyle w:val="a5"/>
        <w:bidi w:val="0"/>
        <w:spacing w:line="360" w:lineRule="auto"/>
        <w:jc w:val="both"/>
        <w:rPr>
          <w:rFonts w:asciiTheme="majorBidi" w:hAnsiTheme="majorBidi" w:cstheme="majorBidi"/>
          <w:sz w:val="28"/>
          <w:szCs w:val="28"/>
        </w:rPr>
      </w:pPr>
    </w:p>
    <w:p w:rsidR="009B636F" w:rsidRPr="00B726E5" w:rsidRDefault="009B636F" w:rsidP="009B636F">
      <w:pPr>
        <w:pStyle w:val="a5"/>
        <w:bidi w:val="0"/>
        <w:spacing w:line="360" w:lineRule="auto"/>
        <w:jc w:val="both"/>
        <w:rPr>
          <w:rFonts w:asciiTheme="majorBidi" w:hAnsiTheme="majorBidi" w:cstheme="majorBidi"/>
          <w:sz w:val="28"/>
          <w:szCs w:val="28"/>
        </w:rPr>
      </w:pPr>
      <w:r w:rsidRPr="00B726E5">
        <w:rPr>
          <w:rFonts w:asciiTheme="majorBidi" w:hAnsiTheme="majorBidi" w:cstheme="majorBidi"/>
          <w:sz w:val="28"/>
          <w:szCs w:val="28"/>
        </w:rPr>
        <w:t xml:space="preserve">Landes Richard (2009), A Failure of Intelligence, </w:t>
      </w:r>
      <w:r w:rsidRPr="00B726E5">
        <w:rPr>
          <w:rFonts w:asciiTheme="majorBidi" w:hAnsiTheme="majorBidi" w:cstheme="majorBidi"/>
          <w:b/>
          <w:bCs/>
          <w:sz w:val="28"/>
          <w:szCs w:val="28"/>
        </w:rPr>
        <w:t>IDC Herzliya, Rubin Center Research in International Affairs</w:t>
      </w:r>
      <w:r>
        <w:rPr>
          <w:rFonts w:asciiTheme="majorBidi" w:hAnsiTheme="majorBidi" w:cstheme="majorBidi"/>
          <w:sz w:val="28"/>
          <w:szCs w:val="28"/>
        </w:rPr>
        <w:t>.</w:t>
      </w:r>
    </w:p>
    <w:p w:rsidR="009B636F" w:rsidRPr="00B726E5" w:rsidRDefault="009B636F" w:rsidP="009B636F">
      <w:pPr>
        <w:pStyle w:val="a5"/>
        <w:bidi w:val="0"/>
        <w:spacing w:line="360" w:lineRule="auto"/>
        <w:jc w:val="both"/>
        <w:rPr>
          <w:rFonts w:asciiTheme="majorBidi" w:hAnsiTheme="majorBidi" w:cstheme="majorBidi"/>
          <w:sz w:val="28"/>
          <w:szCs w:val="28"/>
        </w:rPr>
      </w:pPr>
      <w:hyperlink r:id="rId30" w:history="1">
        <w:r w:rsidRPr="00B726E5">
          <w:rPr>
            <w:rStyle w:val="Hyperlink"/>
            <w:rFonts w:asciiTheme="majorBidi" w:hAnsiTheme="majorBidi" w:cstheme="majorBidi"/>
            <w:sz w:val="28"/>
            <w:szCs w:val="28"/>
          </w:rPr>
          <w:t>http://www.rubincenter.org/2009/12/landes1-2009-12-01/</w:t>
        </w:r>
      </w:hyperlink>
    </w:p>
    <w:p w:rsidR="009B636F" w:rsidRPr="00B726E5" w:rsidRDefault="009B636F" w:rsidP="009B636F">
      <w:pPr>
        <w:pStyle w:val="a5"/>
        <w:bidi w:val="0"/>
        <w:spacing w:line="360" w:lineRule="auto"/>
        <w:jc w:val="both"/>
        <w:rPr>
          <w:rFonts w:asciiTheme="majorBidi" w:hAnsiTheme="majorBidi" w:cstheme="majorBidi"/>
          <w:sz w:val="28"/>
          <w:szCs w:val="28"/>
        </w:rPr>
      </w:pPr>
    </w:p>
    <w:p w:rsidR="009B636F" w:rsidRPr="00B726E5" w:rsidRDefault="009B636F" w:rsidP="009B636F">
      <w:pPr>
        <w:pStyle w:val="a5"/>
        <w:bidi w:val="0"/>
        <w:spacing w:line="360" w:lineRule="auto"/>
        <w:jc w:val="both"/>
        <w:rPr>
          <w:rFonts w:asciiTheme="majorBidi" w:hAnsiTheme="majorBidi" w:cstheme="majorBidi"/>
          <w:sz w:val="28"/>
          <w:szCs w:val="28"/>
          <w:shd w:val="clear" w:color="auto" w:fill="FFFFFF"/>
        </w:rPr>
      </w:pPr>
      <w:hyperlink r:id="rId31" w:tooltip="Posts by Michal Navoth" w:history="1">
        <w:r w:rsidRPr="00B726E5">
          <w:rPr>
            <w:rFonts w:asciiTheme="majorBidi" w:eastAsia="Times New Roman" w:hAnsiTheme="majorBidi" w:cstheme="majorBidi"/>
            <w:sz w:val="28"/>
            <w:szCs w:val="28"/>
          </w:rPr>
          <w:t>Navoth</w:t>
        </w:r>
      </w:hyperlink>
      <w:r w:rsidRPr="00B726E5">
        <w:rPr>
          <w:rFonts w:asciiTheme="majorBidi" w:eastAsia="Times New Roman" w:hAnsiTheme="majorBidi" w:cstheme="majorBidi"/>
          <w:sz w:val="28"/>
          <w:szCs w:val="28"/>
        </w:rPr>
        <w:t xml:space="preserve"> Michal (2014), </w:t>
      </w:r>
      <w:r w:rsidRPr="00B726E5">
        <w:rPr>
          <w:rFonts w:asciiTheme="majorBidi" w:hAnsiTheme="majorBidi" w:cstheme="majorBidi"/>
          <w:sz w:val="28"/>
          <w:szCs w:val="28"/>
          <w:shd w:val="clear" w:color="auto" w:fill="FFFFFF"/>
        </w:rPr>
        <w:t xml:space="preserve">Israel’s Relationship with the UN Human Rights Council: Is There Hope for Change?, </w:t>
      </w:r>
      <w:r w:rsidRPr="009B636F">
        <w:rPr>
          <w:rFonts w:asciiTheme="majorBidi" w:hAnsiTheme="majorBidi" w:cstheme="majorBidi"/>
          <w:b/>
          <w:bCs/>
          <w:sz w:val="28"/>
          <w:szCs w:val="28"/>
          <w:shd w:val="clear" w:color="auto" w:fill="FFFFFF"/>
        </w:rPr>
        <w:t>Jerusalem Center for Public Affairs</w:t>
      </w:r>
      <w:r>
        <w:rPr>
          <w:rFonts w:asciiTheme="majorBidi" w:hAnsiTheme="majorBidi" w:cstheme="majorBidi"/>
          <w:sz w:val="28"/>
          <w:szCs w:val="28"/>
          <w:shd w:val="clear" w:color="auto" w:fill="FFFFFF"/>
        </w:rPr>
        <w:t>.</w:t>
      </w:r>
    </w:p>
    <w:p w:rsidR="009B636F" w:rsidRPr="00B726E5" w:rsidRDefault="009B636F" w:rsidP="009B636F">
      <w:pPr>
        <w:pStyle w:val="a5"/>
        <w:bidi w:val="0"/>
        <w:spacing w:line="360" w:lineRule="auto"/>
        <w:jc w:val="both"/>
        <w:rPr>
          <w:rFonts w:asciiTheme="majorBidi" w:hAnsiTheme="majorBidi" w:cstheme="majorBidi"/>
          <w:sz w:val="28"/>
          <w:szCs w:val="28"/>
        </w:rPr>
      </w:pPr>
      <w:hyperlink r:id="rId32" w:history="1">
        <w:r w:rsidRPr="00B726E5">
          <w:rPr>
            <w:rStyle w:val="Hyperlink"/>
            <w:rFonts w:asciiTheme="majorBidi" w:hAnsiTheme="majorBidi" w:cstheme="majorBidi"/>
            <w:sz w:val="28"/>
            <w:szCs w:val="28"/>
            <w:shd w:val="clear" w:color="auto" w:fill="FFFFFF"/>
          </w:rPr>
          <w:t>http://jcpa.org/article/israels-relationship-un-human-rights-council/</w:t>
        </w:r>
      </w:hyperlink>
    </w:p>
    <w:p w:rsidR="009B636F" w:rsidRPr="00B726E5" w:rsidRDefault="009B636F" w:rsidP="009B636F">
      <w:pPr>
        <w:pStyle w:val="a5"/>
        <w:bidi w:val="0"/>
        <w:spacing w:line="360" w:lineRule="auto"/>
        <w:jc w:val="both"/>
        <w:rPr>
          <w:rFonts w:asciiTheme="majorBidi" w:hAnsiTheme="majorBidi" w:cstheme="majorBidi"/>
          <w:sz w:val="28"/>
          <w:szCs w:val="28"/>
        </w:rPr>
      </w:pPr>
    </w:p>
    <w:p w:rsidR="009B636F" w:rsidRPr="00B726E5" w:rsidRDefault="009B636F" w:rsidP="009B636F">
      <w:pPr>
        <w:pStyle w:val="a5"/>
        <w:bidi w:val="0"/>
        <w:spacing w:line="360" w:lineRule="auto"/>
        <w:jc w:val="both"/>
        <w:rPr>
          <w:rFonts w:asciiTheme="majorBidi" w:eastAsia="Times New Roman" w:hAnsiTheme="majorBidi" w:cstheme="majorBidi"/>
          <w:sz w:val="28"/>
          <w:szCs w:val="28"/>
        </w:rPr>
      </w:pPr>
      <w:r w:rsidRPr="00B726E5">
        <w:rPr>
          <w:rFonts w:asciiTheme="majorBidi" w:hAnsiTheme="majorBidi" w:cstheme="majorBidi"/>
          <w:sz w:val="28"/>
          <w:szCs w:val="28"/>
        </w:rPr>
        <w:t xml:space="preserve">Report of an Expert Meeting which Assessed Procedural Criticisms made of the UN Fact-Finding Mission on the Gaza Conflict (The Goldstone Report), </w:t>
      </w:r>
      <w:r w:rsidRPr="009B636F">
        <w:rPr>
          <w:rFonts w:asciiTheme="majorBidi" w:eastAsia="Times New Roman" w:hAnsiTheme="majorBidi" w:cstheme="majorBidi"/>
          <w:b/>
          <w:bCs/>
          <w:sz w:val="28"/>
          <w:szCs w:val="28"/>
        </w:rPr>
        <w:t>Chatham House</w:t>
      </w:r>
      <w:r w:rsidRPr="00B726E5">
        <w:rPr>
          <w:rFonts w:asciiTheme="majorBidi" w:eastAsia="Times New Roman" w:hAnsiTheme="majorBidi" w:cstheme="majorBidi"/>
          <w:sz w:val="28"/>
          <w:szCs w:val="28"/>
        </w:rPr>
        <w:t>, p. 14</w:t>
      </w:r>
      <w:r>
        <w:rPr>
          <w:rFonts w:asciiTheme="majorBidi" w:eastAsia="Times New Roman" w:hAnsiTheme="majorBidi" w:cstheme="majorBidi"/>
          <w:sz w:val="28"/>
          <w:szCs w:val="28"/>
        </w:rPr>
        <w:t>.</w:t>
      </w:r>
    </w:p>
    <w:p w:rsidR="009B636F" w:rsidRPr="00B726E5" w:rsidRDefault="009B636F" w:rsidP="009B636F">
      <w:pPr>
        <w:pStyle w:val="a5"/>
        <w:bidi w:val="0"/>
        <w:spacing w:line="360" w:lineRule="auto"/>
        <w:jc w:val="both"/>
        <w:rPr>
          <w:rFonts w:asciiTheme="majorBidi" w:eastAsia="Times New Roman" w:hAnsiTheme="majorBidi" w:cstheme="majorBidi"/>
          <w:sz w:val="28"/>
          <w:szCs w:val="28"/>
        </w:rPr>
      </w:pPr>
      <w:hyperlink r:id="rId33" w:history="1">
        <w:r w:rsidRPr="00B726E5">
          <w:rPr>
            <w:rStyle w:val="Hyperlink"/>
            <w:rFonts w:asciiTheme="majorBidi" w:eastAsia="Times New Roman" w:hAnsiTheme="majorBidi" w:cstheme="majorBidi"/>
            <w:sz w:val="28"/>
            <w:szCs w:val="28"/>
          </w:rPr>
          <w:t>https://www.chathamhouse.org/sites/files/chathamhouse/public/Research/International%20Law/il271109summary.pdf</w:t>
        </w:r>
      </w:hyperlink>
    </w:p>
    <w:p w:rsidR="009B636F" w:rsidRPr="00B726E5" w:rsidRDefault="009B636F" w:rsidP="009B636F">
      <w:pPr>
        <w:pStyle w:val="a5"/>
        <w:bidi w:val="0"/>
        <w:spacing w:line="360" w:lineRule="auto"/>
        <w:jc w:val="both"/>
        <w:rPr>
          <w:rFonts w:asciiTheme="majorBidi" w:hAnsiTheme="majorBidi" w:cstheme="majorBidi"/>
          <w:sz w:val="28"/>
          <w:szCs w:val="28"/>
          <w:rtl/>
        </w:rPr>
      </w:pPr>
    </w:p>
    <w:p w:rsidR="009B636F" w:rsidRPr="00B726E5" w:rsidRDefault="009B636F" w:rsidP="009B636F">
      <w:pPr>
        <w:pStyle w:val="a5"/>
        <w:bidi w:val="0"/>
        <w:spacing w:line="360" w:lineRule="auto"/>
        <w:jc w:val="both"/>
        <w:rPr>
          <w:rFonts w:asciiTheme="majorBidi" w:hAnsiTheme="majorBidi" w:cstheme="majorBidi"/>
          <w:sz w:val="28"/>
          <w:szCs w:val="28"/>
        </w:rPr>
      </w:pPr>
      <w:r w:rsidRPr="00B726E5">
        <w:rPr>
          <w:rFonts w:asciiTheme="majorBidi" w:hAnsiTheme="majorBidi" w:cstheme="majorBidi"/>
          <w:sz w:val="28"/>
          <w:szCs w:val="28"/>
        </w:rPr>
        <w:t>Richard Goldstone-- International Law and Human Rights: The Search for Justice</w:t>
      </w:r>
      <w:r>
        <w:rPr>
          <w:rFonts w:asciiTheme="majorBidi" w:hAnsiTheme="majorBidi" w:cstheme="majorBidi"/>
          <w:sz w:val="28"/>
          <w:szCs w:val="28"/>
        </w:rPr>
        <w:t>.</w:t>
      </w:r>
    </w:p>
    <w:p w:rsidR="009B636F" w:rsidRPr="00B726E5" w:rsidRDefault="009B636F" w:rsidP="009B636F">
      <w:pPr>
        <w:pStyle w:val="a5"/>
        <w:bidi w:val="0"/>
        <w:spacing w:line="360" w:lineRule="auto"/>
        <w:jc w:val="both"/>
        <w:rPr>
          <w:rFonts w:asciiTheme="majorBidi" w:hAnsiTheme="majorBidi" w:cstheme="majorBidi"/>
          <w:sz w:val="28"/>
          <w:szCs w:val="28"/>
        </w:rPr>
      </w:pPr>
      <w:hyperlink r:id="rId34" w:history="1">
        <w:r w:rsidRPr="00B726E5">
          <w:rPr>
            <w:rStyle w:val="Hyperlink"/>
            <w:rFonts w:asciiTheme="majorBidi" w:hAnsiTheme="majorBidi" w:cstheme="majorBidi"/>
            <w:sz w:val="28"/>
            <w:szCs w:val="28"/>
          </w:rPr>
          <w:t>https://www.youtube.com/watch?v=ImXnhOT-52A</w:t>
        </w:r>
      </w:hyperlink>
    </w:p>
    <w:p w:rsidR="009B636F" w:rsidRPr="00B726E5" w:rsidRDefault="009B636F" w:rsidP="009B636F">
      <w:pPr>
        <w:pStyle w:val="a5"/>
        <w:bidi w:val="0"/>
        <w:spacing w:line="360" w:lineRule="auto"/>
        <w:jc w:val="both"/>
        <w:rPr>
          <w:rFonts w:asciiTheme="majorBidi" w:hAnsiTheme="majorBidi" w:cstheme="majorBidi"/>
          <w:sz w:val="28"/>
          <w:szCs w:val="28"/>
        </w:rPr>
      </w:pPr>
    </w:p>
    <w:p w:rsidR="009B636F" w:rsidRPr="00B726E5" w:rsidRDefault="009B636F" w:rsidP="009B636F">
      <w:pPr>
        <w:pStyle w:val="a5"/>
        <w:bidi w:val="0"/>
        <w:spacing w:line="360" w:lineRule="auto"/>
        <w:jc w:val="both"/>
        <w:rPr>
          <w:rFonts w:asciiTheme="majorBidi" w:hAnsiTheme="majorBidi" w:cstheme="majorBidi"/>
          <w:sz w:val="28"/>
          <w:szCs w:val="28"/>
        </w:rPr>
      </w:pPr>
      <w:r w:rsidRPr="00B726E5">
        <w:rPr>
          <w:rFonts w:asciiTheme="majorBidi" w:hAnsiTheme="majorBidi" w:cstheme="majorBidi"/>
          <w:sz w:val="28"/>
          <w:szCs w:val="28"/>
        </w:rPr>
        <w:t xml:space="preserve">Schmitt Michael, Merriam John (2015), The Tyranny of Context: Israeli Targeting Practices in Legal Perspective, </w:t>
      </w:r>
      <w:r w:rsidRPr="00255A96">
        <w:rPr>
          <w:rFonts w:asciiTheme="majorBidi" w:hAnsiTheme="majorBidi" w:cstheme="majorBidi"/>
          <w:b/>
          <w:bCs/>
          <w:sz w:val="28"/>
          <w:szCs w:val="28"/>
        </w:rPr>
        <w:t>University of Pennsylvania</w:t>
      </w:r>
      <w:r>
        <w:rPr>
          <w:rFonts w:asciiTheme="majorBidi" w:hAnsiTheme="majorBidi" w:cstheme="majorBidi"/>
          <w:b/>
          <w:bCs/>
          <w:sz w:val="28"/>
          <w:szCs w:val="28"/>
        </w:rPr>
        <w:t xml:space="preserve"> </w:t>
      </w:r>
      <w:r w:rsidRPr="00554981">
        <w:rPr>
          <w:rFonts w:asciiTheme="majorBidi" w:hAnsiTheme="majorBidi" w:cstheme="majorBidi"/>
          <w:b/>
          <w:bCs/>
          <w:sz w:val="28"/>
          <w:szCs w:val="28"/>
        </w:rPr>
        <w:t>Journal of International Law</w:t>
      </w:r>
      <w:r w:rsidRPr="00B726E5">
        <w:rPr>
          <w:rFonts w:asciiTheme="majorBidi" w:hAnsiTheme="majorBidi" w:cstheme="majorBidi"/>
          <w:sz w:val="28"/>
          <w:szCs w:val="28"/>
        </w:rPr>
        <w:t>, Vol</w:t>
      </w:r>
      <w:r>
        <w:rPr>
          <w:rFonts w:asciiTheme="majorBidi" w:hAnsiTheme="majorBidi" w:cstheme="majorBidi"/>
          <w:sz w:val="28"/>
          <w:szCs w:val="28"/>
        </w:rPr>
        <w:t>.</w:t>
      </w:r>
      <w:r w:rsidRPr="00B726E5">
        <w:rPr>
          <w:rFonts w:asciiTheme="majorBidi" w:hAnsiTheme="majorBidi" w:cstheme="majorBidi"/>
          <w:sz w:val="28"/>
          <w:szCs w:val="28"/>
        </w:rPr>
        <w:t xml:space="preserve"> 37, Issue 1, pp. 53-139</w:t>
      </w:r>
      <w:r>
        <w:rPr>
          <w:rFonts w:asciiTheme="majorBidi" w:hAnsiTheme="majorBidi" w:cstheme="majorBidi"/>
          <w:sz w:val="28"/>
          <w:szCs w:val="28"/>
        </w:rPr>
        <w:t>.</w:t>
      </w:r>
      <w:r w:rsidRPr="00B726E5">
        <w:rPr>
          <w:rFonts w:asciiTheme="majorBidi" w:hAnsiTheme="majorBidi" w:cstheme="majorBidi"/>
          <w:sz w:val="28"/>
          <w:szCs w:val="28"/>
        </w:rPr>
        <w:t xml:space="preserve"> </w:t>
      </w:r>
    </w:p>
    <w:p w:rsidR="009B636F" w:rsidRPr="00B726E5" w:rsidRDefault="009B636F" w:rsidP="009B636F">
      <w:pPr>
        <w:pStyle w:val="a5"/>
        <w:bidi w:val="0"/>
        <w:spacing w:line="360" w:lineRule="auto"/>
        <w:jc w:val="both"/>
        <w:rPr>
          <w:rFonts w:asciiTheme="majorBidi" w:hAnsiTheme="majorBidi" w:cstheme="majorBidi"/>
          <w:sz w:val="28"/>
          <w:szCs w:val="28"/>
        </w:rPr>
      </w:pPr>
      <w:hyperlink r:id="rId35" w:history="1">
        <w:r w:rsidRPr="00B726E5">
          <w:rPr>
            <w:rStyle w:val="Hyperlink"/>
            <w:rFonts w:asciiTheme="majorBidi" w:hAnsiTheme="majorBidi" w:cstheme="majorBidi"/>
            <w:sz w:val="28"/>
            <w:szCs w:val="28"/>
          </w:rPr>
          <w:t>https://ore.exeter.ac.uk/repository/bitstream/handle/10871/18671/Israeli%20Targeting%20Practices%20in%20Legal%20Pers.pdf?sequence=1</w:t>
        </w:r>
      </w:hyperlink>
    </w:p>
    <w:p w:rsidR="009B636F" w:rsidRPr="00B726E5" w:rsidRDefault="009B636F" w:rsidP="009B636F">
      <w:pPr>
        <w:pStyle w:val="a5"/>
        <w:bidi w:val="0"/>
        <w:spacing w:line="360" w:lineRule="auto"/>
        <w:jc w:val="both"/>
        <w:rPr>
          <w:rFonts w:asciiTheme="majorBidi" w:hAnsiTheme="majorBidi" w:cstheme="majorBidi"/>
          <w:sz w:val="28"/>
          <w:szCs w:val="28"/>
        </w:rPr>
      </w:pPr>
    </w:p>
    <w:p w:rsidR="009B636F" w:rsidRPr="00B726E5" w:rsidRDefault="009B636F" w:rsidP="009B636F">
      <w:pPr>
        <w:pStyle w:val="a5"/>
        <w:bidi w:val="0"/>
        <w:spacing w:line="360" w:lineRule="auto"/>
        <w:jc w:val="both"/>
        <w:rPr>
          <w:rFonts w:asciiTheme="majorBidi" w:hAnsiTheme="majorBidi" w:cstheme="majorBidi"/>
          <w:sz w:val="28"/>
          <w:szCs w:val="28"/>
          <w:rtl/>
        </w:rPr>
      </w:pPr>
      <w:r w:rsidRPr="00B726E5">
        <w:rPr>
          <w:rFonts w:asciiTheme="majorBidi" w:hAnsiTheme="majorBidi" w:cstheme="majorBidi"/>
          <w:sz w:val="28"/>
          <w:szCs w:val="28"/>
        </w:rPr>
        <w:lastRenderedPageBreak/>
        <w:t xml:space="preserve">Sharvit Baruch Pnina (2016), </w:t>
      </w:r>
      <w:r w:rsidRPr="00554981">
        <w:rPr>
          <w:rFonts w:asciiTheme="majorBidi" w:hAnsiTheme="majorBidi" w:cstheme="majorBidi"/>
          <w:b/>
          <w:bCs/>
          <w:sz w:val="28"/>
          <w:szCs w:val="28"/>
        </w:rPr>
        <w:t>The Report of The Human Right's Council Commission of Inquiry on the 2014 Operation in the Gaza Strip - A Critical Analysis</w:t>
      </w:r>
      <w:r w:rsidRPr="00B726E5">
        <w:rPr>
          <w:rFonts w:asciiTheme="majorBidi" w:hAnsiTheme="majorBidi" w:cstheme="majorBidi"/>
          <w:sz w:val="28"/>
          <w:szCs w:val="28"/>
        </w:rPr>
        <w:t>, will be published soon in the Israel Yearbook on Human Rights</w:t>
      </w:r>
      <w:r>
        <w:rPr>
          <w:rFonts w:asciiTheme="majorBidi" w:hAnsiTheme="majorBidi" w:cstheme="majorBidi"/>
          <w:sz w:val="28"/>
          <w:szCs w:val="28"/>
        </w:rPr>
        <w:t>.</w:t>
      </w:r>
    </w:p>
    <w:p w:rsidR="009B636F" w:rsidRPr="00B726E5" w:rsidRDefault="009B636F" w:rsidP="009B636F">
      <w:pPr>
        <w:pStyle w:val="a5"/>
        <w:bidi w:val="0"/>
        <w:spacing w:line="360" w:lineRule="auto"/>
        <w:jc w:val="both"/>
        <w:rPr>
          <w:rFonts w:asciiTheme="majorBidi" w:hAnsiTheme="majorBidi" w:cstheme="majorBidi"/>
          <w:sz w:val="28"/>
          <w:szCs w:val="28"/>
        </w:rPr>
      </w:pPr>
    </w:p>
    <w:p w:rsidR="009B636F" w:rsidRPr="00B726E5" w:rsidRDefault="009B636F" w:rsidP="009B636F">
      <w:pPr>
        <w:pStyle w:val="a5"/>
        <w:bidi w:val="0"/>
        <w:spacing w:line="360" w:lineRule="auto"/>
        <w:jc w:val="both"/>
        <w:rPr>
          <w:rFonts w:asciiTheme="majorBidi" w:hAnsiTheme="majorBidi" w:cstheme="majorBidi"/>
          <w:sz w:val="28"/>
          <w:szCs w:val="28"/>
        </w:rPr>
      </w:pPr>
      <w:r w:rsidRPr="00B726E5">
        <w:rPr>
          <w:rFonts w:asciiTheme="majorBidi" w:hAnsiTheme="majorBidi" w:cstheme="majorBidi"/>
          <w:sz w:val="28"/>
          <w:szCs w:val="28"/>
        </w:rPr>
        <w:t>Shefi</w:t>
      </w:r>
      <w:r>
        <w:rPr>
          <w:rFonts w:asciiTheme="majorBidi" w:hAnsiTheme="majorBidi" w:cstheme="majorBidi"/>
          <w:sz w:val="28"/>
          <w:szCs w:val="28"/>
        </w:rPr>
        <w:t xml:space="preserve"> </w:t>
      </w:r>
      <w:r w:rsidRPr="00B726E5">
        <w:rPr>
          <w:rFonts w:asciiTheme="majorBidi" w:hAnsiTheme="majorBidi" w:cstheme="majorBidi"/>
          <w:sz w:val="28"/>
          <w:szCs w:val="28"/>
        </w:rPr>
        <w:t xml:space="preserve">Dov (1973), The Protection of Human Rights in Areas Administered by Israel: United Nations Findings and Reality, </w:t>
      </w:r>
      <w:r w:rsidRPr="00554981">
        <w:rPr>
          <w:rFonts w:asciiTheme="majorBidi" w:hAnsiTheme="majorBidi" w:cstheme="majorBidi"/>
          <w:b/>
          <w:bCs/>
          <w:sz w:val="28"/>
          <w:szCs w:val="28"/>
        </w:rPr>
        <w:t>Israel Yearbook on Human Rights</w:t>
      </w:r>
      <w:r>
        <w:rPr>
          <w:rFonts w:asciiTheme="majorBidi" w:hAnsiTheme="majorBidi" w:cstheme="majorBidi"/>
          <w:sz w:val="28"/>
          <w:szCs w:val="28"/>
        </w:rPr>
        <w:t>, 3,</w:t>
      </w:r>
      <w:r w:rsidRPr="00B726E5">
        <w:rPr>
          <w:rFonts w:asciiTheme="majorBidi" w:hAnsiTheme="majorBidi" w:cstheme="majorBidi"/>
          <w:sz w:val="28"/>
          <w:szCs w:val="28"/>
        </w:rPr>
        <w:t xml:space="preserve"> pp. 339-340, referred to in Franck Thomas and Fairley Scott (1980), Procedural Due Process in Human Rights Fact-Finding by International Agencies, 74 A.J.I.L. 308</w:t>
      </w:r>
      <w:r>
        <w:rPr>
          <w:rFonts w:asciiTheme="majorBidi" w:hAnsiTheme="majorBidi" w:cstheme="majorBidi"/>
          <w:sz w:val="28"/>
          <w:szCs w:val="28"/>
        </w:rPr>
        <w:t>.</w:t>
      </w:r>
      <w:r w:rsidRPr="00B726E5">
        <w:rPr>
          <w:rFonts w:asciiTheme="majorBidi" w:hAnsiTheme="majorBidi" w:cstheme="majorBidi"/>
          <w:sz w:val="28"/>
          <w:szCs w:val="28"/>
        </w:rPr>
        <w:t xml:space="preserve"> </w:t>
      </w:r>
    </w:p>
    <w:p w:rsidR="009B636F" w:rsidRPr="00B726E5" w:rsidRDefault="009B636F" w:rsidP="009B636F">
      <w:pPr>
        <w:pStyle w:val="a5"/>
        <w:bidi w:val="0"/>
        <w:spacing w:line="360" w:lineRule="auto"/>
        <w:jc w:val="both"/>
        <w:rPr>
          <w:rFonts w:asciiTheme="majorBidi" w:hAnsiTheme="majorBidi" w:cstheme="majorBidi"/>
          <w:sz w:val="28"/>
          <w:szCs w:val="28"/>
        </w:rPr>
      </w:pPr>
      <w:hyperlink r:id="rId36" w:history="1">
        <w:r w:rsidRPr="00B726E5">
          <w:rPr>
            <w:rStyle w:val="Hyperlink"/>
            <w:rFonts w:asciiTheme="majorBidi" w:hAnsiTheme="majorBidi" w:cstheme="majorBidi"/>
            <w:sz w:val="28"/>
            <w:szCs w:val="28"/>
          </w:rPr>
          <w:t>http://www3.nd.edu/~sobrien2/franck_procedural_fairness_t.pdf</w:t>
        </w:r>
      </w:hyperlink>
    </w:p>
    <w:p w:rsidR="009B636F" w:rsidRPr="00B726E5" w:rsidRDefault="009B636F" w:rsidP="009B636F">
      <w:pPr>
        <w:pStyle w:val="a5"/>
        <w:bidi w:val="0"/>
        <w:spacing w:line="360" w:lineRule="auto"/>
        <w:jc w:val="both"/>
        <w:rPr>
          <w:rStyle w:val="watch-title"/>
          <w:rFonts w:asciiTheme="majorBidi" w:hAnsiTheme="majorBidi" w:cstheme="majorBidi"/>
          <w:sz w:val="28"/>
          <w:szCs w:val="28"/>
          <w:bdr w:val="none" w:sz="0" w:space="0" w:color="auto" w:frame="1"/>
        </w:rPr>
      </w:pPr>
    </w:p>
    <w:p w:rsidR="009B636F" w:rsidRPr="00B726E5" w:rsidRDefault="009B636F" w:rsidP="009B636F">
      <w:pPr>
        <w:pStyle w:val="a5"/>
        <w:bidi w:val="0"/>
        <w:spacing w:line="360" w:lineRule="auto"/>
        <w:jc w:val="both"/>
        <w:rPr>
          <w:rFonts w:asciiTheme="majorBidi" w:hAnsiTheme="majorBidi" w:cstheme="majorBidi"/>
          <w:sz w:val="28"/>
          <w:szCs w:val="28"/>
        </w:rPr>
      </w:pPr>
      <w:r w:rsidRPr="00B726E5">
        <w:rPr>
          <w:rFonts w:asciiTheme="majorBidi" w:hAnsiTheme="majorBidi" w:cstheme="majorBidi"/>
          <w:sz w:val="28"/>
          <w:szCs w:val="28"/>
        </w:rPr>
        <w:t xml:space="preserve">Shimoni Gideon (1988), South African Jews and the Apartheid Crisis, </w:t>
      </w:r>
      <w:r w:rsidRPr="00B726E5">
        <w:rPr>
          <w:rFonts w:asciiTheme="majorBidi" w:hAnsiTheme="majorBidi" w:cstheme="majorBidi"/>
          <w:b/>
          <w:bCs/>
          <w:sz w:val="28"/>
          <w:szCs w:val="28"/>
        </w:rPr>
        <w:t>American Jewish Year Book (American Jewish Committee)</w:t>
      </w:r>
      <w:r w:rsidRPr="00B726E5">
        <w:rPr>
          <w:rFonts w:asciiTheme="majorBidi" w:hAnsiTheme="majorBidi" w:cstheme="majorBidi"/>
          <w:sz w:val="28"/>
          <w:szCs w:val="28"/>
        </w:rPr>
        <w:t> 88</w:t>
      </w:r>
      <w:r>
        <w:rPr>
          <w:rFonts w:asciiTheme="majorBidi" w:hAnsiTheme="majorBidi" w:cstheme="majorBidi"/>
          <w:sz w:val="28"/>
          <w:szCs w:val="28"/>
        </w:rPr>
        <w:t>.</w:t>
      </w:r>
    </w:p>
    <w:p w:rsidR="009B636F" w:rsidRPr="00B726E5" w:rsidRDefault="009B636F" w:rsidP="009B636F">
      <w:pPr>
        <w:pStyle w:val="a5"/>
        <w:bidi w:val="0"/>
        <w:spacing w:line="360" w:lineRule="auto"/>
        <w:jc w:val="both"/>
        <w:rPr>
          <w:rFonts w:asciiTheme="majorBidi" w:hAnsiTheme="majorBidi" w:cstheme="majorBidi"/>
          <w:sz w:val="28"/>
          <w:szCs w:val="28"/>
        </w:rPr>
      </w:pPr>
      <w:hyperlink r:id="rId37" w:history="1">
        <w:r w:rsidRPr="00B726E5">
          <w:rPr>
            <w:rStyle w:val="Hyperlink"/>
            <w:rFonts w:asciiTheme="majorBidi" w:hAnsiTheme="majorBidi" w:cstheme="majorBidi"/>
            <w:sz w:val="28"/>
            <w:szCs w:val="28"/>
          </w:rPr>
          <w:t>http://www.ajcarchives.org/AJC_DATA/Files/1988_3_SpecialArticles.pdf</w:t>
        </w:r>
      </w:hyperlink>
    </w:p>
    <w:p w:rsidR="009B636F" w:rsidRPr="00B726E5" w:rsidRDefault="009B636F" w:rsidP="009B636F">
      <w:pPr>
        <w:pStyle w:val="a5"/>
        <w:bidi w:val="0"/>
        <w:spacing w:line="360" w:lineRule="auto"/>
        <w:jc w:val="both"/>
        <w:rPr>
          <w:rFonts w:asciiTheme="majorBidi" w:hAnsiTheme="majorBidi" w:cstheme="majorBidi"/>
          <w:sz w:val="28"/>
          <w:szCs w:val="28"/>
        </w:rPr>
      </w:pPr>
    </w:p>
    <w:p w:rsidR="009B636F" w:rsidRPr="00B726E5" w:rsidRDefault="009B636F" w:rsidP="009B636F">
      <w:pPr>
        <w:pStyle w:val="a5"/>
        <w:bidi w:val="0"/>
        <w:spacing w:line="360" w:lineRule="auto"/>
        <w:jc w:val="both"/>
        <w:rPr>
          <w:rFonts w:asciiTheme="majorBidi" w:hAnsiTheme="majorBidi" w:cstheme="majorBidi"/>
          <w:b/>
          <w:bCs/>
          <w:sz w:val="28"/>
          <w:szCs w:val="28"/>
          <w:rtl/>
        </w:rPr>
      </w:pPr>
      <w:r w:rsidRPr="00B726E5">
        <w:rPr>
          <w:rFonts w:asciiTheme="majorBidi" w:hAnsiTheme="majorBidi" w:cstheme="majorBidi"/>
          <w:sz w:val="28"/>
          <w:szCs w:val="28"/>
        </w:rPr>
        <w:t xml:space="preserve">Shraga Daphna (2009), Commissions of Inquiry, </w:t>
      </w:r>
      <w:r w:rsidRPr="00B726E5">
        <w:rPr>
          <w:rFonts w:asciiTheme="majorBidi" w:hAnsiTheme="majorBidi" w:cstheme="majorBidi"/>
          <w:b/>
          <w:bCs/>
          <w:sz w:val="28"/>
          <w:szCs w:val="28"/>
        </w:rPr>
        <w:t>The Oxford Companion to International Criminal Justice</w:t>
      </w:r>
      <w:r>
        <w:rPr>
          <w:rFonts w:asciiTheme="majorBidi" w:hAnsiTheme="majorBidi" w:cstheme="majorBidi"/>
          <w:sz w:val="28"/>
          <w:szCs w:val="28"/>
        </w:rPr>
        <w:t>.</w:t>
      </w:r>
    </w:p>
    <w:p w:rsidR="009B636F" w:rsidRPr="00B726E5" w:rsidRDefault="009B636F" w:rsidP="009B636F">
      <w:pPr>
        <w:pStyle w:val="a5"/>
        <w:bidi w:val="0"/>
        <w:spacing w:line="360" w:lineRule="auto"/>
        <w:jc w:val="both"/>
        <w:rPr>
          <w:rFonts w:asciiTheme="majorBidi" w:hAnsiTheme="majorBidi" w:cstheme="majorBidi"/>
          <w:sz w:val="28"/>
          <w:szCs w:val="28"/>
        </w:rPr>
      </w:pPr>
    </w:p>
    <w:p w:rsidR="009B636F" w:rsidRPr="00B726E5" w:rsidRDefault="009B636F" w:rsidP="009B636F">
      <w:pPr>
        <w:pStyle w:val="a5"/>
        <w:bidi w:val="0"/>
        <w:spacing w:line="360" w:lineRule="auto"/>
        <w:jc w:val="both"/>
        <w:rPr>
          <w:rFonts w:asciiTheme="majorBidi" w:hAnsiTheme="majorBidi" w:cstheme="majorBidi"/>
          <w:sz w:val="28"/>
          <w:szCs w:val="28"/>
        </w:rPr>
      </w:pPr>
      <w:r w:rsidRPr="00B726E5">
        <w:rPr>
          <w:rFonts w:asciiTheme="majorBidi" w:hAnsiTheme="majorBidi" w:cstheme="majorBidi"/>
          <w:sz w:val="28"/>
          <w:szCs w:val="28"/>
        </w:rPr>
        <w:t>Tahmindjis Am Phillip</w:t>
      </w:r>
      <w:r w:rsidRPr="009B636F">
        <w:rPr>
          <w:rFonts w:asciiTheme="majorBidi" w:hAnsiTheme="majorBidi" w:cstheme="majorBidi"/>
          <w:sz w:val="28"/>
          <w:szCs w:val="28"/>
        </w:rPr>
        <w:t xml:space="preserve"> (?)</w:t>
      </w:r>
      <w:r>
        <w:rPr>
          <w:rFonts w:asciiTheme="majorBidi" w:hAnsiTheme="majorBidi" w:cstheme="majorBidi"/>
          <w:sz w:val="28"/>
          <w:szCs w:val="28"/>
        </w:rPr>
        <w:t>,</w:t>
      </w:r>
      <w:r w:rsidRPr="00B726E5">
        <w:rPr>
          <w:rFonts w:asciiTheme="majorBidi" w:hAnsiTheme="majorBidi" w:cstheme="majorBidi"/>
          <w:sz w:val="28"/>
          <w:szCs w:val="28"/>
        </w:rPr>
        <w:t xml:space="preserve"> The Development of the Lund-London Guidelines on Human Rights Fact Finding: A Brief History</w:t>
      </w:r>
      <w:r>
        <w:rPr>
          <w:rFonts w:asciiTheme="majorBidi" w:hAnsiTheme="majorBidi" w:cstheme="majorBidi"/>
          <w:sz w:val="28"/>
          <w:szCs w:val="28"/>
        </w:rPr>
        <w:t>.</w:t>
      </w:r>
      <w:r w:rsidRPr="00B726E5">
        <w:rPr>
          <w:rFonts w:asciiTheme="majorBidi" w:hAnsiTheme="majorBidi" w:cstheme="majorBidi"/>
          <w:sz w:val="28"/>
          <w:szCs w:val="28"/>
        </w:rPr>
        <w:t xml:space="preserve"> </w:t>
      </w:r>
    </w:p>
    <w:p w:rsidR="009B636F" w:rsidRPr="00B726E5" w:rsidRDefault="009B636F" w:rsidP="009B636F">
      <w:pPr>
        <w:pStyle w:val="a5"/>
        <w:bidi w:val="0"/>
        <w:spacing w:line="360" w:lineRule="auto"/>
        <w:jc w:val="both"/>
        <w:rPr>
          <w:rFonts w:asciiTheme="majorBidi" w:hAnsiTheme="majorBidi" w:cstheme="majorBidi"/>
          <w:sz w:val="28"/>
          <w:szCs w:val="28"/>
        </w:rPr>
      </w:pPr>
      <w:hyperlink r:id="rId38" w:history="1">
        <w:r w:rsidRPr="00B726E5">
          <w:rPr>
            <w:rStyle w:val="Hyperlink"/>
            <w:rFonts w:asciiTheme="majorBidi" w:hAnsiTheme="majorBidi" w:cstheme="majorBidi"/>
            <w:sz w:val="28"/>
            <w:szCs w:val="28"/>
          </w:rPr>
          <w:t>file:///C:/Users/user/Downloads/Lund-London%20Guidelines%20development.pdf</w:t>
        </w:r>
      </w:hyperlink>
    </w:p>
    <w:p w:rsidR="009B636F" w:rsidRPr="00B726E5" w:rsidRDefault="009B636F" w:rsidP="009B636F">
      <w:pPr>
        <w:pStyle w:val="a5"/>
        <w:spacing w:line="360" w:lineRule="auto"/>
        <w:jc w:val="both"/>
        <w:rPr>
          <w:rFonts w:asciiTheme="majorBidi" w:hAnsiTheme="majorBidi" w:cstheme="majorBidi"/>
          <w:sz w:val="28"/>
          <w:szCs w:val="28"/>
          <w:rtl/>
        </w:rPr>
      </w:pPr>
    </w:p>
    <w:p w:rsidR="009B636F" w:rsidRPr="00B726E5" w:rsidRDefault="009B636F" w:rsidP="009B636F">
      <w:pPr>
        <w:pStyle w:val="a5"/>
        <w:bidi w:val="0"/>
        <w:spacing w:line="360" w:lineRule="auto"/>
        <w:jc w:val="both"/>
        <w:rPr>
          <w:rFonts w:asciiTheme="majorBidi" w:hAnsiTheme="majorBidi" w:cstheme="majorBidi"/>
          <w:sz w:val="28"/>
          <w:szCs w:val="28"/>
        </w:rPr>
      </w:pPr>
      <w:r w:rsidRPr="00B726E5">
        <w:rPr>
          <w:rFonts w:asciiTheme="majorBidi" w:hAnsiTheme="majorBidi" w:cstheme="majorBidi"/>
          <w:sz w:val="28"/>
          <w:szCs w:val="28"/>
        </w:rPr>
        <w:t>The Belgrade Minimal Rules of Procedure for International Human Rights Fact-Finding Missions, Adopted at the Belgrade Session of the International Law Association in 1980</w:t>
      </w:r>
      <w:r>
        <w:rPr>
          <w:rFonts w:asciiTheme="majorBidi" w:hAnsiTheme="majorBidi" w:cstheme="majorBidi"/>
          <w:sz w:val="28"/>
          <w:szCs w:val="28"/>
        </w:rPr>
        <w:t>.</w:t>
      </w:r>
    </w:p>
    <w:p w:rsidR="009B636F" w:rsidRPr="00B726E5" w:rsidRDefault="009B636F" w:rsidP="009B636F">
      <w:pPr>
        <w:pStyle w:val="a5"/>
        <w:bidi w:val="0"/>
        <w:spacing w:line="360" w:lineRule="auto"/>
        <w:jc w:val="both"/>
        <w:rPr>
          <w:rFonts w:asciiTheme="majorBidi" w:hAnsiTheme="majorBidi" w:cstheme="majorBidi"/>
          <w:sz w:val="28"/>
          <w:szCs w:val="28"/>
        </w:rPr>
      </w:pPr>
      <w:hyperlink r:id="rId39" w:history="1">
        <w:r w:rsidRPr="00B726E5">
          <w:rPr>
            <w:rStyle w:val="Hyperlink"/>
            <w:rFonts w:asciiTheme="majorBidi" w:hAnsiTheme="majorBidi" w:cstheme="majorBidi"/>
            <w:sz w:val="28"/>
            <w:szCs w:val="28"/>
          </w:rPr>
          <w:t>http://www3.nd.edu/~sobrien2/the_belgrade_minimum_rules_o.pdf</w:t>
        </w:r>
      </w:hyperlink>
    </w:p>
    <w:p w:rsidR="009B636F" w:rsidRPr="00B726E5" w:rsidRDefault="009B636F" w:rsidP="009B636F">
      <w:pPr>
        <w:pStyle w:val="a5"/>
        <w:spacing w:line="360" w:lineRule="auto"/>
        <w:jc w:val="both"/>
        <w:rPr>
          <w:rFonts w:asciiTheme="majorBidi" w:hAnsiTheme="majorBidi" w:cstheme="majorBidi"/>
          <w:sz w:val="28"/>
          <w:szCs w:val="28"/>
          <w:rtl/>
        </w:rPr>
      </w:pPr>
    </w:p>
    <w:p w:rsidR="009B636F" w:rsidRPr="00B726E5" w:rsidRDefault="009B636F" w:rsidP="009B636F">
      <w:pPr>
        <w:pStyle w:val="a5"/>
        <w:bidi w:val="0"/>
        <w:spacing w:line="360" w:lineRule="auto"/>
        <w:jc w:val="both"/>
        <w:rPr>
          <w:rFonts w:asciiTheme="majorBidi" w:hAnsiTheme="majorBidi" w:cstheme="majorBidi"/>
          <w:sz w:val="28"/>
          <w:szCs w:val="28"/>
        </w:rPr>
      </w:pPr>
      <w:r w:rsidRPr="00B726E5">
        <w:rPr>
          <w:rFonts w:asciiTheme="majorBidi" w:hAnsiTheme="majorBidi" w:cstheme="majorBidi"/>
          <w:sz w:val="28"/>
          <w:szCs w:val="28"/>
        </w:rPr>
        <w:t>The Princeton Principles on Universal Jurisdiction, Princeton Project on Universal Jurisdiction, 2001</w:t>
      </w:r>
      <w:r>
        <w:rPr>
          <w:rFonts w:asciiTheme="majorBidi" w:hAnsiTheme="majorBidi" w:cstheme="majorBidi"/>
          <w:sz w:val="28"/>
          <w:szCs w:val="28"/>
        </w:rPr>
        <w:t>.</w:t>
      </w:r>
    </w:p>
    <w:p w:rsidR="009B636F" w:rsidRPr="00B726E5" w:rsidRDefault="009B636F" w:rsidP="009B636F">
      <w:pPr>
        <w:pStyle w:val="a5"/>
        <w:bidi w:val="0"/>
        <w:spacing w:line="360" w:lineRule="auto"/>
        <w:jc w:val="both"/>
        <w:rPr>
          <w:rFonts w:asciiTheme="majorBidi" w:hAnsiTheme="majorBidi" w:cstheme="majorBidi"/>
          <w:sz w:val="28"/>
          <w:szCs w:val="28"/>
        </w:rPr>
      </w:pPr>
      <w:hyperlink r:id="rId40" w:history="1">
        <w:r w:rsidRPr="00B726E5">
          <w:rPr>
            <w:rStyle w:val="Hyperlink"/>
            <w:rFonts w:asciiTheme="majorBidi" w:hAnsiTheme="majorBidi" w:cstheme="majorBidi"/>
            <w:sz w:val="28"/>
            <w:szCs w:val="28"/>
          </w:rPr>
          <w:t>https://lapa.princeton.edu/hosteddocs/unive_jur.pdf</w:t>
        </w:r>
      </w:hyperlink>
    </w:p>
    <w:p w:rsidR="009B636F" w:rsidRPr="00B726E5" w:rsidRDefault="009B636F" w:rsidP="009B636F">
      <w:pPr>
        <w:pStyle w:val="a5"/>
        <w:spacing w:line="360" w:lineRule="auto"/>
        <w:jc w:val="both"/>
        <w:rPr>
          <w:rFonts w:asciiTheme="majorBidi" w:hAnsiTheme="majorBidi" w:cstheme="majorBidi"/>
          <w:sz w:val="28"/>
          <w:szCs w:val="28"/>
          <w:rtl/>
        </w:rPr>
      </w:pPr>
    </w:p>
    <w:p w:rsidR="009B636F" w:rsidRPr="009B636F" w:rsidRDefault="009B636F" w:rsidP="009B636F">
      <w:pPr>
        <w:spacing w:after="0" w:line="360" w:lineRule="auto"/>
        <w:jc w:val="both"/>
        <w:rPr>
          <w:rFonts w:cs="David"/>
          <w:b/>
          <w:bCs/>
          <w:sz w:val="28"/>
          <w:szCs w:val="28"/>
          <w:rtl/>
        </w:rPr>
      </w:pPr>
      <w:r w:rsidRPr="009B636F">
        <w:rPr>
          <w:rFonts w:cs="David" w:hint="cs"/>
          <w:b/>
          <w:bCs/>
          <w:sz w:val="28"/>
          <w:szCs w:val="28"/>
          <w:rtl/>
        </w:rPr>
        <w:t>אמנות, קומנטארים והסכמים בינלאומיים</w:t>
      </w:r>
    </w:p>
    <w:p w:rsidR="009B636F" w:rsidRPr="009B636F" w:rsidRDefault="009B636F" w:rsidP="009B636F">
      <w:pPr>
        <w:spacing w:after="0" w:line="360" w:lineRule="auto"/>
        <w:jc w:val="both"/>
        <w:rPr>
          <w:rFonts w:cs="David"/>
          <w:b/>
          <w:bCs/>
          <w:sz w:val="28"/>
          <w:szCs w:val="28"/>
          <w:rtl/>
        </w:rPr>
      </w:pPr>
    </w:p>
    <w:p w:rsidR="009B636F" w:rsidRPr="00B726E5" w:rsidRDefault="009B636F" w:rsidP="009B636F">
      <w:pPr>
        <w:pStyle w:val="a5"/>
        <w:bidi w:val="0"/>
        <w:spacing w:line="360" w:lineRule="auto"/>
        <w:jc w:val="both"/>
        <w:rPr>
          <w:rFonts w:asciiTheme="majorBidi" w:hAnsiTheme="majorBidi" w:cstheme="majorBidi"/>
          <w:sz w:val="28"/>
          <w:szCs w:val="28"/>
        </w:rPr>
      </w:pPr>
      <w:r w:rsidRPr="00B726E5">
        <w:rPr>
          <w:rFonts w:asciiTheme="majorBidi" w:hAnsiTheme="majorBidi" w:cstheme="majorBidi"/>
          <w:sz w:val="28"/>
          <w:szCs w:val="28"/>
        </w:rPr>
        <w:t>Charter of the United Nations, United Nations Conference on International Organizations, United Nations, San Francisco, 26 June 1945</w:t>
      </w:r>
      <w:r>
        <w:rPr>
          <w:rFonts w:asciiTheme="majorBidi" w:hAnsiTheme="majorBidi" w:cstheme="majorBidi"/>
          <w:sz w:val="28"/>
          <w:szCs w:val="28"/>
        </w:rPr>
        <w:t>.</w:t>
      </w:r>
      <w:r w:rsidRPr="00B726E5">
        <w:rPr>
          <w:rFonts w:asciiTheme="majorBidi" w:hAnsiTheme="majorBidi" w:cstheme="majorBidi"/>
          <w:sz w:val="28"/>
          <w:szCs w:val="28"/>
        </w:rPr>
        <w:t xml:space="preserve"> </w:t>
      </w:r>
    </w:p>
    <w:p w:rsidR="009B636F" w:rsidRPr="00B726E5" w:rsidRDefault="009B636F" w:rsidP="009B636F">
      <w:pPr>
        <w:pStyle w:val="a5"/>
        <w:bidi w:val="0"/>
        <w:spacing w:line="360" w:lineRule="auto"/>
        <w:jc w:val="both"/>
        <w:rPr>
          <w:rFonts w:asciiTheme="majorBidi" w:hAnsiTheme="majorBidi" w:cstheme="majorBidi"/>
          <w:sz w:val="28"/>
          <w:szCs w:val="28"/>
        </w:rPr>
      </w:pPr>
      <w:hyperlink r:id="rId41" w:history="1">
        <w:r w:rsidRPr="00B726E5">
          <w:rPr>
            <w:rStyle w:val="Hyperlink"/>
            <w:rFonts w:asciiTheme="majorBidi" w:hAnsiTheme="majorBidi" w:cstheme="majorBidi"/>
            <w:sz w:val="28"/>
            <w:szCs w:val="28"/>
          </w:rPr>
          <w:t>http://www.un.org/en/sections/un-charter/un-charter-full-text/index.html</w:t>
        </w:r>
      </w:hyperlink>
    </w:p>
    <w:p w:rsidR="009B636F" w:rsidRPr="00B726E5" w:rsidRDefault="009B636F" w:rsidP="009B636F">
      <w:pPr>
        <w:pStyle w:val="a5"/>
        <w:bidi w:val="0"/>
        <w:spacing w:line="360" w:lineRule="auto"/>
        <w:jc w:val="both"/>
        <w:rPr>
          <w:sz w:val="28"/>
          <w:szCs w:val="28"/>
        </w:rPr>
      </w:pPr>
    </w:p>
    <w:p w:rsidR="009B636F" w:rsidRPr="009B636F" w:rsidRDefault="009B636F" w:rsidP="009B636F">
      <w:pPr>
        <w:pStyle w:val="a5"/>
        <w:bidi w:val="0"/>
        <w:spacing w:line="360" w:lineRule="auto"/>
        <w:jc w:val="both"/>
        <w:rPr>
          <w:rFonts w:asciiTheme="majorBidi" w:hAnsiTheme="majorBidi" w:cstheme="majorBidi"/>
          <w:sz w:val="28"/>
          <w:szCs w:val="28"/>
        </w:rPr>
      </w:pPr>
      <w:hyperlink r:id="rId42" w:history="1">
        <w:r w:rsidRPr="009B636F">
          <w:rPr>
            <w:rFonts w:asciiTheme="majorBidi" w:hAnsiTheme="majorBidi" w:cstheme="majorBidi"/>
            <w:sz w:val="28"/>
            <w:szCs w:val="28"/>
          </w:rPr>
          <w:t>Convention (I) for the Amelioration of the Condition of the Wounded and Sick in Armed Forces in the Field. Geneva, 12 August 1949,</w:t>
        </w:r>
      </w:hyperlink>
      <w:r w:rsidRPr="009B636F">
        <w:rPr>
          <w:rFonts w:asciiTheme="majorBidi" w:hAnsiTheme="majorBidi" w:cstheme="majorBidi"/>
          <w:sz w:val="28"/>
          <w:szCs w:val="28"/>
        </w:rPr>
        <w:t xml:space="preserve"> COMMENTARY OF 2016, ARTICLE 2 : APPLICATION OF THE CONVENTION. </w:t>
      </w:r>
    </w:p>
    <w:p w:rsidR="009B636F" w:rsidRPr="009B636F" w:rsidRDefault="009B636F" w:rsidP="009B636F">
      <w:pPr>
        <w:pStyle w:val="a5"/>
        <w:bidi w:val="0"/>
        <w:spacing w:line="360" w:lineRule="auto"/>
        <w:jc w:val="both"/>
        <w:rPr>
          <w:rStyle w:val="Hyperlink"/>
          <w:rFonts w:asciiTheme="majorBidi" w:eastAsia="Times New Roman" w:hAnsiTheme="majorBidi" w:cstheme="majorBidi"/>
          <w:sz w:val="28"/>
          <w:szCs w:val="28"/>
        </w:rPr>
      </w:pPr>
      <w:hyperlink r:id="rId43" w:anchor="101_B" w:history="1">
        <w:r w:rsidRPr="009B636F">
          <w:rPr>
            <w:rStyle w:val="Hyperlink"/>
            <w:rFonts w:asciiTheme="majorBidi" w:eastAsia="Times New Roman" w:hAnsiTheme="majorBidi" w:cstheme="majorBidi"/>
            <w:sz w:val="28"/>
            <w:szCs w:val="28"/>
          </w:rPr>
          <w:t>https://www.icrc.org/applic/ihl/ihl.nsf/Comment.xsp?documentId=BE2D518CF5DE54EAC1257F7D0036B518&amp;action=OpenDocument#101_B</w:t>
        </w:r>
      </w:hyperlink>
    </w:p>
    <w:p w:rsidR="009B636F" w:rsidRPr="009B636F" w:rsidRDefault="009B636F" w:rsidP="009B636F">
      <w:pPr>
        <w:pStyle w:val="a5"/>
        <w:bidi w:val="0"/>
        <w:spacing w:line="360" w:lineRule="auto"/>
        <w:jc w:val="both"/>
        <w:rPr>
          <w:rFonts w:asciiTheme="majorBidi" w:hAnsiTheme="majorBidi" w:cstheme="majorBidi"/>
          <w:sz w:val="28"/>
          <w:szCs w:val="28"/>
          <w:rtl/>
        </w:rPr>
      </w:pPr>
    </w:p>
    <w:p w:rsidR="009B636F" w:rsidRPr="009B636F" w:rsidRDefault="009B636F" w:rsidP="009B636F">
      <w:pPr>
        <w:pStyle w:val="a5"/>
        <w:bidi w:val="0"/>
        <w:spacing w:line="360" w:lineRule="auto"/>
        <w:jc w:val="both"/>
        <w:rPr>
          <w:rFonts w:asciiTheme="majorBidi" w:hAnsiTheme="majorBidi" w:cstheme="majorBidi"/>
          <w:sz w:val="28"/>
          <w:szCs w:val="28"/>
        </w:rPr>
      </w:pPr>
      <w:hyperlink r:id="rId44" w:history="1">
        <w:r w:rsidRPr="009B636F">
          <w:rPr>
            <w:rFonts w:asciiTheme="majorBidi" w:hAnsiTheme="majorBidi" w:cstheme="majorBidi"/>
            <w:sz w:val="28"/>
            <w:szCs w:val="28"/>
          </w:rPr>
          <w:t>Convention (I) for the Amelioration of the Condition of the Wounded and Sick in Armed Forces in the Field. Geneva, 12 August 1949,</w:t>
        </w:r>
      </w:hyperlink>
      <w:r w:rsidRPr="009B636F">
        <w:rPr>
          <w:rFonts w:asciiTheme="majorBidi" w:hAnsiTheme="majorBidi" w:cstheme="majorBidi"/>
          <w:sz w:val="28"/>
          <w:szCs w:val="28"/>
        </w:rPr>
        <w:t xml:space="preserve"> COMMENTARY OF 2016, ARTICLE 3: CONFLICTS NOT OF AN INTERNATIONAL CHARACTER. </w:t>
      </w:r>
    </w:p>
    <w:p w:rsidR="009B636F" w:rsidRPr="009B636F" w:rsidRDefault="009B636F" w:rsidP="009B636F">
      <w:pPr>
        <w:pStyle w:val="a5"/>
        <w:bidi w:val="0"/>
        <w:spacing w:line="360" w:lineRule="auto"/>
        <w:jc w:val="both"/>
        <w:rPr>
          <w:rFonts w:asciiTheme="majorBidi" w:hAnsiTheme="majorBidi" w:cstheme="majorBidi"/>
          <w:sz w:val="28"/>
          <w:szCs w:val="28"/>
        </w:rPr>
      </w:pPr>
      <w:hyperlink r:id="rId45" w:anchor="893_B" w:history="1">
        <w:r w:rsidRPr="009B636F">
          <w:rPr>
            <w:rStyle w:val="Hyperlink"/>
            <w:rFonts w:asciiTheme="majorBidi" w:hAnsiTheme="majorBidi" w:cstheme="majorBidi"/>
            <w:sz w:val="28"/>
            <w:szCs w:val="28"/>
          </w:rPr>
          <w:t>https://www.icrc.org/applic/ihl/ihl.nsf/Comment.xsp?documentId=59F6CDFA490736C1C1257F7D004BA0EC&amp;action=OpenDocument#893_B</w:t>
        </w:r>
      </w:hyperlink>
    </w:p>
    <w:p w:rsidR="009B636F" w:rsidRPr="009B636F" w:rsidRDefault="009B636F" w:rsidP="009B636F">
      <w:pPr>
        <w:pStyle w:val="a5"/>
        <w:bidi w:val="0"/>
        <w:spacing w:line="360" w:lineRule="auto"/>
        <w:jc w:val="both"/>
        <w:rPr>
          <w:rFonts w:asciiTheme="majorBidi" w:hAnsiTheme="majorBidi" w:cstheme="majorBidi"/>
          <w:sz w:val="28"/>
          <w:szCs w:val="28"/>
        </w:rPr>
      </w:pPr>
    </w:p>
    <w:p w:rsidR="009B636F" w:rsidRPr="00B726E5" w:rsidRDefault="009B636F" w:rsidP="009B636F">
      <w:pPr>
        <w:pStyle w:val="a5"/>
        <w:bidi w:val="0"/>
        <w:spacing w:line="360" w:lineRule="auto"/>
        <w:jc w:val="both"/>
        <w:rPr>
          <w:rFonts w:asciiTheme="majorBidi" w:hAnsiTheme="majorBidi" w:cstheme="majorBidi"/>
          <w:sz w:val="28"/>
          <w:szCs w:val="28"/>
        </w:rPr>
      </w:pPr>
      <w:r w:rsidRPr="00B726E5">
        <w:rPr>
          <w:rFonts w:asciiTheme="majorBidi" w:hAnsiTheme="majorBidi" w:cstheme="majorBidi"/>
          <w:sz w:val="28"/>
          <w:szCs w:val="28"/>
        </w:rPr>
        <w:t>Convention for the Pacific Settlement of International Disputes (29 July 1899)</w:t>
      </w:r>
      <w:r>
        <w:rPr>
          <w:rFonts w:asciiTheme="majorBidi" w:hAnsiTheme="majorBidi" w:cstheme="majorBidi"/>
          <w:sz w:val="28"/>
          <w:szCs w:val="28"/>
        </w:rPr>
        <w:t>.</w:t>
      </w:r>
      <w:r w:rsidRPr="00B726E5">
        <w:rPr>
          <w:rFonts w:asciiTheme="majorBidi" w:hAnsiTheme="majorBidi" w:cstheme="majorBidi"/>
          <w:sz w:val="28"/>
          <w:szCs w:val="28"/>
        </w:rPr>
        <w:t xml:space="preserve"> </w:t>
      </w:r>
    </w:p>
    <w:p w:rsidR="009B636F" w:rsidRPr="00B726E5" w:rsidRDefault="009B636F" w:rsidP="009B636F">
      <w:pPr>
        <w:pStyle w:val="a5"/>
        <w:bidi w:val="0"/>
        <w:spacing w:line="360" w:lineRule="auto"/>
        <w:jc w:val="both"/>
        <w:rPr>
          <w:rFonts w:asciiTheme="majorBidi" w:hAnsiTheme="majorBidi" w:cstheme="majorBidi"/>
          <w:sz w:val="28"/>
          <w:szCs w:val="28"/>
        </w:rPr>
      </w:pPr>
      <w:hyperlink r:id="rId46" w:history="1">
        <w:r w:rsidRPr="00B726E5">
          <w:rPr>
            <w:rStyle w:val="Hyperlink"/>
            <w:rFonts w:asciiTheme="majorBidi" w:hAnsiTheme="majorBidi" w:cstheme="majorBidi"/>
            <w:sz w:val="28"/>
            <w:szCs w:val="28"/>
          </w:rPr>
          <w:t>http://avalon.law.yale.edu/19th_century/hague01.asp</w:t>
        </w:r>
      </w:hyperlink>
    </w:p>
    <w:p w:rsidR="009B636F" w:rsidRPr="00B726E5" w:rsidRDefault="009B636F" w:rsidP="009B636F">
      <w:pPr>
        <w:pStyle w:val="a5"/>
        <w:bidi w:val="0"/>
        <w:spacing w:line="360" w:lineRule="auto"/>
        <w:jc w:val="both"/>
        <w:rPr>
          <w:rFonts w:asciiTheme="majorBidi" w:hAnsiTheme="majorBidi" w:cstheme="majorBidi"/>
          <w:sz w:val="28"/>
          <w:szCs w:val="28"/>
          <w:rtl/>
        </w:rPr>
      </w:pPr>
    </w:p>
    <w:p w:rsidR="009B636F" w:rsidRPr="00B726E5" w:rsidRDefault="009B636F" w:rsidP="009B636F">
      <w:pPr>
        <w:pStyle w:val="a5"/>
        <w:bidi w:val="0"/>
        <w:spacing w:line="360" w:lineRule="auto"/>
        <w:jc w:val="both"/>
        <w:rPr>
          <w:rFonts w:asciiTheme="majorBidi" w:hAnsiTheme="majorBidi" w:cstheme="majorBidi"/>
          <w:sz w:val="28"/>
          <w:szCs w:val="28"/>
        </w:rPr>
      </w:pPr>
      <w:r w:rsidRPr="00B726E5">
        <w:rPr>
          <w:rFonts w:asciiTheme="majorBidi" w:hAnsiTheme="majorBidi" w:cstheme="majorBidi"/>
          <w:sz w:val="28"/>
          <w:szCs w:val="28"/>
        </w:rPr>
        <w:t>Convention for the Pacific Settlement of International Disputes (18 October 1907)</w:t>
      </w:r>
      <w:r>
        <w:rPr>
          <w:rFonts w:asciiTheme="majorBidi" w:hAnsiTheme="majorBidi" w:cstheme="majorBidi"/>
          <w:sz w:val="28"/>
          <w:szCs w:val="28"/>
        </w:rPr>
        <w:t>.</w:t>
      </w:r>
      <w:r w:rsidRPr="00B726E5">
        <w:rPr>
          <w:rFonts w:asciiTheme="majorBidi" w:hAnsiTheme="majorBidi" w:cstheme="majorBidi"/>
          <w:sz w:val="28"/>
          <w:szCs w:val="28"/>
        </w:rPr>
        <w:t xml:space="preserve"> </w:t>
      </w:r>
    </w:p>
    <w:p w:rsidR="009B636F" w:rsidRPr="00B726E5" w:rsidRDefault="009B636F" w:rsidP="009B636F">
      <w:pPr>
        <w:pStyle w:val="a5"/>
        <w:bidi w:val="0"/>
        <w:spacing w:line="360" w:lineRule="auto"/>
        <w:jc w:val="both"/>
        <w:rPr>
          <w:rFonts w:asciiTheme="majorBidi" w:hAnsiTheme="majorBidi" w:cstheme="majorBidi"/>
          <w:sz w:val="28"/>
          <w:szCs w:val="28"/>
        </w:rPr>
      </w:pPr>
      <w:hyperlink r:id="rId47" w:history="1">
        <w:r w:rsidRPr="00B726E5">
          <w:rPr>
            <w:rStyle w:val="Hyperlink"/>
            <w:rFonts w:asciiTheme="majorBidi" w:hAnsiTheme="majorBidi" w:cstheme="majorBidi"/>
            <w:sz w:val="28"/>
            <w:szCs w:val="28"/>
          </w:rPr>
          <w:t>http://avalon.law.yale.edu/20th_century/pacific.asp</w:t>
        </w:r>
      </w:hyperlink>
    </w:p>
    <w:p w:rsidR="009B636F" w:rsidRPr="009B636F" w:rsidRDefault="009B636F" w:rsidP="009B636F">
      <w:pPr>
        <w:pStyle w:val="a5"/>
        <w:bidi w:val="0"/>
        <w:spacing w:line="360" w:lineRule="auto"/>
        <w:jc w:val="both"/>
        <w:rPr>
          <w:rFonts w:asciiTheme="majorBidi" w:hAnsiTheme="majorBidi" w:cstheme="majorBidi"/>
          <w:sz w:val="28"/>
          <w:szCs w:val="28"/>
        </w:rPr>
      </w:pPr>
    </w:p>
    <w:p w:rsidR="009B636F" w:rsidRPr="009B636F" w:rsidRDefault="009B636F" w:rsidP="009B636F">
      <w:pPr>
        <w:pStyle w:val="a5"/>
        <w:bidi w:val="0"/>
        <w:spacing w:line="360" w:lineRule="auto"/>
        <w:jc w:val="both"/>
        <w:rPr>
          <w:rFonts w:asciiTheme="majorBidi" w:hAnsiTheme="majorBidi" w:cstheme="majorBidi"/>
          <w:sz w:val="28"/>
          <w:szCs w:val="28"/>
        </w:rPr>
      </w:pPr>
      <w:r w:rsidRPr="009B636F">
        <w:rPr>
          <w:rFonts w:asciiTheme="majorBidi" w:hAnsiTheme="majorBidi" w:cstheme="majorBidi"/>
          <w:sz w:val="28"/>
          <w:szCs w:val="28"/>
        </w:rPr>
        <w:t xml:space="preserve">Convention on Cluster Munitions, 30.05.08. </w:t>
      </w:r>
    </w:p>
    <w:p w:rsidR="009B636F" w:rsidRPr="009B636F" w:rsidRDefault="009B636F" w:rsidP="009B636F">
      <w:pPr>
        <w:pStyle w:val="a5"/>
        <w:bidi w:val="0"/>
        <w:spacing w:line="360" w:lineRule="auto"/>
        <w:jc w:val="both"/>
        <w:rPr>
          <w:rFonts w:asciiTheme="majorBidi" w:hAnsiTheme="majorBidi" w:cstheme="majorBidi"/>
          <w:sz w:val="28"/>
          <w:szCs w:val="28"/>
        </w:rPr>
      </w:pPr>
      <w:hyperlink r:id="rId48" w:history="1">
        <w:r w:rsidRPr="009B636F">
          <w:rPr>
            <w:rStyle w:val="Hyperlink"/>
            <w:rFonts w:asciiTheme="majorBidi" w:hAnsiTheme="majorBidi" w:cstheme="majorBidi"/>
            <w:sz w:val="28"/>
            <w:szCs w:val="28"/>
          </w:rPr>
          <w:t>http://www.clusterconvention.org/files/2011/01/Convention-ENG.pdf</w:t>
        </w:r>
      </w:hyperlink>
    </w:p>
    <w:p w:rsidR="009B636F" w:rsidRPr="009B636F" w:rsidRDefault="009B636F" w:rsidP="009B636F">
      <w:pPr>
        <w:spacing w:after="0" w:line="360" w:lineRule="auto"/>
        <w:jc w:val="both"/>
        <w:rPr>
          <w:rFonts w:asciiTheme="majorBidi" w:hAnsiTheme="majorBidi" w:cstheme="majorBidi"/>
          <w:sz w:val="28"/>
          <w:szCs w:val="28"/>
          <w:u w:val="single"/>
        </w:rPr>
      </w:pPr>
    </w:p>
    <w:p w:rsidR="009B636F" w:rsidRPr="009B636F" w:rsidRDefault="009B636F" w:rsidP="009B636F">
      <w:pPr>
        <w:pStyle w:val="a5"/>
        <w:bidi w:val="0"/>
        <w:spacing w:line="360" w:lineRule="auto"/>
        <w:jc w:val="both"/>
        <w:rPr>
          <w:rFonts w:asciiTheme="majorBidi" w:hAnsiTheme="majorBidi" w:cstheme="majorBidi"/>
          <w:sz w:val="28"/>
          <w:szCs w:val="28"/>
        </w:rPr>
      </w:pPr>
      <w:r w:rsidRPr="009B636F">
        <w:rPr>
          <w:rFonts w:asciiTheme="majorBidi" w:hAnsiTheme="majorBidi" w:cstheme="majorBidi"/>
          <w:sz w:val="28"/>
          <w:szCs w:val="28"/>
        </w:rPr>
        <w:t xml:space="preserve">EURO-MEDITERRANEAN AGREEMENT establishing an association between the European Communities and their Member States, of the one part, and the State of Israel, of the other part, Official Journal of the European Communities, L 147/3, 21.6.2000. </w:t>
      </w:r>
    </w:p>
    <w:p w:rsidR="009B636F" w:rsidRPr="009B636F" w:rsidRDefault="009B636F" w:rsidP="009B636F">
      <w:pPr>
        <w:pStyle w:val="a5"/>
        <w:bidi w:val="0"/>
        <w:spacing w:line="360" w:lineRule="auto"/>
        <w:jc w:val="both"/>
        <w:rPr>
          <w:rFonts w:asciiTheme="majorBidi" w:hAnsiTheme="majorBidi" w:cstheme="majorBidi"/>
          <w:sz w:val="28"/>
          <w:szCs w:val="28"/>
        </w:rPr>
      </w:pPr>
      <w:hyperlink r:id="rId49" w:history="1">
        <w:r w:rsidRPr="009B636F">
          <w:rPr>
            <w:rStyle w:val="Hyperlink"/>
            <w:rFonts w:asciiTheme="majorBidi" w:hAnsiTheme="majorBidi" w:cstheme="majorBidi"/>
            <w:sz w:val="28"/>
            <w:szCs w:val="28"/>
          </w:rPr>
          <w:t>http://eeas.europa.eu/delegations/israel/documents/eu_israel/asso_agree_en.pdf</w:t>
        </w:r>
      </w:hyperlink>
    </w:p>
    <w:p w:rsidR="009B636F" w:rsidRPr="009B636F" w:rsidRDefault="009B636F" w:rsidP="009B636F">
      <w:pPr>
        <w:spacing w:after="0" w:line="360" w:lineRule="auto"/>
        <w:jc w:val="both"/>
        <w:rPr>
          <w:rFonts w:asciiTheme="majorBidi" w:hAnsiTheme="majorBidi" w:cstheme="majorBidi"/>
          <w:sz w:val="28"/>
          <w:szCs w:val="28"/>
          <w:u w:val="single"/>
          <w:rtl/>
        </w:rPr>
      </w:pPr>
    </w:p>
    <w:p w:rsidR="009B636F" w:rsidRPr="009B636F" w:rsidRDefault="009B636F" w:rsidP="009B636F">
      <w:pPr>
        <w:pStyle w:val="a5"/>
        <w:bidi w:val="0"/>
        <w:spacing w:line="360" w:lineRule="auto"/>
        <w:jc w:val="both"/>
        <w:rPr>
          <w:rFonts w:asciiTheme="majorBidi" w:hAnsiTheme="majorBidi" w:cstheme="majorBidi"/>
          <w:sz w:val="28"/>
          <w:szCs w:val="28"/>
        </w:rPr>
      </w:pPr>
      <w:r w:rsidRPr="009B636F">
        <w:rPr>
          <w:rFonts w:asciiTheme="majorBidi" w:hAnsiTheme="majorBidi" w:cstheme="majorBidi"/>
          <w:sz w:val="28"/>
          <w:szCs w:val="28"/>
        </w:rPr>
        <w:t xml:space="preserve">ICRC, Commentary of 2016, Article 1: Respect for the Convention, paras. 143-182. </w:t>
      </w:r>
    </w:p>
    <w:p w:rsidR="009B636F" w:rsidRPr="009B636F" w:rsidRDefault="009B636F" w:rsidP="009B636F">
      <w:pPr>
        <w:pStyle w:val="a5"/>
        <w:bidi w:val="0"/>
        <w:spacing w:line="360" w:lineRule="auto"/>
        <w:jc w:val="both"/>
        <w:rPr>
          <w:rFonts w:asciiTheme="majorBidi" w:hAnsiTheme="majorBidi" w:cstheme="majorBidi"/>
          <w:sz w:val="28"/>
          <w:szCs w:val="28"/>
          <w:rtl/>
        </w:rPr>
      </w:pPr>
      <w:hyperlink r:id="rId50" w:anchor="_Toc452123276" w:history="1">
        <w:r w:rsidRPr="009B636F">
          <w:rPr>
            <w:rStyle w:val="Hyperlink"/>
            <w:rFonts w:asciiTheme="majorBidi" w:hAnsiTheme="majorBidi" w:cstheme="majorBidi"/>
            <w:sz w:val="28"/>
            <w:szCs w:val="28"/>
          </w:rPr>
          <w:t>https://www.icrc.org/applic/ihl/ihl.nsf/Comment.xsp?action=openDocument&amp;documentId=72239588AFA66200C1257F7D00367DBD#_Toc452123276</w:t>
        </w:r>
      </w:hyperlink>
    </w:p>
    <w:p w:rsidR="009B636F" w:rsidRPr="009B636F" w:rsidRDefault="009B636F" w:rsidP="009B636F">
      <w:pPr>
        <w:pStyle w:val="a5"/>
        <w:bidi w:val="0"/>
        <w:spacing w:line="360" w:lineRule="auto"/>
        <w:jc w:val="both"/>
        <w:rPr>
          <w:rFonts w:asciiTheme="majorBidi" w:hAnsiTheme="majorBidi" w:cstheme="majorBidi"/>
          <w:sz w:val="28"/>
          <w:szCs w:val="28"/>
        </w:rPr>
      </w:pPr>
    </w:p>
    <w:p w:rsidR="009B636F" w:rsidRPr="00B726E5" w:rsidRDefault="009B636F" w:rsidP="009B636F">
      <w:pPr>
        <w:pStyle w:val="a5"/>
        <w:bidi w:val="0"/>
        <w:spacing w:line="360" w:lineRule="auto"/>
        <w:jc w:val="both"/>
        <w:rPr>
          <w:rFonts w:asciiTheme="majorBidi" w:hAnsiTheme="majorBidi" w:cstheme="majorBidi"/>
          <w:sz w:val="28"/>
          <w:szCs w:val="28"/>
        </w:rPr>
      </w:pPr>
      <w:r w:rsidRPr="00B726E5">
        <w:rPr>
          <w:rFonts w:asciiTheme="majorBidi" w:hAnsiTheme="majorBidi" w:cstheme="majorBidi"/>
          <w:sz w:val="28"/>
          <w:szCs w:val="28"/>
        </w:rPr>
        <w:t>Protocol Additional to the Geneva Conventions of 12 August 1949, and relating to the Protection of Victims of International Armed Conflicts (Protocol I), 8 June 1977</w:t>
      </w:r>
      <w:r>
        <w:rPr>
          <w:rFonts w:asciiTheme="majorBidi" w:hAnsiTheme="majorBidi" w:cstheme="majorBidi"/>
          <w:sz w:val="28"/>
          <w:szCs w:val="28"/>
        </w:rPr>
        <w:t>.</w:t>
      </w:r>
      <w:r w:rsidRPr="00B726E5">
        <w:rPr>
          <w:rFonts w:asciiTheme="majorBidi" w:hAnsiTheme="majorBidi" w:cstheme="majorBidi"/>
          <w:sz w:val="28"/>
          <w:szCs w:val="28"/>
        </w:rPr>
        <w:t xml:space="preserve"> </w:t>
      </w:r>
    </w:p>
    <w:p w:rsidR="009B636F" w:rsidRPr="00B726E5" w:rsidRDefault="009B636F" w:rsidP="009B636F">
      <w:pPr>
        <w:pStyle w:val="a5"/>
        <w:bidi w:val="0"/>
        <w:spacing w:line="360" w:lineRule="auto"/>
        <w:jc w:val="both"/>
        <w:rPr>
          <w:rFonts w:asciiTheme="majorBidi" w:hAnsiTheme="majorBidi" w:cstheme="majorBidi"/>
          <w:sz w:val="28"/>
          <w:szCs w:val="28"/>
        </w:rPr>
      </w:pPr>
      <w:hyperlink r:id="rId51" w:history="1">
        <w:r w:rsidRPr="00B726E5">
          <w:rPr>
            <w:rStyle w:val="Hyperlink"/>
            <w:rFonts w:asciiTheme="majorBidi" w:hAnsiTheme="majorBidi" w:cstheme="majorBidi"/>
            <w:sz w:val="28"/>
            <w:szCs w:val="28"/>
          </w:rPr>
          <w:t>https://www.icrc.org/ihl/INTRO/470</w:t>
        </w:r>
      </w:hyperlink>
    </w:p>
    <w:p w:rsidR="009B636F" w:rsidRPr="009B636F" w:rsidRDefault="009B636F" w:rsidP="009B636F">
      <w:pPr>
        <w:pStyle w:val="a5"/>
        <w:bidi w:val="0"/>
        <w:spacing w:line="360" w:lineRule="auto"/>
        <w:jc w:val="both"/>
        <w:rPr>
          <w:rFonts w:asciiTheme="majorBidi" w:hAnsiTheme="majorBidi" w:cstheme="majorBidi"/>
          <w:sz w:val="28"/>
          <w:szCs w:val="28"/>
        </w:rPr>
      </w:pPr>
    </w:p>
    <w:p w:rsidR="009B636F" w:rsidRPr="009B636F" w:rsidRDefault="009B636F" w:rsidP="009B636F">
      <w:pPr>
        <w:pStyle w:val="a5"/>
        <w:bidi w:val="0"/>
        <w:spacing w:line="360" w:lineRule="auto"/>
        <w:jc w:val="both"/>
        <w:rPr>
          <w:rFonts w:asciiTheme="majorBidi" w:eastAsia="Times New Roman" w:hAnsiTheme="majorBidi" w:cstheme="majorBidi"/>
          <w:spacing w:val="2"/>
          <w:sz w:val="28"/>
          <w:szCs w:val="28"/>
        </w:rPr>
      </w:pPr>
      <w:hyperlink r:id="rId52" w:history="1">
        <w:r w:rsidRPr="009B636F">
          <w:rPr>
            <w:rFonts w:asciiTheme="majorBidi" w:eastAsia="Times New Roman" w:hAnsiTheme="majorBidi" w:cstheme="majorBidi"/>
            <w:spacing w:val="2"/>
            <w:sz w:val="28"/>
            <w:szCs w:val="28"/>
          </w:rPr>
          <w:t xml:space="preserve">Protocol Additional to the Geneva Conventions of 12 August 1949, and relating to the Protection of Victims of International Armed Conflicts </w:t>
        </w:r>
        <w:r w:rsidRPr="009B636F">
          <w:rPr>
            <w:rFonts w:asciiTheme="majorBidi" w:eastAsia="Times New Roman" w:hAnsiTheme="majorBidi" w:cstheme="majorBidi"/>
            <w:spacing w:val="2"/>
            <w:sz w:val="28"/>
            <w:szCs w:val="28"/>
          </w:rPr>
          <w:lastRenderedPageBreak/>
          <w:t>(Protocol I), 8 June 1977,</w:t>
        </w:r>
      </w:hyperlink>
      <w:r w:rsidRPr="009B636F">
        <w:rPr>
          <w:rFonts w:asciiTheme="majorBidi" w:eastAsia="Times New Roman" w:hAnsiTheme="majorBidi" w:cstheme="majorBidi"/>
          <w:caps/>
          <w:sz w:val="28"/>
          <w:szCs w:val="28"/>
        </w:rPr>
        <w:t xml:space="preserve">COMMENTARY OF 1987, GENERAL </w:t>
      </w:r>
      <w:r w:rsidRPr="009B636F">
        <w:rPr>
          <w:rFonts w:asciiTheme="majorBidi" w:eastAsia="Times New Roman" w:hAnsiTheme="majorBidi" w:cstheme="majorBidi"/>
          <w:spacing w:val="2"/>
          <w:sz w:val="28"/>
          <w:szCs w:val="28"/>
        </w:rPr>
        <w:t xml:space="preserve">PRINCIPLES AND SCOPE OF APPLICATION. </w:t>
      </w:r>
    </w:p>
    <w:p w:rsidR="009B636F" w:rsidRPr="009B636F" w:rsidRDefault="009B636F" w:rsidP="009B636F">
      <w:pPr>
        <w:pStyle w:val="a5"/>
        <w:bidi w:val="0"/>
        <w:spacing w:line="360" w:lineRule="auto"/>
        <w:jc w:val="both"/>
        <w:rPr>
          <w:rStyle w:val="Hyperlink"/>
          <w:rFonts w:asciiTheme="majorBidi" w:hAnsiTheme="majorBidi" w:cstheme="majorBidi"/>
          <w:sz w:val="28"/>
          <w:szCs w:val="28"/>
        </w:rPr>
      </w:pPr>
      <w:hyperlink r:id="rId53" w:history="1">
        <w:r w:rsidRPr="009B636F">
          <w:rPr>
            <w:rStyle w:val="Hyperlink"/>
            <w:rFonts w:asciiTheme="majorBidi" w:hAnsiTheme="majorBidi" w:cstheme="majorBidi"/>
            <w:sz w:val="28"/>
            <w:szCs w:val="28"/>
          </w:rPr>
          <w:t>https://www.icrc.org/applic/ihl/ihl.nsf/Comment.xsp?documentId=7125D4CBD57A70DDC12563CD0042F793&amp;action=OpenDocument</w:t>
        </w:r>
      </w:hyperlink>
    </w:p>
    <w:p w:rsidR="009B636F" w:rsidRPr="009B636F" w:rsidRDefault="009B636F" w:rsidP="009B636F">
      <w:pPr>
        <w:pStyle w:val="a5"/>
        <w:bidi w:val="0"/>
        <w:spacing w:line="360" w:lineRule="auto"/>
        <w:jc w:val="both"/>
        <w:rPr>
          <w:rFonts w:asciiTheme="majorBidi" w:hAnsiTheme="majorBidi" w:cstheme="majorBidi"/>
          <w:sz w:val="28"/>
          <w:szCs w:val="28"/>
        </w:rPr>
      </w:pPr>
    </w:p>
    <w:p w:rsidR="009B636F" w:rsidRPr="009B636F" w:rsidRDefault="009B636F" w:rsidP="009B636F">
      <w:pPr>
        <w:pStyle w:val="a5"/>
        <w:bidi w:val="0"/>
        <w:spacing w:line="360" w:lineRule="auto"/>
        <w:jc w:val="both"/>
        <w:rPr>
          <w:rFonts w:asciiTheme="majorBidi" w:hAnsiTheme="majorBidi" w:cstheme="majorBidi"/>
          <w:sz w:val="28"/>
          <w:szCs w:val="28"/>
        </w:rPr>
      </w:pPr>
      <w:r w:rsidRPr="009B636F">
        <w:rPr>
          <w:rFonts w:asciiTheme="majorBidi" w:hAnsiTheme="majorBidi" w:cstheme="majorBidi"/>
          <w:sz w:val="28"/>
          <w:szCs w:val="28"/>
        </w:rPr>
        <w:t xml:space="preserve">Statute of the International Court of Justice, United Nations, 18 April 1946. </w:t>
      </w:r>
    </w:p>
    <w:p w:rsidR="009B636F" w:rsidRPr="009B636F" w:rsidRDefault="009B636F" w:rsidP="009B636F">
      <w:pPr>
        <w:pStyle w:val="a5"/>
        <w:bidi w:val="0"/>
        <w:spacing w:line="360" w:lineRule="auto"/>
        <w:jc w:val="both"/>
        <w:rPr>
          <w:rFonts w:asciiTheme="majorBidi" w:hAnsiTheme="majorBidi" w:cstheme="majorBidi"/>
          <w:sz w:val="28"/>
          <w:szCs w:val="28"/>
        </w:rPr>
      </w:pPr>
      <w:hyperlink r:id="rId54" w:history="1">
        <w:r w:rsidRPr="009B636F">
          <w:rPr>
            <w:rStyle w:val="Hyperlink"/>
            <w:rFonts w:asciiTheme="majorBidi" w:hAnsiTheme="majorBidi" w:cstheme="majorBidi"/>
            <w:sz w:val="28"/>
            <w:szCs w:val="28"/>
          </w:rPr>
          <w:t>http://www.icj-cij.org/documents/?p1=4&amp;p2=2</w:t>
        </w:r>
      </w:hyperlink>
    </w:p>
    <w:p w:rsidR="009B636F" w:rsidRPr="009B636F" w:rsidRDefault="009B636F" w:rsidP="009B636F">
      <w:pPr>
        <w:pStyle w:val="a5"/>
        <w:bidi w:val="0"/>
        <w:spacing w:line="360" w:lineRule="auto"/>
        <w:jc w:val="both"/>
        <w:rPr>
          <w:rFonts w:asciiTheme="majorBidi" w:hAnsiTheme="majorBidi" w:cs="David"/>
          <w:sz w:val="28"/>
          <w:szCs w:val="28"/>
          <w:rtl/>
        </w:rPr>
      </w:pPr>
    </w:p>
    <w:p w:rsidR="009B636F" w:rsidRPr="009B636F" w:rsidRDefault="009B636F" w:rsidP="009B636F">
      <w:pPr>
        <w:spacing w:after="0" w:line="360" w:lineRule="auto"/>
        <w:jc w:val="both"/>
        <w:rPr>
          <w:rFonts w:cs="David"/>
          <w:b/>
          <w:bCs/>
          <w:sz w:val="28"/>
          <w:szCs w:val="28"/>
        </w:rPr>
      </w:pPr>
      <w:r w:rsidRPr="009B636F">
        <w:rPr>
          <w:rFonts w:cs="David" w:hint="cs"/>
          <w:b/>
          <w:bCs/>
          <w:sz w:val="28"/>
          <w:szCs w:val="28"/>
          <w:rtl/>
        </w:rPr>
        <w:t>החלטות ומסמכים של ארגונים בינלאומיים</w:t>
      </w:r>
    </w:p>
    <w:p w:rsidR="009B636F" w:rsidRPr="009B636F" w:rsidRDefault="009B636F" w:rsidP="009B636F">
      <w:pPr>
        <w:spacing w:after="0" w:line="360" w:lineRule="auto"/>
        <w:jc w:val="both"/>
        <w:rPr>
          <w:rFonts w:cs="David"/>
          <w:b/>
          <w:bCs/>
          <w:sz w:val="28"/>
          <w:szCs w:val="28"/>
          <w:rtl/>
        </w:rPr>
      </w:pPr>
    </w:p>
    <w:p w:rsidR="009B636F" w:rsidRPr="009B636F" w:rsidRDefault="009B636F" w:rsidP="009B636F">
      <w:pPr>
        <w:pStyle w:val="a5"/>
        <w:spacing w:line="360" w:lineRule="auto"/>
        <w:jc w:val="both"/>
        <w:rPr>
          <w:rFonts w:cs="David"/>
          <w:sz w:val="28"/>
          <w:szCs w:val="28"/>
          <w:rtl/>
        </w:rPr>
      </w:pPr>
      <w:r w:rsidRPr="009B636F">
        <w:rPr>
          <w:rFonts w:cs="David" w:hint="cs"/>
          <w:sz w:val="28"/>
          <w:szCs w:val="28"/>
          <w:rtl/>
        </w:rPr>
        <w:t>מועצת הביטחון</w:t>
      </w:r>
    </w:p>
    <w:p w:rsidR="009B636F" w:rsidRPr="009B636F" w:rsidRDefault="009B636F" w:rsidP="009B636F">
      <w:pPr>
        <w:pStyle w:val="a5"/>
        <w:spacing w:line="360" w:lineRule="auto"/>
        <w:jc w:val="both"/>
        <w:rPr>
          <w:rFonts w:cs="David"/>
          <w:sz w:val="28"/>
          <w:szCs w:val="28"/>
          <w:rtl/>
        </w:rPr>
      </w:pPr>
    </w:p>
    <w:p w:rsidR="009B636F" w:rsidRDefault="009B636F" w:rsidP="009B636F">
      <w:pPr>
        <w:pStyle w:val="a5"/>
        <w:bidi w:val="0"/>
        <w:spacing w:line="360" w:lineRule="auto"/>
        <w:jc w:val="both"/>
        <w:rPr>
          <w:rFonts w:asciiTheme="majorBidi" w:hAnsiTheme="majorBidi" w:cstheme="majorBidi"/>
          <w:sz w:val="28"/>
          <w:szCs w:val="28"/>
        </w:rPr>
      </w:pPr>
      <w:r w:rsidRPr="00573CC1">
        <w:rPr>
          <w:rFonts w:asciiTheme="majorBidi" w:hAnsiTheme="majorBidi" w:cstheme="majorBidi"/>
          <w:sz w:val="28"/>
          <w:szCs w:val="28"/>
        </w:rPr>
        <w:t>S/RES/780 (1992)</w:t>
      </w:r>
      <w:r>
        <w:rPr>
          <w:rFonts w:asciiTheme="majorBidi" w:hAnsiTheme="majorBidi" w:cstheme="majorBidi"/>
          <w:sz w:val="28"/>
          <w:szCs w:val="28"/>
        </w:rPr>
        <w:t>.</w:t>
      </w:r>
      <w:r w:rsidRPr="00573CC1">
        <w:rPr>
          <w:rFonts w:asciiTheme="majorBidi" w:hAnsiTheme="majorBidi" w:cstheme="majorBidi"/>
          <w:sz w:val="28"/>
          <w:szCs w:val="28"/>
        </w:rPr>
        <w:t xml:space="preserve"> </w:t>
      </w:r>
    </w:p>
    <w:p w:rsidR="009B636F" w:rsidRDefault="009B636F" w:rsidP="009B636F">
      <w:pPr>
        <w:pStyle w:val="a5"/>
        <w:bidi w:val="0"/>
        <w:spacing w:line="360" w:lineRule="auto"/>
        <w:jc w:val="both"/>
        <w:rPr>
          <w:rFonts w:asciiTheme="majorBidi" w:hAnsiTheme="majorBidi" w:cstheme="majorBidi"/>
          <w:sz w:val="28"/>
          <w:szCs w:val="28"/>
        </w:rPr>
      </w:pPr>
      <w:hyperlink r:id="rId55" w:history="1">
        <w:r w:rsidRPr="00164377">
          <w:rPr>
            <w:rStyle w:val="Hyperlink"/>
            <w:rFonts w:asciiTheme="majorBidi" w:hAnsiTheme="majorBidi" w:cstheme="majorBidi"/>
            <w:sz w:val="28"/>
            <w:szCs w:val="28"/>
          </w:rPr>
          <w:t>http://www.un.org/en/ga/search/view_doc.asp?symbol=S/RES/780(1992)</w:t>
        </w:r>
      </w:hyperlink>
    </w:p>
    <w:p w:rsidR="009B636F" w:rsidRPr="00573CC1" w:rsidRDefault="009B636F" w:rsidP="009B636F">
      <w:pPr>
        <w:pStyle w:val="a5"/>
        <w:bidi w:val="0"/>
        <w:spacing w:line="360" w:lineRule="auto"/>
        <w:jc w:val="both"/>
        <w:rPr>
          <w:rFonts w:asciiTheme="majorBidi" w:hAnsiTheme="majorBidi" w:cstheme="majorBidi"/>
          <w:sz w:val="28"/>
          <w:szCs w:val="28"/>
        </w:rPr>
      </w:pPr>
    </w:p>
    <w:p w:rsidR="009B636F" w:rsidRDefault="009B636F" w:rsidP="009B636F">
      <w:pPr>
        <w:pStyle w:val="a5"/>
        <w:bidi w:val="0"/>
        <w:spacing w:line="360" w:lineRule="auto"/>
        <w:jc w:val="both"/>
        <w:rPr>
          <w:rFonts w:asciiTheme="majorBidi" w:hAnsiTheme="majorBidi" w:cstheme="majorBidi"/>
          <w:sz w:val="28"/>
          <w:szCs w:val="28"/>
        </w:rPr>
      </w:pPr>
      <w:r w:rsidRPr="00573CC1">
        <w:rPr>
          <w:rFonts w:asciiTheme="majorBidi" w:hAnsiTheme="majorBidi" w:cstheme="majorBidi"/>
          <w:sz w:val="28"/>
          <w:szCs w:val="28"/>
        </w:rPr>
        <w:t>S/RES/827 (1993)</w:t>
      </w:r>
      <w:r>
        <w:rPr>
          <w:rFonts w:asciiTheme="majorBidi" w:hAnsiTheme="majorBidi" w:cstheme="majorBidi"/>
          <w:sz w:val="28"/>
          <w:szCs w:val="28"/>
        </w:rPr>
        <w:t>.</w:t>
      </w:r>
      <w:r w:rsidRPr="00573CC1">
        <w:rPr>
          <w:rFonts w:asciiTheme="majorBidi" w:hAnsiTheme="majorBidi" w:cstheme="majorBidi"/>
          <w:sz w:val="28"/>
          <w:szCs w:val="28"/>
        </w:rPr>
        <w:t xml:space="preserve"> </w:t>
      </w:r>
    </w:p>
    <w:p w:rsidR="009B636F" w:rsidRDefault="009B636F" w:rsidP="009B636F">
      <w:pPr>
        <w:pStyle w:val="a5"/>
        <w:bidi w:val="0"/>
        <w:spacing w:line="360" w:lineRule="auto"/>
        <w:jc w:val="both"/>
        <w:rPr>
          <w:rFonts w:asciiTheme="majorBidi" w:hAnsiTheme="majorBidi" w:cstheme="majorBidi"/>
          <w:sz w:val="28"/>
          <w:szCs w:val="28"/>
        </w:rPr>
      </w:pPr>
      <w:hyperlink r:id="rId56" w:history="1">
        <w:r w:rsidRPr="00164377">
          <w:rPr>
            <w:rStyle w:val="Hyperlink"/>
            <w:rFonts w:asciiTheme="majorBidi" w:hAnsiTheme="majorBidi" w:cstheme="majorBidi"/>
            <w:sz w:val="28"/>
            <w:szCs w:val="28"/>
          </w:rPr>
          <w:t>http://www.un.org/en/ga/search/view_doc.asp?symbol=S/RES/827(1993)</w:t>
        </w:r>
      </w:hyperlink>
    </w:p>
    <w:p w:rsidR="009B636F" w:rsidRDefault="009B636F" w:rsidP="009B636F">
      <w:pPr>
        <w:pStyle w:val="a5"/>
        <w:bidi w:val="0"/>
        <w:spacing w:line="360" w:lineRule="auto"/>
        <w:jc w:val="both"/>
        <w:rPr>
          <w:rFonts w:asciiTheme="majorBidi" w:hAnsiTheme="majorBidi" w:cstheme="majorBidi"/>
          <w:sz w:val="28"/>
          <w:szCs w:val="28"/>
        </w:rPr>
      </w:pPr>
    </w:p>
    <w:p w:rsidR="009B636F" w:rsidRDefault="009B636F" w:rsidP="009B636F">
      <w:pPr>
        <w:pStyle w:val="a5"/>
        <w:bidi w:val="0"/>
        <w:spacing w:line="360" w:lineRule="auto"/>
        <w:jc w:val="both"/>
        <w:rPr>
          <w:rFonts w:asciiTheme="majorBidi" w:hAnsiTheme="majorBidi" w:cstheme="majorBidi"/>
          <w:sz w:val="28"/>
          <w:szCs w:val="28"/>
        </w:rPr>
      </w:pPr>
      <w:r w:rsidRPr="00573CC1">
        <w:rPr>
          <w:rFonts w:asciiTheme="majorBidi" w:hAnsiTheme="majorBidi" w:cstheme="majorBidi"/>
          <w:sz w:val="28"/>
          <w:szCs w:val="28"/>
        </w:rPr>
        <w:t>S/RES/935 (1994)</w:t>
      </w:r>
      <w:r>
        <w:rPr>
          <w:rFonts w:asciiTheme="majorBidi" w:hAnsiTheme="majorBidi" w:cstheme="majorBidi"/>
          <w:sz w:val="28"/>
          <w:szCs w:val="28"/>
        </w:rPr>
        <w:t>.</w:t>
      </w:r>
      <w:r w:rsidRPr="00573CC1">
        <w:rPr>
          <w:rFonts w:asciiTheme="majorBidi" w:hAnsiTheme="majorBidi" w:cstheme="majorBidi"/>
          <w:sz w:val="28"/>
          <w:szCs w:val="28"/>
        </w:rPr>
        <w:t xml:space="preserve"> </w:t>
      </w:r>
    </w:p>
    <w:p w:rsidR="009B636F" w:rsidRDefault="009B636F" w:rsidP="009B636F">
      <w:pPr>
        <w:pStyle w:val="a5"/>
        <w:bidi w:val="0"/>
        <w:spacing w:line="360" w:lineRule="auto"/>
        <w:jc w:val="both"/>
        <w:rPr>
          <w:rFonts w:asciiTheme="majorBidi" w:hAnsiTheme="majorBidi" w:cstheme="majorBidi"/>
          <w:sz w:val="28"/>
          <w:szCs w:val="28"/>
        </w:rPr>
      </w:pPr>
      <w:hyperlink r:id="rId57" w:history="1">
        <w:r w:rsidRPr="00164377">
          <w:rPr>
            <w:rStyle w:val="Hyperlink"/>
            <w:rFonts w:asciiTheme="majorBidi" w:hAnsiTheme="majorBidi" w:cstheme="majorBidi"/>
            <w:sz w:val="28"/>
            <w:szCs w:val="28"/>
          </w:rPr>
          <w:t>http://www.un.org/en/ga/search/view_doc.asp?symbol=S/RES/935(1994)</w:t>
        </w:r>
      </w:hyperlink>
    </w:p>
    <w:p w:rsidR="009B636F" w:rsidRPr="00573CC1" w:rsidRDefault="009B636F" w:rsidP="009B636F">
      <w:pPr>
        <w:pStyle w:val="a5"/>
        <w:bidi w:val="0"/>
        <w:spacing w:line="360" w:lineRule="auto"/>
        <w:jc w:val="both"/>
        <w:rPr>
          <w:rFonts w:asciiTheme="majorBidi" w:hAnsiTheme="majorBidi" w:cstheme="majorBidi"/>
          <w:sz w:val="28"/>
          <w:szCs w:val="28"/>
        </w:rPr>
      </w:pPr>
    </w:p>
    <w:p w:rsidR="009B636F" w:rsidRDefault="009B636F" w:rsidP="009B636F">
      <w:pPr>
        <w:pStyle w:val="a5"/>
        <w:bidi w:val="0"/>
        <w:spacing w:line="360" w:lineRule="auto"/>
        <w:jc w:val="both"/>
        <w:rPr>
          <w:rFonts w:asciiTheme="majorBidi" w:hAnsiTheme="majorBidi" w:cstheme="majorBidi"/>
          <w:sz w:val="28"/>
          <w:szCs w:val="28"/>
        </w:rPr>
      </w:pPr>
      <w:r w:rsidRPr="00573CC1">
        <w:rPr>
          <w:rFonts w:asciiTheme="majorBidi" w:hAnsiTheme="majorBidi" w:cstheme="majorBidi"/>
          <w:sz w:val="28"/>
          <w:szCs w:val="28"/>
        </w:rPr>
        <w:t>S/RES/955 (1994)</w:t>
      </w:r>
      <w:r>
        <w:rPr>
          <w:rFonts w:asciiTheme="majorBidi" w:hAnsiTheme="majorBidi" w:cstheme="majorBidi"/>
          <w:sz w:val="28"/>
          <w:szCs w:val="28"/>
        </w:rPr>
        <w:t>.</w:t>
      </w:r>
    </w:p>
    <w:p w:rsidR="009B636F" w:rsidRDefault="009B636F" w:rsidP="009B636F">
      <w:pPr>
        <w:pStyle w:val="a5"/>
        <w:bidi w:val="0"/>
        <w:spacing w:line="360" w:lineRule="auto"/>
        <w:jc w:val="both"/>
        <w:rPr>
          <w:rFonts w:asciiTheme="majorBidi" w:hAnsiTheme="majorBidi" w:cstheme="majorBidi"/>
          <w:sz w:val="28"/>
          <w:szCs w:val="28"/>
        </w:rPr>
      </w:pPr>
      <w:hyperlink r:id="rId58" w:history="1">
        <w:r w:rsidRPr="00164377">
          <w:rPr>
            <w:rStyle w:val="Hyperlink"/>
            <w:rFonts w:asciiTheme="majorBidi" w:hAnsiTheme="majorBidi" w:cstheme="majorBidi"/>
            <w:sz w:val="28"/>
            <w:szCs w:val="28"/>
          </w:rPr>
          <w:t>http://www.un.org/ga/search/view_doc.asp?symbol=S/RES/955(1994)</w:t>
        </w:r>
      </w:hyperlink>
    </w:p>
    <w:p w:rsidR="009B636F" w:rsidRPr="00573CC1" w:rsidRDefault="009B636F" w:rsidP="009B636F">
      <w:pPr>
        <w:pStyle w:val="a5"/>
        <w:bidi w:val="0"/>
        <w:spacing w:line="360" w:lineRule="auto"/>
        <w:jc w:val="both"/>
        <w:rPr>
          <w:rFonts w:asciiTheme="majorBidi" w:hAnsiTheme="majorBidi" w:cstheme="majorBidi"/>
          <w:sz w:val="28"/>
          <w:szCs w:val="28"/>
          <w:rtl/>
        </w:rPr>
      </w:pPr>
    </w:p>
    <w:p w:rsidR="009B636F" w:rsidRDefault="009B636F" w:rsidP="009B636F">
      <w:pPr>
        <w:pStyle w:val="a5"/>
        <w:bidi w:val="0"/>
        <w:spacing w:line="360" w:lineRule="auto"/>
        <w:jc w:val="both"/>
        <w:rPr>
          <w:rFonts w:asciiTheme="majorBidi" w:hAnsiTheme="majorBidi" w:cstheme="majorBidi"/>
          <w:sz w:val="28"/>
          <w:szCs w:val="28"/>
        </w:rPr>
      </w:pPr>
      <w:r w:rsidRPr="00573CC1">
        <w:rPr>
          <w:rFonts w:asciiTheme="majorBidi" w:hAnsiTheme="majorBidi" w:cstheme="majorBidi"/>
          <w:sz w:val="28"/>
          <w:szCs w:val="28"/>
        </w:rPr>
        <w:t>S/RES/1012 (1995)</w:t>
      </w:r>
      <w:r>
        <w:rPr>
          <w:rFonts w:asciiTheme="majorBidi" w:hAnsiTheme="majorBidi" w:cstheme="majorBidi"/>
          <w:sz w:val="28"/>
          <w:szCs w:val="28"/>
        </w:rPr>
        <w:t>.</w:t>
      </w:r>
      <w:r w:rsidRPr="00573CC1">
        <w:rPr>
          <w:rFonts w:asciiTheme="majorBidi" w:hAnsiTheme="majorBidi" w:cstheme="majorBidi"/>
          <w:sz w:val="28"/>
          <w:szCs w:val="28"/>
        </w:rPr>
        <w:t xml:space="preserve"> </w:t>
      </w:r>
    </w:p>
    <w:p w:rsidR="009B636F" w:rsidRDefault="009B636F" w:rsidP="009B636F">
      <w:pPr>
        <w:pStyle w:val="a5"/>
        <w:bidi w:val="0"/>
        <w:spacing w:line="360" w:lineRule="auto"/>
        <w:jc w:val="both"/>
        <w:rPr>
          <w:rFonts w:asciiTheme="majorBidi" w:hAnsiTheme="majorBidi" w:cstheme="majorBidi"/>
          <w:sz w:val="28"/>
          <w:szCs w:val="28"/>
        </w:rPr>
      </w:pPr>
      <w:hyperlink r:id="rId59" w:history="1">
        <w:r w:rsidRPr="00164377">
          <w:rPr>
            <w:rStyle w:val="Hyperlink"/>
            <w:rFonts w:asciiTheme="majorBidi" w:hAnsiTheme="majorBidi" w:cstheme="majorBidi"/>
            <w:sz w:val="28"/>
            <w:szCs w:val="28"/>
          </w:rPr>
          <w:t>http://www.un.org/en/ga/search/view_doc.asp?symbol=S/RES/1012(1995)</w:t>
        </w:r>
      </w:hyperlink>
    </w:p>
    <w:p w:rsidR="009B636F" w:rsidRPr="00573CC1" w:rsidRDefault="009B636F" w:rsidP="009B636F">
      <w:pPr>
        <w:pStyle w:val="a5"/>
        <w:bidi w:val="0"/>
        <w:spacing w:line="360" w:lineRule="auto"/>
        <w:jc w:val="both"/>
        <w:rPr>
          <w:rFonts w:asciiTheme="majorBidi" w:hAnsiTheme="majorBidi" w:cstheme="majorBidi"/>
          <w:sz w:val="28"/>
          <w:szCs w:val="28"/>
        </w:rPr>
      </w:pPr>
    </w:p>
    <w:p w:rsidR="009B636F" w:rsidRPr="009B636F" w:rsidRDefault="009B636F" w:rsidP="009B636F">
      <w:pPr>
        <w:pStyle w:val="a5"/>
        <w:bidi w:val="0"/>
        <w:spacing w:line="360" w:lineRule="auto"/>
        <w:jc w:val="both"/>
        <w:rPr>
          <w:rFonts w:asciiTheme="majorBidi" w:hAnsiTheme="majorBidi" w:cstheme="majorBidi"/>
          <w:sz w:val="28"/>
          <w:szCs w:val="28"/>
        </w:rPr>
      </w:pPr>
      <w:r w:rsidRPr="009B636F">
        <w:rPr>
          <w:rFonts w:asciiTheme="majorBidi" w:hAnsiTheme="majorBidi" w:cstheme="majorBidi"/>
          <w:sz w:val="28"/>
          <w:szCs w:val="28"/>
        </w:rPr>
        <w:lastRenderedPageBreak/>
        <w:t>S/RES/1405 (2002).</w:t>
      </w:r>
    </w:p>
    <w:p w:rsidR="009B636F" w:rsidRPr="009B636F" w:rsidRDefault="009B636F" w:rsidP="009B636F">
      <w:pPr>
        <w:pStyle w:val="a5"/>
        <w:bidi w:val="0"/>
        <w:spacing w:line="360" w:lineRule="auto"/>
        <w:jc w:val="both"/>
        <w:rPr>
          <w:rFonts w:asciiTheme="majorBidi" w:hAnsiTheme="majorBidi" w:cstheme="majorBidi"/>
          <w:sz w:val="28"/>
          <w:szCs w:val="28"/>
        </w:rPr>
      </w:pPr>
      <w:hyperlink r:id="rId60" w:history="1">
        <w:r w:rsidRPr="009B636F">
          <w:rPr>
            <w:rStyle w:val="Hyperlink"/>
            <w:rFonts w:asciiTheme="majorBidi" w:hAnsiTheme="majorBidi" w:cstheme="majorBidi"/>
            <w:sz w:val="28"/>
            <w:szCs w:val="28"/>
          </w:rPr>
          <w:t>http://www.un.org/en/ga/search/view_doc.asp?symbol=S/RES/1405(2002)</w:t>
        </w:r>
      </w:hyperlink>
    </w:p>
    <w:p w:rsidR="009B636F" w:rsidRPr="009B636F" w:rsidRDefault="009B636F" w:rsidP="009B636F">
      <w:pPr>
        <w:pStyle w:val="a5"/>
        <w:bidi w:val="0"/>
        <w:spacing w:line="360" w:lineRule="auto"/>
        <w:jc w:val="both"/>
        <w:rPr>
          <w:rFonts w:asciiTheme="majorBidi" w:hAnsiTheme="majorBidi" w:cstheme="majorBidi"/>
          <w:sz w:val="28"/>
          <w:szCs w:val="28"/>
        </w:rPr>
      </w:pPr>
    </w:p>
    <w:p w:rsidR="009B636F" w:rsidRDefault="009B636F" w:rsidP="009B636F">
      <w:pPr>
        <w:pStyle w:val="a5"/>
        <w:bidi w:val="0"/>
        <w:spacing w:line="360" w:lineRule="auto"/>
        <w:jc w:val="both"/>
        <w:rPr>
          <w:rFonts w:asciiTheme="majorBidi" w:hAnsiTheme="majorBidi" w:cstheme="majorBidi"/>
          <w:sz w:val="28"/>
          <w:szCs w:val="28"/>
        </w:rPr>
      </w:pPr>
      <w:r w:rsidRPr="00573CC1">
        <w:rPr>
          <w:rFonts w:asciiTheme="majorBidi" w:hAnsiTheme="majorBidi" w:cstheme="majorBidi"/>
          <w:sz w:val="28"/>
          <w:szCs w:val="28"/>
        </w:rPr>
        <w:t>S/RES/1564 (2004)</w:t>
      </w:r>
      <w:r>
        <w:rPr>
          <w:rFonts w:asciiTheme="majorBidi" w:hAnsiTheme="majorBidi" w:cstheme="majorBidi"/>
          <w:sz w:val="28"/>
          <w:szCs w:val="28"/>
        </w:rPr>
        <w:t>.</w:t>
      </w:r>
      <w:r w:rsidRPr="00573CC1">
        <w:rPr>
          <w:rFonts w:asciiTheme="majorBidi" w:hAnsiTheme="majorBidi" w:cstheme="majorBidi"/>
          <w:sz w:val="28"/>
          <w:szCs w:val="28"/>
        </w:rPr>
        <w:t xml:space="preserve"> </w:t>
      </w:r>
    </w:p>
    <w:p w:rsidR="009B636F" w:rsidRDefault="009B636F" w:rsidP="009B636F">
      <w:pPr>
        <w:pStyle w:val="a5"/>
        <w:bidi w:val="0"/>
        <w:spacing w:line="360" w:lineRule="auto"/>
        <w:jc w:val="both"/>
        <w:rPr>
          <w:rFonts w:asciiTheme="majorBidi" w:hAnsiTheme="majorBidi" w:cstheme="majorBidi"/>
          <w:sz w:val="28"/>
          <w:szCs w:val="28"/>
        </w:rPr>
      </w:pPr>
      <w:hyperlink r:id="rId61" w:history="1">
        <w:r w:rsidRPr="00164377">
          <w:rPr>
            <w:rStyle w:val="Hyperlink"/>
            <w:rFonts w:asciiTheme="majorBidi" w:hAnsiTheme="majorBidi" w:cstheme="majorBidi"/>
            <w:sz w:val="28"/>
            <w:szCs w:val="28"/>
          </w:rPr>
          <w:t>http://www.un.org/en/ga/search/view_doc.asp?symbol=S/RES/1564(2004)</w:t>
        </w:r>
      </w:hyperlink>
    </w:p>
    <w:p w:rsidR="009B636F" w:rsidRPr="00573CC1" w:rsidRDefault="009B636F" w:rsidP="009B636F">
      <w:pPr>
        <w:pStyle w:val="a5"/>
        <w:bidi w:val="0"/>
        <w:spacing w:line="360" w:lineRule="auto"/>
        <w:jc w:val="both"/>
        <w:rPr>
          <w:rFonts w:asciiTheme="majorBidi" w:hAnsiTheme="majorBidi" w:cstheme="majorBidi"/>
          <w:sz w:val="28"/>
          <w:szCs w:val="28"/>
          <w:rtl/>
        </w:rPr>
      </w:pPr>
    </w:p>
    <w:p w:rsidR="009B636F" w:rsidRDefault="009B636F" w:rsidP="009B636F">
      <w:pPr>
        <w:pStyle w:val="a5"/>
        <w:bidi w:val="0"/>
        <w:spacing w:line="360" w:lineRule="auto"/>
        <w:jc w:val="both"/>
        <w:rPr>
          <w:rFonts w:asciiTheme="majorBidi" w:hAnsiTheme="majorBidi" w:cstheme="majorBidi"/>
          <w:sz w:val="28"/>
          <w:szCs w:val="28"/>
        </w:rPr>
      </w:pPr>
      <w:r w:rsidRPr="00573CC1">
        <w:rPr>
          <w:rFonts w:asciiTheme="majorBidi" w:hAnsiTheme="majorBidi" w:cstheme="majorBidi"/>
          <w:sz w:val="28"/>
          <w:szCs w:val="28"/>
        </w:rPr>
        <w:t>S/RES/1593 (2005)</w:t>
      </w:r>
      <w:r>
        <w:rPr>
          <w:rFonts w:asciiTheme="majorBidi" w:hAnsiTheme="majorBidi" w:cstheme="majorBidi"/>
          <w:sz w:val="28"/>
          <w:szCs w:val="28"/>
        </w:rPr>
        <w:t>.</w:t>
      </w:r>
      <w:r w:rsidRPr="00573CC1">
        <w:rPr>
          <w:rFonts w:asciiTheme="majorBidi" w:hAnsiTheme="majorBidi" w:cstheme="majorBidi"/>
          <w:sz w:val="28"/>
          <w:szCs w:val="28"/>
        </w:rPr>
        <w:t xml:space="preserve"> </w:t>
      </w:r>
    </w:p>
    <w:p w:rsidR="009B636F" w:rsidRDefault="009B636F" w:rsidP="009B636F">
      <w:pPr>
        <w:pStyle w:val="a5"/>
        <w:bidi w:val="0"/>
        <w:spacing w:line="360" w:lineRule="auto"/>
        <w:jc w:val="both"/>
        <w:rPr>
          <w:rFonts w:asciiTheme="majorBidi" w:hAnsiTheme="majorBidi" w:cstheme="majorBidi"/>
          <w:sz w:val="28"/>
          <w:szCs w:val="28"/>
        </w:rPr>
      </w:pPr>
      <w:hyperlink r:id="rId62" w:history="1">
        <w:r w:rsidRPr="00164377">
          <w:rPr>
            <w:rStyle w:val="Hyperlink"/>
            <w:rFonts w:asciiTheme="majorBidi" w:hAnsiTheme="majorBidi" w:cstheme="majorBidi"/>
            <w:sz w:val="28"/>
            <w:szCs w:val="28"/>
          </w:rPr>
          <w:t>http://www.un.org/en/ga/search/view_doc.asp?symbol=S/RES/1593(2005)</w:t>
        </w:r>
      </w:hyperlink>
    </w:p>
    <w:p w:rsidR="009B636F" w:rsidRDefault="009B636F" w:rsidP="009B636F">
      <w:pPr>
        <w:pStyle w:val="a5"/>
        <w:spacing w:line="360" w:lineRule="auto"/>
        <w:jc w:val="both"/>
        <w:rPr>
          <w:sz w:val="28"/>
          <w:szCs w:val="28"/>
          <w:rtl/>
        </w:rPr>
      </w:pPr>
    </w:p>
    <w:p w:rsidR="009B636F" w:rsidRDefault="009B636F" w:rsidP="009B636F">
      <w:pPr>
        <w:pStyle w:val="a5"/>
        <w:bidi w:val="0"/>
        <w:spacing w:line="360" w:lineRule="auto"/>
        <w:jc w:val="both"/>
        <w:rPr>
          <w:rFonts w:asciiTheme="majorBidi" w:hAnsiTheme="majorBidi" w:cstheme="majorBidi"/>
          <w:sz w:val="28"/>
          <w:szCs w:val="28"/>
        </w:rPr>
      </w:pPr>
      <w:r w:rsidRPr="00573CC1">
        <w:rPr>
          <w:rFonts w:asciiTheme="majorBidi" w:hAnsiTheme="majorBidi" w:cstheme="majorBidi"/>
          <w:sz w:val="28"/>
          <w:szCs w:val="28"/>
        </w:rPr>
        <w:t>S/RES/1690 (2006)</w:t>
      </w:r>
      <w:r>
        <w:rPr>
          <w:rFonts w:asciiTheme="majorBidi" w:hAnsiTheme="majorBidi" w:cstheme="majorBidi"/>
          <w:sz w:val="28"/>
          <w:szCs w:val="28"/>
        </w:rPr>
        <w:t>.</w:t>
      </w:r>
      <w:r w:rsidRPr="00573CC1">
        <w:rPr>
          <w:rFonts w:asciiTheme="majorBidi" w:hAnsiTheme="majorBidi" w:cstheme="majorBidi"/>
          <w:sz w:val="28"/>
          <w:szCs w:val="28"/>
        </w:rPr>
        <w:t xml:space="preserve"> </w:t>
      </w:r>
    </w:p>
    <w:p w:rsidR="009B636F" w:rsidRDefault="009B636F" w:rsidP="009B636F">
      <w:pPr>
        <w:pStyle w:val="a5"/>
        <w:bidi w:val="0"/>
        <w:spacing w:line="360" w:lineRule="auto"/>
        <w:jc w:val="both"/>
        <w:rPr>
          <w:rFonts w:asciiTheme="majorBidi" w:hAnsiTheme="majorBidi" w:cstheme="majorBidi"/>
          <w:sz w:val="28"/>
          <w:szCs w:val="28"/>
        </w:rPr>
      </w:pPr>
      <w:hyperlink r:id="rId63" w:history="1">
        <w:r w:rsidRPr="00164377">
          <w:rPr>
            <w:rStyle w:val="Hyperlink"/>
            <w:rFonts w:asciiTheme="majorBidi" w:hAnsiTheme="majorBidi" w:cstheme="majorBidi"/>
            <w:sz w:val="28"/>
            <w:szCs w:val="28"/>
          </w:rPr>
          <w:t>http://www.un.org/en/ga/search/view_doc.asp?symbol=S/RES/1690(2006)</w:t>
        </w:r>
      </w:hyperlink>
    </w:p>
    <w:p w:rsidR="009B636F" w:rsidRPr="00573CC1" w:rsidRDefault="009B636F" w:rsidP="009B636F">
      <w:pPr>
        <w:pStyle w:val="a5"/>
        <w:bidi w:val="0"/>
        <w:spacing w:line="360" w:lineRule="auto"/>
        <w:jc w:val="both"/>
        <w:rPr>
          <w:rFonts w:asciiTheme="majorBidi" w:hAnsiTheme="majorBidi" w:cstheme="majorBidi"/>
          <w:sz w:val="28"/>
          <w:szCs w:val="28"/>
        </w:rPr>
      </w:pPr>
    </w:p>
    <w:p w:rsidR="009B636F" w:rsidRDefault="009B636F" w:rsidP="009B636F">
      <w:pPr>
        <w:pStyle w:val="a5"/>
        <w:bidi w:val="0"/>
        <w:spacing w:line="360" w:lineRule="auto"/>
        <w:jc w:val="both"/>
        <w:rPr>
          <w:rFonts w:asciiTheme="majorBidi" w:hAnsiTheme="majorBidi" w:cstheme="majorBidi"/>
          <w:sz w:val="28"/>
          <w:szCs w:val="28"/>
        </w:rPr>
      </w:pPr>
      <w:r w:rsidRPr="00573CC1">
        <w:rPr>
          <w:rFonts w:asciiTheme="majorBidi" w:hAnsiTheme="majorBidi" w:cstheme="majorBidi"/>
          <w:sz w:val="28"/>
          <w:szCs w:val="28"/>
        </w:rPr>
        <w:t>S/RES/1757 (2007)</w:t>
      </w:r>
      <w:r>
        <w:rPr>
          <w:rFonts w:asciiTheme="majorBidi" w:hAnsiTheme="majorBidi" w:cstheme="majorBidi"/>
          <w:sz w:val="28"/>
          <w:szCs w:val="28"/>
        </w:rPr>
        <w:t>.</w:t>
      </w:r>
      <w:r w:rsidRPr="00573CC1">
        <w:rPr>
          <w:rFonts w:asciiTheme="majorBidi" w:hAnsiTheme="majorBidi" w:cstheme="majorBidi"/>
          <w:sz w:val="28"/>
          <w:szCs w:val="28"/>
        </w:rPr>
        <w:t xml:space="preserve"> </w:t>
      </w:r>
    </w:p>
    <w:p w:rsidR="009B636F" w:rsidRDefault="009B636F" w:rsidP="009B636F">
      <w:pPr>
        <w:pStyle w:val="a5"/>
        <w:bidi w:val="0"/>
        <w:spacing w:line="360" w:lineRule="auto"/>
        <w:jc w:val="both"/>
        <w:rPr>
          <w:rFonts w:asciiTheme="majorBidi" w:hAnsiTheme="majorBidi" w:cstheme="majorBidi"/>
          <w:sz w:val="28"/>
          <w:szCs w:val="28"/>
        </w:rPr>
      </w:pPr>
      <w:hyperlink r:id="rId64" w:history="1">
        <w:r w:rsidRPr="00164377">
          <w:rPr>
            <w:rStyle w:val="Hyperlink"/>
            <w:rFonts w:asciiTheme="majorBidi" w:hAnsiTheme="majorBidi" w:cstheme="majorBidi"/>
            <w:sz w:val="28"/>
            <w:szCs w:val="28"/>
          </w:rPr>
          <w:t>http://www.un.org/en/ga/search/view_doc.asp?symbol=S/RES/1757(2007)</w:t>
        </w:r>
      </w:hyperlink>
    </w:p>
    <w:p w:rsidR="009B636F" w:rsidRDefault="009B636F" w:rsidP="009B636F">
      <w:pPr>
        <w:pStyle w:val="a5"/>
        <w:bidi w:val="0"/>
        <w:spacing w:line="360" w:lineRule="auto"/>
        <w:jc w:val="both"/>
        <w:rPr>
          <w:rFonts w:asciiTheme="majorBidi" w:hAnsiTheme="majorBidi" w:cstheme="majorBidi"/>
          <w:sz w:val="28"/>
          <w:szCs w:val="28"/>
        </w:rPr>
      </w:pPr>
    </w:p>
    <w:p w:rsidR="009B636F" w:rsidRDefault="009B636F" w:rsidP="009B636F">
      <w:pPr>
        <w:pStyle w:val="a5"/>
        <w:bidi w:val="0"/>
        <w:spacing w:line="360" w:lineRule="auto"/>
        <w:jc w:val="both"/>
        <w:rPr>
          <w:rFonts w:asciiTheme="majorBidi" w:hAnsiTheme="majorBidi" w:cstheme="majorBidi"/>
          <w:sz w:val="28"/>
          <w:szCs w:val="28"/>
        </w:rPr>
      </w:pPr>
      <w:r w:rsidRPr="00573CC1">
        <w:rPr>
          <w:rFonts w:asciiTheme="majorBidi" w:hAnsiTheme="majorBidi" w:cstheme="majorBidi"/>
          <w:sz w:val="28"/>
          <w:szCs w:val="28"/>
        </w:rPr>
        <w:t>S/RES/2127 (2013)</w:t>
      </w:r>
      <w:r>
        <w:rPr>
          <w:rFonts w:asciiTheme="majorBidi" w:hAnsiTheme="majorBidi" w:cstheme="majorBidi"/>
          <w:sz w:val="28"/>
          <w:szCs w:val="28"/>
        </w:rPr>
        <w:t>.</w:t>
      </w:r>
      <w:r w:rsidRPr="00573CC1">
        <w:rPr>
          <w:rFonts w:asciiTheme="majorBidi" w:hAnsiTheme="majorBidi" w:cstheme="majorBidi"/>
          <w:sz w:val="28"/>
          <w:szCs w:val="28"/>
        </w:rPr>
        <w:t xml:space="preserve"> </w:t>
      </w:r>
    </w:p>
    <w:p w:rsidR="009B636F" w:rsidRDefault="009B636F" w:rsidP="009B636F">
      <w:pPr>
        <w:pStyle w:val="a5"/>
        <w:bidi w:val="0"/>
        <w:spacing w:line="360" w:lineRule="auto"/>
        <w:jc w:val="both"/>
        <w:rPr>
          <w:rFonts w:asciiTheme="majorBidi" w:hAnsiTheme="majorBidi" w:cstheme="majorBidi"/>
          <w:sz w:val="28"/>
          <w:szCs w:val="28"/>
        </w:rPr>
      </w:pPr>
      <w:hyperlink r:id="rId65" w:history="1">
        <w:r w:rsidRPr="00164377">
          <w:rPr>
            <w:rStyle w:val="Hyperlink"/>
            <w:rFonts w:asciiTheme="majorBidi" w:hAnsiTheme="majorBidi" w:cstheme="majorBidi"/>
            <w:sz w:val="28"/>
            <w:szCs w:val="28"/>
          </w:rPr>
          <w:t>http://www.un.org/en/ga/search/view_doc.asp?symbol=S/RES/2127(2013)</w:t>
        </w:r>
      </w:hyperlink>
    </w:p>
    <w:p w:rsidR="009B636F" w:rsidRPr="009B636F" w:rsidRDefault="009B636F" w:rsidP="009B636F">
      <w:pPr>
        <w:pStyle w:val="a5"/>
        <w:spacing w:line="360" w:lineRule="auto"/>
        <w:jc w:val="both"/>
        <w:rPr>
          <w:rFonts w:cs="David"/>
          <w:sz w:val="28"/>
          <w:szCs w:val="28"/>
          <w:rtl/>
        </w:rPr>
      </w:pPr>
    </w:p>
    <w:p w:rsidR="009B636F" w:rsidRPr="009B636F" w:rsidRDefault="009B636F" w:rsidP="009B636F">
      <w:pPr>
        <w:pStyle w:val="a5"/>
        <w:spacing w:line="360" w:lineRule="auto"/>
        <w:jc w:val="both"/>
        <w:rPr>
          <w:rFonts w:cs="David"/>
          <w:sz w:val="28"/>
          <w:szCs w:val="28"/>
          <w:rtl/>
        </w:rPr>
      </w:pPr>
      <w:r w:rsidRPr="009B636F">
        <w:rPr>
          <w:rFonts w:cs="David" w:hint="cs"/>
          <w:sz w:val="28"/>
          <w:szCs w:val="28"/>
          <w:rtl/>
        </w:rPr>
        <w:t>העצרת הכללית</w:t>
      </w:r>
    </w:p>
    <w:p w:rsidR="009B636F" w:rsidRPr="009B636F" w:rsidRDefault="009B636F" w:rsidP="009B636F">
      <w:pPr>
        <w:pStyle w:val="a5"/>
        <w:bidi w:val="0"/>
        <w:spacing w:line="360" w:lineRule="auto"/>
        <w:jc w:val="both"/>
        <w:rPr>
          <w:rFonts w:cs="David"/>
          <w:sz w:val="28"/>
          <w:szCs w:val="28"/>
        </w:rPr>
      </w:pPr>
    </w:p>
    <w:p w:rsidR="009B636F" w:rsidRPr="00B726E5" w:rsidRDefault="009B636F" w:rsidP="009B636F">
      <w:pPr>
        <w:pStyle w:val="a5"/>
        <w:bidi w:val="0"/>
        <w:spacing w:line="360" w:lineRule="auto"/>
        <w:jc w:val="both"/>
        <w:rPr>
          <w:rFonts w:asciiTheme="majorBidi" w:hAnsiTheme="majorBidi" w:cstheme="majorBidi"/>
          <w:sz w:val="28"/>
          <w:szCs w:val="28"/>
        </w:rPr>
      </w:pPr>
      <w:r w:rsidRPr="00B726E5">
        <w:rPr>
          <w:rFonts w:asciiTheme="majorBidi" w:hAnsiTheme="majorBidi" w:cstheme="majorBidi"/>
          <w:sz w:val="28"/>
          <w:szCs w:val="28"/>
        </w:rPr>
        <w:t>Declaration on fact-finding by the United Nations in the field of the Maintenance of International Peace and Security, A/RES/46/59</w:t>
      </w:r>
      <w:r>
        <w:rPr>
          <w:rFonts w:asciiTheme="majorBidi" w:hAnsiTheme="majorBidi" w:cstheme="majorBidi"/>
          <w:sz w:val="28"/>
          <w:szCs w:val="28"/>
        </w:rPr>
        <w:t>.</w:t>
      </w:r>
      <w:r w:rsidRPr="00B726E5">
        <w:rPr>
          <w:rFonts w:asciiTheme="majorBidi" w:hAnsiTheme="majorBidi" w:cstheme="majorBidi"/>
          <w:sz w:val="28"/>
          <w:szCs w:val="28"/>
        </w:rPr>
        <w:t xml:space="preserve"> </w:t>
      </w:r>
    </w:p>
    <w:p w:rsidR="009B636F" w:rsidRPr="00B726E5" w:rsidRDefault="009B636F" w:rsidP="009B636F">
      <w:pPr>
        <w:pStyle w:val="a5"/>
        <w:bidi w:val="0"/>
        <w:spacing w:line="360" w:lineRule="auto"/>
        <w:jc w:val="both"/>
        <w:rPr>
          <w:rFonts w:asciiTheme="majorBidi" w:hAnsiTheme="majorBidi" w:cstheme="majorBidi"/>
          <w:sz w:val="28"/>
          <w:szCs w:val="28"/>
        </w:rPr>
      </w:pPr>
      <w:hyperlink r:id="rId66" w:history="1">
        <w:r w:rsidRPr="00B726E5">
          <w:rPr>
            <w:rStyle w:val="Hyperlink"/>
            <w:rFonts w:asciiTheme="majorBidi" w:hAnsiTheme="majorBidi" w:cstheme="majorBidi"/>
            <w:sz w:val="28"/>
            <w:szCs w:val="28"/>
          </w:rPr>
          <w:t>http://www.un.org/documents/ga/res/46/a46r059.htm</w:t>
        </w:r>
      </w:hyperlink>
    </w:p>
    <w:p w:rsidR="009B636F" w:rsidRPr="00B726E5" w:rsidRDefault="009B636F" w:rsidP="009B636F">
      <w:pPr>
        <w:pStyle w:val="a5"/>
        <w:bidi w:val="0"/>
        <w:spacing w:line="360" w:lineRule="auto"/>
        <w:jc w:val="both"/>
        <w:rPr>
          <w:rFonts w:asciiTheme="majorBidi" w:hAnsiTheme="majorBidi" w:cstheme="majorBidi"/>
          <w:sz w:val="28"/>
          <w:szCs w:val="28"/>
          <w:rtl/>
        </w:rPr>
      </w:pPr>
    </w:p>
    <w:p w:rsidR="009B636F" w:rsidRPr="00B726E5" w:rsidRDefault="009B636F" w:rsidP="009B636F">
      <w:pPr>
        <w:pStyle w:val="a5"/>
        <w:bidi w:val="0"/>
        <w:spacing w:line="360" w:lineRule="auto"/>
        <w:jc w:val="both"/>
        <w:rPr>
          <w:rFonts w:asciiTheme="majorBidi" w:hAnsiTheme="majorBidi" w:cstheme="majorBidi"/>
          <w:sz w:val="28"/>
          <w:szCs w:val="28"/>
        </w:rPr>
      </w:pPr>
      <w:r w:rsidRPr="00B726E5">
        <w:rPr>
          <w:rFonts w:asciiTheme="majorBidi" w:hAnsiTheme="majorBidi" w:cstheme="majorBidi"/>
          <w:sz w:val="28"/>
          <w:szCs w:val="28"/>
        </w:rPr>
        <w:t>Elimination of all forms of racial discrimination, A/RES/46/86</w:t>
      </w:r>
      <w:r>
        <w:rPr>
          <w:rFonts w:asciiTheme="majorBidi" w:hAnsiTheme="majorBidi" w:cstheme="majorBidi"/>
          <w:sz w:val="28"/>
          <w:szCs w:val="28"/>
        </w:rPr>
        <w:t>.</w:t>
      </w:r>
      <w:r w:rsidRPr="00B726E5">
        <w:rPr>
          <w:rFonts w:asciiTheme="majorBidi" w:hAnsiTheme="majorBidi" w:cstheme="majorBidi"/>
          <w:sz w:val="28"/>
          <w:szCs w:val="28"/>
        </w:rPr>
        <w:t xml:space="preserve"> </w:t>
      </w:r>
    </w:p>
    <w:p w:rsidR="009B636F" w:rsidRPr="00B726E5" w:rsidRDefault="009B636F" w:rsidP="009B636F">
      <w:pPr>
        <w:pStyle w:val="a5"/>
        <w:bidi w:val="0"/>
        <w:spacing w:line="360" w:lineRule="auto"/>
        <w:jc w:val="both"/>
        <w:rPr>
          <w:rFonts w:asciiTheme="majorBidi" w:hAnsiTheme="majorBidi" w:cstheme="majorBidi"/>
          <w:sz w:val="28"/>
          <w:szCs w:val="28"/>
        </w:rPr>
      </w:pPr>
      <w:hyperlink r:id="rId67" w:history="1">
        <w:r w:rsidRPr="00B726E5">
          <w:rPr>
            <w:rStyle w:val="Hyperlink"/>
            <w:rFonts w:asciiTheme="majorBidi" w:hAnsiTheme="majorBidi" w:cstheme="majorBidi"/>
            <w:sz w:val="28"/>
            <w:szCs w:val="28"/>
          </w:rPr>
          <w:t>http://www.un.org/en/ga/search/view_doc.asp?symbol=A/RES/46/86</w:t>
        </w:r>
      </w:hyperlink>
    </w:p>
    <w:p w:rsidR="009B636F" w:rsidRPr="00B726E5" w:rsidRDefault="009B636F" w:rsidP="009B636F">
      <w:pPr>
        <w:pStyle w:val="a5"/>
        <w:bidi w:val="0"/>
        <w:spacing w:line="360" w:lineRule="auto"/>
        <w:jc w:val="both"/>
        <w:rPr>
          <w:rFonts w:asciiTheme="majorBidi" w:hAnsiTheme="majorBidi" w:cstheme="majorBidi"/>
          <w:sz w:val="28"/>
          <w:szCs w:val="28"/>
        </w:rPr>
      </w:pPr>
    </w:p>
    <w:p w:rsidR="009B636F" w:rsidRPr="00B726E5" w:rsidRDefault="009B636F" w:rsidP="009B636F">
      <w:pPr>
        <w:pStyle w:val="a5"/>
        <w:bidi w:val="0"/>
        <w:spacing w:line="360" w:lineRule="auto"/>
        <w:jc w:val="both"/>
        <w:rPr>
          <w:rFonts w:asciiTheme="majorBidi" w:hAnsiTheme="majorBidi" w:cstheme="majorBidi"/>
          <w:sz w:val="28"/>
          <w:szCs w:val="28"/>
        </w:rPr>
      </w:pPr>
      <w:r w:rsidRPr="00B726E5">
        <w:rPr>
          <w:rFonts w:asciiTheme="majorBidi" w:hAnsiTheme="majorBidi" w:cstheme="majorBidi"/>
          <w:sz w:val="28"/>
          <w:szCs w:val="28"/>
        </w:rPr>
        <w:t xml:space="preserve">Elimination of all forms of racial discrimination, </w:t>
      </w:r>
      <w:hyperlink r:id="rId68" w:tgtFrame="_top" w:history="1">
        <w:r w:rsidRPr="00B726E5">
          <w:rPr>
            <w:rFonts w:asciiTheme="majorBidi" w:hAnsiTheme="majorBidi" w:cstheme="majorBidi"/>
            <w:sz w:val="28"/>
            <w:szCs w:val="28"/>
          </w:rPr>
          <w:t>A/RES/3379</w:t>
        </w:r>
      </w:hyperlink>
      <w:r>
        <w:rPr>
          <w:rFonts w:asciiTheme="majorBidi" w:hAnsiTheme="majorBidi" w:cstheme="majorBidi"/>
          <w:sz w:val="28"/>
          <w:szCs w:val="28"/>
        </w:rPr>
        <w:t>.</w:t>
      </w:r>
      <w:r w:rsidRPr="00B726E5">
        <w:rPr>
          <w:rFonts w:asciiTheme="majorBidi" w:hAnsiTheme="majorBidi" w:cstheme="majorBidi"/>
          <w:sz w:val="28"/>
          <w:szCs w:val="28"/>
        </w:rPr>
        <w:t xml:space="preserve"> </w:t>
      </w:r>
    </w:p>
    <w:p w:rsidR="009B636F" w:rsidRPr="00B726E5" w:rsidRDefault="009B636F" w:rsidP="009B636F">
      <w:pPr>
        <w:pStyle w:val="a5"/>
        <w:bidi w:val="0"/>
        <w:spacing w:line="360" w:lineRule="auto"/>
        <w:jc w:val="both"/>
        <w:rPr>
          <w:rFonts w:asciiTheme="majorBidi" w:hAnsiTheme="majorBidi" w:cstheme="majorBidi"/>
          <w:sz w:val="28"/>
          <w:szCs w:val="28"/>
        </w:rPr>
      </w:pPr>
      <w:hyperlink r:id="rId69" w:history="1">
        <w:r w:rsidRPr="00B726E5">
          <w:rPr>
            <w:rStyle w:val="Hyperlink"/>
            <w:rFonts w:asciiTheme="majorBidi" w:hAnsiTheme="majorBidi" w:cstheme="majorBidi"/>
            <w:sz w:val="28"/>
            <w:szCs w:val="28"/>
          </w:rPr>
          <w:t>http://www.un.org/en/ga/search/view_doc.asp?symbol=A/RES/3379(XXX)</w:t>
        </w:r>
      </w:hyperlink>
    </w:p>
    <w:p w:rsidR="009B636F" w:rsidRPr="009B636F" w:rsidRDefault="009B636F" w:rsidP="009B636F">
      <w:pPr>
        <w:pStyle w:val="a5"/>
        <w:bidi w:val="0"/>
        <w:spacing w:line="360" w:lineRule="auto"/>
        <w:jc w:val="both"/>
        <w:rPr>
          <w:rFonts w:asciiTheme="majorBidi" w:hAnsiTheme="majorBidi" w:cstheme="majorBidi"/>
          <w:sz w:val="28"/>
          <w:szCs w:val="28"/>
          <w:rtl/>
        </w:rPr>
      </w:pPr>
    </w:p>
    <w:p w:rsidR="009B636F" w:rsidRPr="009B636F" w:rsidRDefault="009B636F" w:rsidP="009B636F">
      <w:pPr>
        <w:pStyle w:val="a5"/>
        <w:bidi w:val="0"/>
        <w:spacing w:line="360" w:lineRule="auto"/>
        <w:jc w:val="both"/>
        <w:rPr>
          <w:rFonts w:asciiTheme="majorBidi" w:hAnsiTheme="majorBidi" w:cstheme="majorBidi"/>
          <w:sz w:val="28"/>
          <w:szCs w:val="28"/>
        </w:rPr>
      </w:pPr>
      <w:r w:rsidRPr="009B636F">
        <w:rPr>
          <w:rFonts w:asciiTheme="majorBidi" w:hAnsiTheme="majorBidi" w:cstheme="majorBidi"/>
          <w:sz w:val="28"/>
          <w:szCs w:val="28"/>
        </w:rPr>
        <w:t xml:space="preserve">Holocaust remembrance, A/RES/60/7. </w:t>
      </w:r>
    </w:p>
    <w:p w:rsidR="009B636F" w:rsidRPr="009B636F" w:rsidRDefault="009B636F" w:rsidP="009B636F">
      <w:pPr>
        <w:pStyle w:val="a5"/>
        <w:bidi w:val="0"/>
        <w:spacing w:line="360" w:lineRule="auto"/>
        <w:jc w:val="both"/>
        <w:rPr>
          <w:rFonts w:asciiTheme="majorBidi" w:hAnsiTheme="majorBidi" w:cstheme="majorBidi"/>
          <w:sz w:val="28"/>
          <w:szCs w:val="28"/>
        </w:rPr>
      </w:pPr>
      <w:hyperlink r:id="rId70" w:history="1">
        <w:r w:rsidRPr="009B636F">
          <w:rPr>
            <w:rStyle w:val="Hyperlink"/>
            <w:rFonts w:asciiTheme="majorBidi" w:hAnsiTheme="majorBidi" w:cstheme="majorBidi"/>
            <w:sz w:val="28"/>
            <w:szCs w:val="28"/>
          </w:rPr>
          <w:t>http://www.un.org/en/ga/search/view_doc.asp?symbol=A/RES/60/7</w:t>
        </w:r>
      </w:hyperlink>
    </w:p>
    <w:p w:rsidR="009B636F" w:rsidRPr="009B636F" w:rsidRDefault="009B636F" w:rsidP="009B636F">
      <w:pPr>
        <w:pStyle w:val="a5"/>
        <w:bidi w:val="0"/>
        <w:spacing w:line="360" w:lineRule="auto"/>
        <w:jc w:val="both"/>
        <w:rPr>
          <w:rFonts w:asciiTheme="majorBidi" w:hAnsiTheme="majorBidi" w:cstheme="majorBidi"/>
          <w:sz w:val="28"/>
          <w:szCs w:val="28"/>
          <w:rtl/>
        </w:rPr>
      </w:pPr>
    </w:p>
    <w:p w:rsidR="009B636F" w:rsidRPr="009B636F" w:rsidRDefault="009B636F" w:rsidP="009B636F">
      <w:pPr>
        <w:pStyle w:val="a5"/>
        <w:bidi w:val="0"/>
        <w:spacing w:line="360" w:lineRule="auto"/>
        <w:jc w:val="both"/>
        <w:rPr>
          <w:rFonts w:asciiTheme="majorBidi" w:hAnsiTheme="majorBidi" w:cstheme="majorBidi"/>
          <w:sz w:val="28"/>
          <w:szCs w:val="28"/>
        </w:rPr>
      </w:pPr>
      <w:r w:rsidRPr="009B636F">
        <w:rPr>
          <w:rFonts w:asciiTheme="majorBidi" w:hAnsiTheme="majorBidi" w:cstheme="majorBidi"/>
          <w:sz w:val="28"/>
          <w:szCs w:val="28"/>
        </w:rPr>
        <w:t xml:space="preserve">Illegal Israeli actions in Occupied East Jerusalem and the rest of the Occupied Palestinian Territory, A/RES/ES-10/10. </w:t>
      </w:r>
    </w:p>
    <w:p w:rsidR="009B636F" w:rsidRPr="009B636F" w:rsidRDefault="009B636F" w:rsidP="009B636F">
      <w:pPr>
        <w:pStyle w:val="a5"/>
        <w:bidi w:val="0"/>
        <w:spacing w:line="360" w:lineRule="auto"/>
        <w:jc w:val="both"/>
        <w:rPr>
          <w:rFonts w:asciiTheme="majorBidi" w:hAnsiTheme="majorBidi" w:cstheme="majorBidi"/>
          <w:sz w:val="28"/>
          <w:szCs w:val="28"/>
        </w:rPr>
      </w:pPr>
      <w:hyperlink r:id="rId71" w:history="1">
        <w:r w:rsidRPr="009B636F">
          <w:rPr>
            <w:rStyle w:val="Hyperlink"/>
            <w:rFonts w:asciiTheme="majorBidi" w:hAnsiTheme="majorBidi" w:cstheme="majorBidi"/>
            <w:sz w:val="28"/>
            <w:szCs w:val="28"/>
          </w:rPr>
          <w:t>http://www.un.org/en/ga/search/view_doc.asp?symbol=A/RES/ES-10/10</w:t>
        </w:r>
      </w:hyperlink>
    </w:p>
    <w:p w:rsidR="009B636F" w:rsidRPr="009B636F" w:rsidRDefault="009B636F" w:rsidP="009B636F">
      <w:pPr>
        <w:pStyle w:val="a5"/>
        <w:bidi w:val="0"/>
        <w:spacing w:line="360" w:lineRule="auto"/>
        <w:jc w:val="both"/>
        <w:rPr>
          <w:rFonts w:asciiTheme="majorBidi" w:hAnsiTheme="majorBidi" w:cstheme="majorBidi"/>
          <w:sz w:val="28"/>
          <w:szCs w:val="28"/>
          <w:rtl/>
        </w:rPr>
      </w:pPr>
    </w:p>
    <w:p w:rsidR="009B636F" w:rsidRPr="009B636F" w:rsidRDefault="009B636F" w:rsidP="009B636F">
      <w:pPr>
        <w:pStyle w:val="a5"/>
        <w:bidi w:val="0"/>
        <w:spacing w:line="360" w:lineRule="auto"/>
        <w:jc w:val="both"/>
        <w:rPr>
          <w:rFonts w:asciiTheme="majorBidi" w:hAnsiTheme="majorBidi" w:cstheme="majorBidi"/>
          <w:sz w:val="28"/>
          <w:szCs w:val="28"/>
        </w:rPr>
      </w:pPr>
      <w:r w:rsidRPr="009B636F">
        <w:rPr>
          <w:rFonts w:asciiTheme="majorBidi" w:hAnsiTheme="majorBidi" w:cstheme="majorBidi"/>
          <w:sz w:val="28"/>
          <w:szCs w:val="28"/>
        </w:rPr>
        <w:t>Respect for and implementation of human rights in occupied territories, GA Resolution 2443.</w:t>
      </w:r>
    </w:p>
    <w:p w:rsidR="009B636F" w:rsidRPr="009B636F" w:rsidRDefault="009B636F" w:rsidP="009B636F">
      <w:pPr>
        <w:pStyle w:val="a5"/>
        <w:bidi w:val="0"/>
        <w:spacing w:line="360" w:lineRule="auto"/>
        <w:jc w:val="both"/>
        <w:rPr>
          <w:rFonts w:asciiTheme="majorBidi" w:hAnsiTheme="majorBidi" w:cstheme="majorBidi"/>
          <w:sz w:val="28"/>
          <w:szCs w:val="28"/>
        </w:rPr>
      </w:pPr>
      <w:hyperlink r:id="rId72" w:history="1">
        <w:r w:rsidRPr="009B636F">
          <w:rPr>
            <w:rStyle w:val="Hyperlink"/>
            <w:rFonts w:asciiTheme="majorBidi" w:hAnsiTheme="majorBidi" w:cstheme="majorBidi"/>
            <w:sz w:val="28"/>
            <w:szCs w:val="28"/>
          </w:rPr>
          <w:t>http://www.un.org/en/ga/search/view_doc.asp?symbol=A/RES/2443(XXIII)</w:t>
        </w:r>
      </w:hyperlink>
    </w:p>
    <w:p w:rsidR="009B636F" w:rsidRPr="009B636F" w:rsidRDefault="009B636F" w:rsidP="009B636F">
      <w:pPr>
        <w:pStyle w:val="a5"/>
        <w:bidi w:val="0"/>
        <w:spacing w:line="360" w:lineRule="auto"/>
        <w:jc w:val="both"/>
        <w:rPr>
          <w:rFonts w:asciiTheme="majorBidi" w:hAnsiTheme="majorBidi" w:cstheme="majorBidi"/>
          <w:sz w:val="28"/>
          <w:szCs w:val="28"/>
          <w:rtl/>
        </w:rPr>
      </w:pPr>
    </w:p>
    <w:p w:rsidR="009B636F" w:rsidRPr="009B636F" w:rsidRDefault="009B636F" w:rsidP="009B636F">
      <w:pPr>
        <w:pStyle w:val="a5"/>
        <w:bidi w:val="0"/>
        <w:spacing w:line="360" w:lineRule="auto"/>
        <w:jc w:val="both"/>
        <w:rPr>
          <w:rFonts w:asciiTheme="majorBidi" w:hAnsiTheme="majorBidi" w:cstheme="majorBidi"/>
          <w:sz w:val="28"/>
          <w:szCs w:val="28"/>
        </w:rPr>
      </w:pPr>
      <w:r w:rsidRPr="009B636F">
        <w:rPr>
          <w:rFonts w:asciiTheme="majorBidi" w:hAnsiTheme="majorBidi" w:cstheme="majorBidi"/>
          <w:sz w:val="28"/>
          <w:szCs w:val="28"/>
        </w:rPr>
        <w:t xml:space="preserve">Respect for and implementation of human rights in occupied territories, GA Resolution 2545. </w:t>
      </w:r>
    </w:p>
    <w:p w:rsidR="009B636F" w:rsidRPr="009B636F" w:rsidRDefault="009B636F" w:rsidP="009B636F">
      <w:pPr>
        <w:pStyle w:val="a5"/>
        <w:bidi w:val="0"/>
        <w:spacing w:line="360" w:lineRule="auto"/>
        <w:jc w:val="both"/>
        <w:rPr>
          <w:rFonts w:asciiTheme="majorBidi" w:hAnsiTheme="majorBidi" w:cstheme="majorBidi"/>
          <w:sz w:val="28"/>
          <w:szCs w:val="28"/>
        </w:rPr>
      </w:pPr>
      <w:hyperlink r:id="rId73" w:history="1">
        <w:r w:rsidRPr="009B636F">
          <w:rPr>
            <w:rStyle w:val="Hyperlink"/>
            <w:rFonts w:asciiTheme="majorBidi" w:hAnsiTheme="majorBidi" w:cstheme="majorBidi"/>
            <w:sz w:val="28"/>
            <w:szCs w:val="28"/>
          </w:rPr>
          <w:t>http://www.un.org/en/ga/search/view_doc.asp?symbol=A/RES/2546(XXIV)</w:t>
        </w:r>
      </w:hyperlink>
    </w:p>
    <w:p w:rsidR="009B636F" w:rsidRPr="009B636F" w:rsidRDefault="009B636F" w:rsidP="009B636F">
      <w:pPr>
        <w:pStyle w:val="a5"/>
        <w:bidi w:val="0"/>
        <w:spacing w:line="360" w:lineRule="auto"/>
        <w:jc w:val="both"/>
        <w:rPr>
          <w:rFonts w:asciiTheme="majorBidi" w:hAnsiTheme="majorBidi" w:cstheme="majorBidi"/>
          <w:sz w:val="28"/>
          <w:szCs w:val="28"/>
          <w:rtl/>
        </w:rPr>
      </w:pPr>
    </w:p>
    <w:p w:rsidR="009B636F" w:rsidRPr="009B636F" w:rsidRDefault="009B636F" w:rsidP="009B636F">
      <w:pPr>
        <w:pStyle w:val="a5"/>
        <w:bidi w:val="0"/>
        <w:spacing w:line="360" w:lineRule="auto"/>
        <w:jc w:val="both"/>
        <w:rPr>
          <w:rFonts w:asciiTheme="majorBidi" w:hAnsiTheme="majorBidi" w:cstheme="majorBidi"/>
          <w:sz w:val="28"/>
          <w:szCs w:val="28"/>
        </w:rPr>
      </w:pPr>
      <w:r w:rsidRPr="009B636F">
        <w:rPr>
          <w:rFonts w:asciiTheme="majorBidi" w:hAnsiTheme="majorBidi" w:cstheme="majorBidi"/>
          <w:sz w:val="28"/>
          <w:szCs w:val="28"/>
        </w:rPr>
        <w:t xml:space="preserve">Science, technology and innovation for development, A/RES/68/220. </w:t>
      </w:r>
    </w:p>
    <w:p w:rsidR="009B636F" w:rsidRPr="009B636F" w:rsidRDefault="009B636F" w:rsidP="009B636F">
      <w:pPr>
        <w:pStyle w:val="a5"/>
        <w:bidi w:val="0"/>
        <w:spacing w:line="360" w:lineRule="auto"/>
        <w:jc w:val="both"/>
        <w:rPr>
          <w:rFonts w:asciiTheme="majorBidi" w:hAnsiTheme="majorBidi" w:cstheme="majorBidi"/>
          <w:sz w:val="28"/>
          <w:szCs w:val="28"/>
        </w:rPr>
      </w:pPr>
      <w:hyperlink r:id="rId74" w:history="1">
        <w:r w:rsidRPr="009B636F">
          <w:rPr>
            <w:rFonts w:asciiTheme="majorBidi" w:hAnsiTheme="majorBidi" w:cstheme="majorBidi"/>
            <w:sz w:val="28"/>
            <w:szCs w:val="28"/>
          </w:rPr>
          <w:t>http://www.un.org/en/ga/search/view_doc.asp?symbol=A/RES/68/220</w:t>
        </w:r>
      </w:hyperlink>
    </w:p>
    <w:p w:rsidR="009B636F" w:rsidRPr="009B636F" w:rsidRDefault="009B636F" w:rsidP="009B636F">
      <w:pPr>
        <w:pStyle w:val="a5"/>
        <w:bidi w:val="0"/>
        <w:spacing w:line="360" w:lineRule="auto"/>
        <w:jc w:val="both"/>
        <w:rPr>
          <w:rFonts w:asciiTheme="majorBidi" w:hAnsiTheme="majorBidi" w:cstheme="majorBidi"/>
          <w:sz w:val="28"/>
          <w:szCs w:val="28"/>
          <w:rtl/>
        </w:rPr>
      </w:pPr>
    </w:p>
    <w:p w:rsidR="00FA11B8" w:rsidRDefault="00FA11B8">
      <w:pPr>
        <w:bidi w:val="0"/>
        <w:rPr>
          <w:rFonts w:cs="David"/>
          <w:sz w:val="28"/>
          <w:szCs w:val="28"/>
          <w:rtl/>
        </w:rPr>
      </w:pPr>
      <w:r>
        <w:rPr>
          <w:rFonts w:cs="David"/>
          <w:sz w:val="28"/>
          <w:szCs w:val="28"/>
          <w:rtl/>
        </w:rPr>
        <w:br w:type="page"/>
      </w:r>
    </w:p>
    <w:p w:rsidR="009B636F" w:rsidRPr="009B636F" w:rsidRDefault="009B636F" w:rsidP="009B636F">
      <w:pPr>
        <w:pStyle w:val="a5"/>
        <w:spacing w:line="360" w:lineRule="auto"/>
        <w:jc w:val="both"/>
        <w:rPr>
          <w:rFonts w:cs="David"/>
          <w:sz w:val="28"/>
          <w:szCs w:val="28"/>
        </w:rPr>
      </w:pPr>
      <w:r w:rsidRPr="009B636F">
        <w:rPr>
          <w:rFonts w:cs="David" w:hint="cs"/>
          <w:sz w:val="28"/>
          <w:szCs w:val="28"/>
          <w:rtl/>
        </w:rPr>
        <w:lastRenderedPageBreak/>
        <w:t>נציבות/מועצת זכויות האדם</w:t>
      </w:r>
    </w:p>
    <w:p w:rsidR="009B636F" w:rsidRPr="009B636F" w:rsidRDefault="009B636F" w:rsidP="009B636F">
      <w:pPr>
        <w:pStyle w:val="a5"/>
        <w:bidi w:val="0"/>
        <w:spacing w:line="360" w:lineRule="auto"/>
        <w:jc w:val="both"/>
        <w:rPr>
          <w:rFonts w:cs="David"/>
          <w:sz w:val="28"/>
          <w:szCs w:val="28"/>
        </w:rPr>
      </w:pPr>
    </w:p>
    <w:p w:rsidR="009B636F" w:rsidRPr="00BD6052" w:rsidRDefault="009B636F" w:rsidP="009B636F">
      <w:pPr>
        <w:pStyle w:val="a5"/>
        <w:bidi w:val="0"/>
        <w:spacing w:line="360" w:lineRule="auto"/>
        <w:jc w:val="both"/>
        <w:rPr>
          <w:rFonts w:asciiTheme="majorBidi" w:hAnsiTheme="majorBidi" w:cstheme="majorBidi"/>
          <w:sz w:val="28"/>
          <w:szCs w:val="28"/>
        </w:rPr>
      </w:pPr>
      <w:r w:rsidRPr="00BD6052">
        <w:rPr>
          <w:rFonts w:asciiTheme="majorBidi" w:eastAsia="Calibri" w:hAnsiTheme="majorBidi" w:cstheme="majorBidi"/>
          <w:sz w:val="28"/>
          <w:szCs w:val="28"/>
        </w:rPr>
        <w:t>Ensuring respect for international law in the Occupied Palestinian Territory, including East Jerusalem</w:t>
      </w:r>
      <w:r w:rsidRPr="00BD6052">
        <w:rPr>
          <w:rFonts w:asciiTheme="majorBidi" w:hAnsiTheme="majorBidi" w:cstheme="majorBidi"/>
          <w:sz w:val="28"/>
          <w:szCs w:val="28"/>
        </w:rPr>
        <w:t xml:space="preserve">, </w:t>
      </w:r>
      <w:r w:rsidRPr="00BD6052">
        <w:rPr>
          <w:rFonts w:asciiTheme="majorBidi" w:eastAsia="Calibri" w:hAnsiTheme="majorBidi" w:cstheme="majorBidi"/>
          <w:sz w:val="28"/>
          <w:szCs w:val="28"/>
        </w:rPr>
        <w:t>A/HRC/RES/S-21/1</w:t>
      </w:r>
      <w:r>
        <w:rPr>
          <w:rFonts w:asciiTheme="majorBidi" w:hAnsiTheme="majorBidi" w:cstheme="majorBidi"/>
          <w:sz w:val="28"/>
          <w:szCs w:val="28"/>
        </w:rPr>
        <w:t>.</w:t>
      </w:r>
      <w:r w:rsidRPr="00BD6052">
        <w:rPr>
          <w:rFonts w:asciiTheme="majorBidi" w:hAnsiTheme="majorBidi" w:cstheme="majorBidi"/>
          <w:sz w:val="28"/>
          <w:szCs w:val="28"/>
        </w:rPr>
        <w:t xml:space="preserve"> </w:t>
      </w:r>
    </w:p>
    <w:p w:rsidR="009B636F" w:rsidRPr="00BD6052" w:rsidRDefault="009B636F" w:rsidP="009B636F">
      <w:pPr>
        <w:pStyle w:val="a5"/>
        <w:bidi w:val="0"/>
        <w:spacing w:line="360" w:lineRule="auto"/>
        <w:jc w:val="both"/>
        <w:rPr>
          <w:rFonts w:asciiTheme="majorBidi" w:hAnsiTheme="majorBidi" w:cstheme="majorBidi"/>
          <w:sz w:val="28"/>
          <w:szCs w:val="28"/>
        </w:rPr>
      </w:pPr>
      <w:hyperlink r:id="rId75" w:history="1">
        <w:r w:rsidRPr="00BD6052">
          <w:rPr>
            <w:rStyle w:val="Hyperlink"/>
            <w:rFonts w:asciiTheme="majorBidi" w:hAnsiTheme="majorBidi" w:cstheme="majorBidi"/>
            <w:sz w:val="28"/>
            <w:szCs w:val="28"/>
          </w:rPr>
          <w:t>https://www.google.co.il/url?sa=t&amp;rct=j&amp;q=&amp;esrc=s&amp;source=web&amp;cd=1&amp;ved=0ahUKEwi-v_-vkKzMAhXKlxoKHdkGBEMQFggbMAA&amp;url=http%3A%2F%2Fwww.ohchr.org%2FDocuments%2FHRBodies%2FHRCouncil%2FSpecialSession%2FSession21%2FA-HRC-RES-S-21-1_en.doc&amp;usg=AFQjCNG-La7K_6IZop2w4tyHwLmZv0deSA&amp;sig2=bdlmgnu09A3SRCfI2_5UHg</w:t>
        </w:r>
      </w:hyperlink>
    </w:p>
    <w:p w:rsidR="009B636F" w:rsidRPr="009B636F" w:rsidRDefault="009B636F" w:rsidP="009B636F">
      <w:pPr>
        <w:bidi w:val="0"/>
        <w:spacing w:after="0" w:line="360" w:lineRule="auto"/>
        <w:jc w:val="both"/>
        <w:rPr>
          <w:rFonts w:asciiTheme="majorBidi" w:hAnsiTheme="majorBidi" w:cstheme="majorBidi"/>
          <w:sz w:val="28"/>
          <w:szCs w:val="28"/>
          <w:shd w:val="clear" w:color="auto" w:fill="FFFFFF"/>
        </w:rPr>
      </w:pPr>
    </w:p>
    <w:p w:rsidR="009B636F" w:rsidRPr="009B636F" w:rsidRDefault="009B636F" w:rsidP="009B636F">
      <w:pPr>
        <w:bidi w:val="0"/>
        <w:spacing w:after="0" w:line="360" w:lineRule="auto"/>
        <w:jc w:val="both"/>
        <w:rPr>
          <w:rFonts w:asciiTheme="majorBidi" w:eastAsia="Times New Roman" w:hAnsiTheme="majorBidi" w:cstheme="majorBidi"/>
          <w:sz w:val="28"/>
          <w:szCs w:val="28"/>
        </w:rPr>
      </w:pPr>
      <w:r w:rsidRPr="009B636F">
        <w:rPr>
          <w:rFonts w:asciiTheme="majorBidi" w:hAnsiTheme="majorBidi" w:cstheme="majorBidi"/>
          <w:sz w:val="28"/>
          <w:szCs w:val="28"/>
          <w:shd w:val="clear" w:color="auto" w:fill="FFFFFF"/>
        </w:rPr>
        <w:t>Grave and massive violations of the human rights of the Palestinian people by Israel</w:t>
      </w:r>
      <w:r w:rsidRPr="009B636F">
        <w:rPr>
          <w:rFonts w:asciiTheme="majorBidi" w:hAnsiTheme="majorBidi" w:cstheme="majorBidi"/>
          <w:sz w:val="28"/>
          <w:szCs w:val="28"/>
        </w:rPr>
        <w:t xml:space="preserve">, </w:t>
      </w:r>
      <w:r w:rsidRPr="009B636F">
        <w:rPr>
          <w:rFonts w:asciiTheme="majorBidi" w:hAnsiTheme="majorBidi" w:cstheme="majorBidi"/>
          <w:sz w:val="28"/>
          <w:szCs w:val="28"/>
          <w:shd w:val="clear" w:color="auto" w:fill="FFFFFF"/>
        </w:rPr>
        <w:t xml:space="preserve">The Commission on Human Rights, </w:t>
      </w:r>
      <w:r w:rsidRPr="009B636F">
        <w:rPr>
          <w:rFonts w:asciiTheme="majorBidi" w:eastAsia="Times New Roman" w:hAnsiTheme="majorBidi" w:cstheme="majorBidi"/>
          <w:sz w:val="28"/>
          <w:szCs w:val="28"/>
        </w:rPr>
        <w:t xml:space="preserve">E/CN.4/RES/S-5/1, 19 October 2000. </w:t>
      </w:r>
    </w:p>
    <w:p w:rsidR="009B636F" w:rsidRPr="009B636F" w:rsidRDefault="009B636F" w:rsidP="009B636F">
      <w:pPr>
        <w:bidi w:val="0"/>
        <w:spacing w:after="0" w:line="360" w:lineRule="auto"/>
        <w:jc w:val="both"/>
        <w:rPr>
          <w:rFonts w:asciiTheme="majorBidi" w:eastAsia="Times New Roman" w:hAnsiTheme="majorBidi" w:cstheme="majorBidi"/>
          <w:sz w:val="28"/>
          <w:szCs w:val="28"/>
        </w:rPr>
      </w:pPr>
      <w:hyperlink r:id="rId76" w:history="1">
        <w:r w:rsidRPr="009B636F">
          <w:rPr>
            <w:rStyle w:val="Hyperlink"/>
            <w:rFonts w:asciiTheme="majorBidi" w:eastAsia="Times New Roman" w:hAnsiTheme="majorBidi" w:cstheme="majorBidi"/>
            <w:sz w:val="28"/>
            <w:szCs w:val="28"/>
          </w:rPr>
          <w:t>https://unispal.un.org/DPA/DPR/unispal.nsf/0/5E0A5C4A07784BC885256A0200645731</w:t>
        </w:r>
      </w:hyperlink>
    </w:p>
    <w:p w:rsidR="009B636F" w:rsidRPr="009B636F" w:rsidRDefault="009B636F" w:rsidP="009B636F">
      <w:pPr>
        <w:bidi w:val="0"/>
        <w:spacing w:after="0" w:line="360" w:lineRule="auto"/>
        <w:jc w:val="both"/>
        <w:rPr>
          <w:rFonts w:asciiTheme="majorBidi" w:eastAsia="Times New Roman" w:hAnsiTheme="majorBidi" w:cstheme="majorBidi"/>
          <w:sz w:val="28"/>
          <w:szCs w:val="28"/>
          <w:rtl/>
        </w:rPr>
      </w:pPr>
    </w:p>
    <w:p w:rsidR="009B636F" w:rsidRPr="009B636F" w:rsidRDefault="009B636F" w:rsidP="009B636F">
      <w:pPr>
        <w:pStyle w:val="a5"/>
        <w:bidi w:val="0"/>
        <w:spacing w:line="360" w:lineRule="auto"/>
        <w:jc w:val="both"/>
        <w:rPr>
          <w:rFonts w:asciiTheme="majorBidi" w:hAnsiTheme="majorBidi" w:cstheme="majorBidi"/>
          <w:sz w:val="28"/>
          <w:szCs w:val="28"/>
        </w:rPr>
      </w:pPr>
      <w:r w:rsidRPr="009B636F">
        <w:rPr>
          <w:rFonts w:asciiTheme="majorBidi" w:hAnsiTheme="majorBidi" w:cstheme="majorBidi"/>
          <w:sz w:val="28"/>
          <w:szCs w:val="28"/>
        </w:rPr>
        <w:t>Human Rights Council, A/RES/60/251, 15.03.06.</w:t>
      </w:r>
    </w:p>
    <w:p w:rsidR="009B636F" w:rsidRPr="009B636F" w:rsidRDefault="009B636F" w:rsidP="009B636F">
      <w:pPr>
        <w:pStyle w:val="a5"/>
        <w:bidi w:val="0"/>
        <w:spacing w:line="360" w:lineRule="auto"/>
        <w:jc w:val="both"/>
        <w:rPr>
          <w:rFonts w:asciiTheme="majorBidi" w:hAnsiTheme="majorBidi" w:cstheme="majorBidi"/>
          <w:sz w:val="28"/>
          <w:szCs w:val="28"/>
        </w:rPr>
      </w:pPr>
      <w:hyperlink r:id="rId77" w:history="1">
        <w:r w:rsidRPr="009B636F">
          <w:rPr>
            <w:rStyle w:val="Hyperlink"/>
            <w:rFonts w:asciiTheme="majorBidi" w:hAnsiTheme="majorBidi" w:cstheme="majorBidi"/>
            <w:sz w:val="28"/>
            <w:szCs w:val="28"/>
          </w:rPr>
          <w:t>https://documents-dds-ny.un.org/doc/UNDOC/GEN/N05/502/66/PDF/N0550266.pdf?OpenElement</w:t>
        </w:r>
      </w:hyperlink>
    </w:p>
    <w:p w:rsidR="009B636F" w:rsidRPr="009B636F" w:rsidRDefault="009B636F" w:rsidP="009B636F">
      <w:pPr>
        <w:pStyle w:val="a5"/>
        <w:bidi w:val="0"/>
        <w:spacing w:line="360" w:lineRule="auto"/>
        <w:jc w:val="both"/>
        <w:rPr>
          <w:rFonts w:asciiTheme="majorBidi" w:hAnsiTheme="majorBidi" w:cstheme="majorBidi"/>
          <w:sz w:val="28"/>
          <w:szCs w:val="28"/>
          <w:rtl/>
        </w:rPr>
      </w:pPr>
    </w:p>
    <w:p w:rsidR="009B636F" w:rsidRPr="009B636F" w:rsidRDefault="009B636F" w:rsidP="009B636F">
      <w:pPr>
        <w:pStyle w:val="a5"/>
        <w:bidi w:val="0"/>
        <w:spacing w:line="360" w:lineRule="auto"/>
        <w:jc w:val="both"/>
        <w:rPr>
          <w:rFonts w:asciiTheme="majorBidi" w:hAnsiTheme="majorBidi" w:cstheme="majorBidi"/>
          <w:sz w:val="28"/>
          <w:szCs w:val="28"/>
          <w:shd w:val="clear" w:color="auto" w:fill="FFFFFF"/>
        </w:rPr>
      </w:pPr>
      <w:r w:rsidRPr="009B636F">
        <w:rPr>
          <w:rFonts w:asciiTheme="majorBidi" w:hAnsiTheme="majorBidi" w:cstheme="majorBidi"/>
          <w:sz w:val="28"/>
          <w:szCs w:val="28"/>
        </w:rPr>
        <w:t xml:space="preserve">Institution-building of the United Nations Human Rights Council, </w:t>
      </w:r>
      <w:r w:rsidRPr="009B636F">
        <w:rPr>
          <w:rFonts w:asciiTheme="majorBidi" w:hAnsiTheme="majorBidi" w:cstheme="majorBidi"/>
          <w:sz w:val="28"/>
          <w:szCs w:val="28"/>
          <w:shd w:val="clear" w:color="auto" w:fill="FFFFFF"/>
        </w:rPr>
        <w:t xml:space="preserve">HRC Res. 5/1, U.N. Doc. A/HRC/RES/5/1 (June 18, 2007). </w:t>
      </w:r>
    </w:p>
    <w:p w:rsidR="009B636F" w:rsidRPr="009B636F" w:rsidRDefault="009B636F" w:rsidP="009B636F">
      <w:pPr>
        <w:pStyle w:val="a5"/>
        <w:bidi w:val="0"/>
        <w:spacing w:line="360" w:lineRule="auto"/>
        <w:jc w:val="both"/>
        <w:rPr>
          <w:rFonts w:asciiTheme="majorBidi" w:hAnsiTheme="majorBidi" w:cstheme="majorBidi"/>
          <w:sz w:val="28"/>
          <w:szCs w:val="28"/>
          <w:shd w:val="clear" w:color="auto" w:fill="FFFFFF"/>
        </w:rPr>
      </w:pPr>
      <w:hyperlink r:id="rId78" w:history="1">
        <w:r w:rsidRPr="009B636F">
          <w:rPr>
            <w:rStyle w:val="Hyperlink"/>
            <w:rFonts w:asciiTheme="majorBidi" w:hAnsiTheme="majorBidi" w:cstheme="majorBidi"/>
            <w:sz w:val="28"/>
            <w:szCs w:val="28"/>
            <w:shd w:val="clear" w:color="auto" w:fill="FFFFFF"/>
          </w:rPr>
          <w:t>http://ap.ohchr.org/documents/E/HRC/resolutions/A_HRC_RES_5_1.doc</w:t>
        </w:r>
      </w:hyperlink>
    </w:p>
    <w:p w:rsidR="009B636F" w:rsidRPr="009B636F" w:rsidRDefault="009B636F" w:rsidP="009B636F">
      <w:pPr>
        <w:pStyle w:val="a5"/>
        <w:bidi w:val="0"/>
        <w:spacing w:line="360" w:lineRule="auto"/>
        <w:jc w:val="both"/>
        <w:rPr>
          <w:rFonts w:asciiTheme="majorBidi" w:hAnsiTheme="majorBidi" w:cstheme="majorBidi"/>
          <w:sz w:val="28"/>
          <w:szCs w:val="28"/>
          <w:rtl/>
        </w:rPr>
      </w:pPr>
    </w:p>
    <w:p w:rsidR="009B636F" w:rsidRPr="009B636F" w:rsidRDefault="009B636F" w:rsidP="009B636F">
      <w:pPr>
        <w:pStyle w:val="a5"/>
        <w:bidi w:val="0"/>
        <w:spacing w:line="360" w:lineRule="auto"/>
        <w:jc w:val="both"/>
        <w:rPr>
          <w:rFonts w:asciiTheme="majorBidi" w:hAnsiTheme="majorBidi" w:cstheme="majorBidi"/>
          <w:sz w:val="28"/>
          <w:szCs w:val="28"/>
        </w:rPr>
      </w:pPr>
      <w:r w:rsidRPr="009B636F">
        <w:rPr>
          <w:rFonts w:asciiTheme="majorBidi" w:hAnsiTheme="majorBidi" w:cstheme="majorBidi"/>
          <w:sz w:val="28"/>
          <w:szCs w:val="28"/>
        </w:rPr>
        <w:t xml:space="preserve">Israeli settlements in the Occupied Palestinian Territory, including East Jerusalem, and in the occupied Syrian Golan, A/HRC/RES/19/17. </w:t>
      </w:r>
    </w:p>
    <w:p w:rsidR="009B636F" w:rsidRPr="009B636F" w:rsidRDefault="009B636F" w:rsidP="009B636F">
      <w:pPr>
        <w:pStyle w:val="a5"/>
        <w:bidi w:val="0"/>
        <w:spacing w:line="360" w:lineRule="auto"/>
        <w:jc w:val="both"/>
        <w:rPr>
          <w:rFonts w:asciiTheme="majorBidi" w:hAnsiTheme="majorBidi" w:cstheme="majorBidi"/>
          <w:sz w:val="28"/>
          <w:szCs w:val="28"/>
        </w:rPr>
      </w:pPr>
      <w:hyperlink r:id="rId79" w:history="1">
        <w:r w:rsidRPr="009B636F">
          <w:rPr>
            <w:rStyle w:val="Hyperlink"/>
            <w:rFonts w:asciiTheme="majorBidi" w:hAnsiTheme="majorBidi" w:cstheme="majorBidi"/>
            <w:sz w:val="28"/>
            <w:szCs w:val="28"/>
          </w:rPr>
          <w:t>https://documents-dds-ny.un.org/doc/RESOLUTION/GEN/G12/130/13/PDF/G1213013.pdf?OpenElement</w:t>
        </w:r>
      </w:hyperlink>
    </w:p>
    <w:p w:rsidR="009B636F" w:rsidRPr="009B636F" w:rsidRDefault="009B636F" w:rsidP="009B636F">
      <w:pPr>
        <w:pStyle w:val="a5"/>
        <w:bidi w:val="0"/>
        <w:spacing w:line="360" w:lineRule="auto"/>
        <w:jc w:val="both"/>
        <w:rPr>
          <w:rFonts w:asciiTheme="majorBidi" w:hAnsiTheme="majorBidi" w:cstheme="majorBidi"/>
          <w:sz w:val="28"/>
          <w:szCs w:val="28"/>
          <w:rtl/>
        </w:rPr>
      </w:pPr>
    </w:p>
    <w:p w:rsidR="009B636F" w:rsidRDefault="009B636F" w:rsidP="009B636F">
      <w:pPr>
        <w:pStyle w:val="a5"/>
        <w:bidi w:val="0"/>
        <w:spacing w:line="360" w:lineRule="auto"/>
        <w:jc w:val="both"/>
        <w:rPr>
          <w:rFonts w:asciiTheme="majorBidi" w:hAnsiTheme="majorBidi" w:cstheme="majorBidi"/>
          <w:sz w:val="28"/>
          <w:szCs w:val="28"/>
        </w:rPr>
      </w:pPr>
      <w:r w:rsidRPr="00573CC1">
        <w:rPr>
          <w:rFonts w:asciiTheme="majorBidi" w:hAnsiTheme="majorBidi" w:cstheme="majorBidi"/>
          <w:sz w:val="28"/>
          <w:szCs w:val="28"/>
        </w:rPr>
        <w:t>Resolution adopted by the Council at its fifteenth special session, S-15/1. Situation of human rights in the Libyan Arab Jamahiriya, A/HRC/S-15/1</w:t>
      </w:r>
      <w:r>
        <w:rPr>
          <w:rFonts w:asciiTheme="majorBidi" w:hAnsiTheme="majorBidi" w:cstheme="majorBidi"/>
          <w:sz w:val="28"/>
          <w:szCs w:val="28"/>
        </w:rPr>
        <w:t>.</w:t>
      </w:r>
    </w:p>
    <w:p w:rsidR="009B636F" w:rsidRDefault="009B636F" w:rsidP="009B636F">
      <w:pPr>
        <w:pStyle w:val="a5"/>
        <w:bidi w:val="0"/>
        <w:spacing w:line="360" w:lineRule="auto"/>
        <w:jc w:val="both"/>
        <w:rPr>
          <w:rFonts w:asciiTheme="majorBidi" w:hAnsiTheme="majorBidi" w:cstheme="majorBidi"/>
          <w:sz w:val="28"/>
          <w:szCs w:val="28"/>
        </w:rPr>
      </w:pPr>
      <w:hyperlink r:id="rId80" w:history="1">
        <w:r w:rsidRPr="00164377">
          <w:rPr>
            <w:rStyle w:val="Hyperlink"/>
            <w:rFonts w:asciiTheme="majorBidi" w:hAnsiTheme="majorBidi" w:cstheme="majorBidi"/>
            <w:sz w:val="28"/>
            <w:szCs w:val="28"/>
          </w:rPr>
          <w:t>http://www2.ohchr.org/english/bodies/hrcouncil/docs/15session/HRC-S-15-1_AUV.pdf</w:t>
        </w:r>
      </w:hyperlink>
    </w:p>
    <w:p w:rsidR="009B636F" w:rsidRPr="00573CC1" w:rsidRDefault="009B636F" w:rsidP="009B636F">
      <w:pPr>
        <w:pStyle w:val="a5"/>
        <w:bidi w:val="0"/>
        <w:spacing w:line="360" w:lineRule="auto"/>
        <w:jc w:val="both"/>
        <w:rPr>
          <w:rFonts w:asciiTheme="majorBidi" w:hAnsiTheme="majorBidi" w:cstheme="majorBidi"/>
          <w:sz w:val="28"/>
          <w:szCs w:val="28"/>
          <w:rtl/>
        </w:rPr>
      </w:pPr>
    </w:p>
    <w:p w:rsidR="009B636F" w:rsidRDefault="009B636F" w:rsidP="009B636F">
      <w:pPr>
        <w:pStyle w:val="a5"/>
        <w:bidi w:val="0"/>
        <w:spacing w:line="360" w:lineRule="auto"/>
        <w:jc w:val="both"/>
        <w:rPr>
          <w:rFonts w:asciiTheme="majorBidi" w:hAnsiTheme="majorBidi" w:cstheme="majorBidi"/>
          <w:sz w:val="28"/>
          <w:szCs w:val="28"/>
        </w:rPr>
      </w:pPr>
      <w:r w:rsidRPr="00573CC1">
        <w:rPr>
          <w:rFonts w:asciiTheme="majorBidi" w:hAnsiTheme="majorBidi" w:cstheme="majorBidi"/>
          <w:sz w:val="28"/>
          <w:szCs w:val="28"/>
        </w:rPr>
        <w:t>Resolution adopted by the Human Rights Council, 22/13. Situation of human rights in the Democratic People’s Republic of Korea, A/HRC/RES/22/13</w:t>
      </w:r>
      <w:r>
        <w:rPr>
          <w:rFonts w:asciiTheme="majorBidi" w:hAnsiTheme="majorBidi" w:cstheme="majorBidi"/>
          <w:sz w:val="28"/>
          <w:szCs w:val="28"/>
        </w:rPr>
        <w:t>.</w:t>
      </w:r>
      <w:r w:rsidRPr="00573CC1">
        <w:rPr>
          <w:rFonts w:asciiTheme="majorBidi" w:hAnsiTheme="majorBidi" w:cstheme="majorBidi"/>
          <w:sz w:val="28"/>
          <w:szCs w:val="28"/>
        </w:rPr>
        <w:t xml:space="preserve"> </w:t>
      </w:r>
    </w:p>
    <w:p w:rsidR="009B636F" w:rsidRDefault="009B636F" w:rsidP="009B636F">
      <w:pPr>
        <w:pStyle w:val="a5"/>
        <w:bidi w:val="0"/>
        <w:spacing w:line="360" w:lineRule="auto"/>
        <w:jc w:val="both"/>
        <w:rPr>
          <w:rFonts w:asciiTheme="majorBidi" w:hAnsiTheme="majorBidi" w:cstheme="majorBidi"/>
          <w:sz w:val="28"/>
          <w:szCs w:val="28"/>
        </w:rPr>
      </w:pPr>
      <w:hyperlink r:id="rId81" w:history="1">
        <w:r w:rsidRPr="00164377">
          <w:rPr>
            <w:rStyle w:val="Hyperlink"/>
            <w:rFonts w:asciiTheme="majorBidi" w:hAnsiTheme="majorBidi" w:cstheme="majorBidi"/>
            <w:sz w:val="28"/>
            <w:szCs w:val="28"/>
          </w:rPr>
          <w:t>http://www.mofa.go.kr/mofat/htm/issue/nk_humanrights22_2013.pdf</w:t>
        </w:r>
      </w:hyperlink>
    </w:p>
    <w:p w:rsidR="009B636F" w:rsidRPr="00573CC1" w:rsidRDefault="009B636F" w:rsidP="009B636F">
      <w:pPr>
        <w:pStyle w:val="a5"/>
        <w:bidi w:val="0"/>
        <w:spacing w:line="360" w:lineRule="auto"/>
        <w:jc w:val="both"/>
        <w:rPr>
          <w:rFonts w:asciiTheme="majorBidi" w:hAnsiTheme="majorBidi" w:cstheme="majorBidi"/>
          <w:sz w:val="28"/>
          <w:szCs w:val="28"/>
          <w:rtl/>
        </w:rPr>
      </w:pPr>
    </w:p>
    <w:p w:rsidR="009B636F" w:rsidRDefault="009B636F" w:rsidP="009B636F">
      <w:pPr>
        <w:pStyle w:val="a5"/>
        <w:bidi w:val="0"/>
        <w:spacing w:line="360" w:lineRule="auto"/>
        <w:jc w:val="both"/>
        <w:rPr>
          <w:rFonts w:asciiTheme="majorBidi" w:hAnsiTheme="majorBidi" w:cstheme="majorBidi"/>
          <w:sz w:val="28"/>
          <w:szCs w:val="28"/>
        </w:rPr>
      </w:pPr>
      <w:r w:rsidRPr="00573CC1">
        <w:rPr>
          <w:rFonts w:asciiTheme="majorBidi" w:hAnsiTheme="majorBidi" w:cstheme="majorBidi"/>
          <w:sz w:val="28"/>
          <w:szCs w:val="28"/>
        </w:rPr>
        <w:t>Resolution adopted by the Human Rights Council, 25/1. Promoting reconciliation, accountability and human rights in Sri Lanka, A/HRC/RES/25/1</w:t>
      </w:r>
      <w:r>
        <w:rPr>
          <w:rFonts w:asciiTheme="majorBidi" w:hAnsiTheme="majorBidi" w:cstheme="majorBidi"/>
          <w:sz w:val="28"/>
          <w:szCs w:val="28"/>
        </w:rPr>
        <w:t>.</w:t>
      </w:r>
      <w:r w:rsidRPr="00573CC1">
        <w:rPr>
          <w:rFonts w:asciiTheme="majorBidi" w:hAnsiTheme="majorBidi" w:cstheme="majorBidi"/>
          <w:sz w:val="28"/>
          <w:szCs w:val="28"/>
        </w:rPr>
        <w:t xml:space="preserve"> </w:t>
      </w:r>
    </w:p>
    <w:p w:rsidR="009B636F" w:rsidRDefault="009B636F" w:rsidP="009B636F">
      <w:pPr>
        <w:pStyle w:val="a5"/>
        <w:bidi w:val="0"/>
        <w:spacing w:line="360" w:lineRule="auto"/>
        <w:jc w:val="both"/>
        <w:rPr>
          <w:rFonts w:asciiTheme="majorBidi" w:hAnsiTheme="majorBidi" w:cstheme="majorBidi"/>
          <w:sz w:val="28"/>
          <w:szCs w:val="28"/>
        </w:rPr>
      </w:pPr>
      <w:hyperlink r:id="rId82" w:history="1">
        <w:r w:rsidRPr="00164377">
          <w:rPr>
            <w:rStyle w:val="Hyperlink"/>
            <w:rFonts w:asciiTheme="majorBidi" w:hAnsiTheme="majorBidi" w:cstheme="majorBidi"/>
            <w:sz w:val="28"/>
            <w:szCs w:val="28"/>
          </w:rPr>
          <w:t>https://documents-dds-ny.un.org/doc/UNDOC/GEN/G14/132/86/PDF/G1413286.pdf?OpenElement</w:t>
        </w:r>
      </w:hyperlink>
    </w:p>
    <w:p w:rsidR="009B636F" w:rsidRPr="00573CC1" w:rsidRDefault="009B636F" w:rsidP="009B636F">
      <w:pPr>
        <w:pStyle w:val="a5"/>
        <w:bidi w:val="0"/>
        <w:spacing w:line="360" w:lineRule="auto"/>
        <w:jc w:val="both"/>
        <w:rPr>
          <w:rFonts w:asciiTheme="majorBidi" w:hAnsiTheme="majorBidi" w:cstheme="majorBidi"/>
          <w:sz w:val="28"/>
          <w:szCs w:val="28"/>
          <w:rtl/>
        </w:rPr>
      </w:pPr>
    </w:p>
    <w:p w:rsidR="009B636F" w:rsidRDefault="009B636F" w:rsidP="009B636F">
      <w:pPr>
        <w:pStyle w:val="a5"/>
        <w:bidi w:val="0"/>
        <w:spacing w:line="360" w:lineRule="auto"/>
        <w:jc w:val="both"/>
        <w:rPr>
          <w:rFonts w:asciiTheme="majorBidi" w:hAnsiTheme="majorBidi" w:cstheme="majorBidi"/>
          <w:sz w:val="28"/>
          <w:szCs w:val="28"/>
        </w:rPr>
      </w:pPr>
      <w:r w:rsidRPr="00573CC1">
        <w:rPr>
          <w:rFonts w:asciiTheme="majorBidi" w:hAnsiTheme="majorBidi" w:cstheme="majorBidi"/>
          <w:sz w:val="28"/>
          <w:szCs w:val="28"/>
        </w:rPr>
        <w:t>Resolution adopted by the Human Rights Council, S-16/1. The current human rights situation in the Syrian Arab Republic in the context of recent events, A/HRC/RES/S-16/1</w:t>
      </w:r>
      <w:r>
        <w:rPr>
          <w:rFonts w:asciiTheme="majorBidi" w:hAnsiTheme="majorBidi" w:cstheme="majorBidi"/>
          <w:sz w:val="28"/>
          <w:szCs w:val="28"/>
        </w:rPr>
        <w:t>.</w:t>
      </w:r>
      <w:r w:rsidRPr="00573CC1">
        <w:rPr>
          <w:rFonts w:asciiTheme="majorBidi" w:hAnsiTheme="majorBidi" w:cstheme="majorBidi"/>
          <w:sz w:val="28"/>
          <w:szCs w:val="28"/>
        </w:rPr>
        <w:t xml:space="preserve"> </w:t>
      </w:r>
    </w:p>
    <w:p w:rsidR="009B636F" w:rsidRDefault="009B636F" w:rsidP="009B636F">
      <w:pPr>
        <w:pStyle w:val="a5"/>
        <w:bidi w:val="0"/>
        <w:spacing w:line="360" w:lineRule="auto"/>
        <w:jc w:val="both"/>
        <w:rPr>
          <w:rFonts w:asciiTheme="majorBidi" w:hAnsiTheme="majorBidi" w:cstheme="majorBidi"/>
          <w:sz w:val="28"/>
          <w:szCs w:val="28"/>
        </w:rPr>
      </w:pPr>
      <w:hyperlink r:id="rId83" w:history="1">
        <w:r w:rsidRPr="00164377">
          <w:rPr>
            <w:rStyle w:val="Hyperlink"/>
            <w:rFonts w:asciiTheme="majorBidi" w:hAnsiTheme="majorBidi" w:cstheme="majorBidi"/>
            <w:sz w:val="28"/>
            <w:szCs w:val="28"/>
          </w:rPr>
          <w:t>http://www.lcil.cam.ac.uk/sites/default/files/LCIL/documents/arabspring/syria/Syria_5_Resolution_Human_Rights_Council.pdf</w:t>
        </w:r>
      </w:hyperlink>
    </w:p>
    <w:p w:rsidR="009B636F" w:rsidRPr="00573CC1" w:rsidRDefault="009B636F" w:rsidP="009B636F">
      <w:pPr>
        <w:pStyle w:val="a5"/>
        <w:bidi w:val="0"/>
        <w:spacing w:line="360" w:lineRule="auto"/>
        <w:jc w:val="both"/>
        <w:rPr>
          <w:rFonts w:asciiTheme="majorBidi" w:hAnsiTheme="majorBidi" w:cstheme="majorBidi"/>
          <w:sz w:val="28"/>
          <w:szCs w:val="28"/>
          <w:rtl/>
        </w:rPr>
      </w:pPr>
    </w:p>
    <w:p w:rsidR="009B636F" w:rsidRDefault="009B636F" w:rsidP="009B636F">
      <w:pPr>
        <w:pStyle w:val="a5"/>
        <w:bidi w:val="0"/>
        <w:spacing w:line="360" w:lineRule="auto"/>
        <w:jc w:val="both"/>
        <w:rPr>
          <w:rFonts w:asciiTheme="majorBidi" w:hAnsiTheme="majorBidi" w:cstheme="majorBidi"/>
          <w:sz w:val="28"/>
          <w:szCs w:val="28"/>
        </w:rPr>
      </w:pPr>
      <w:r w:rsidRPr="00573CC1">
        <w:rPr>
          <w:rFonts w:asciiTheme="majorBidi" w:hAnsiTheme="majorBidi" w:cstheme="majorBidi"/>
          <w:sz w:val="28"/>
          <w:szCs w:val="28"/>
        </w:rPr>
        <w:t>Resolution adopted by the Human Rights Council, S-17/1. Situation of human rights in the Syrian Arab Republic</w:t>
      </w:r>
      <w:r>
        <w:rPr>
          <w:rFonts w:asciiTheme="majorBidi" w:hAnsiTheme="majorBidi" w:cstheme="majorBidi"/>
          <w:sz w:val="28"/>
          <w:szCs w:val="28"/>
        </w:rPr>
        <w:t>.</w:t>
      </w:r>
      <w:r w:rsidRPr="00573CC1">
        <w:rPr>
          <w:rFonts w:asciiTheme="majorBidi" w:hAnsiTheme="majorBidi" w:cstheme="majorBidi"/>
          <w:sz w:val="28"/>
          <w:szCs w:val="28"/>
        </w:rPr>
        <w:t xml:space="preserve"> </w:t>
      </w:r>
    </w:p>
    <w:p w:rsidR="009B636F" w:rsidRDefault="009B636F" w:rsidP="009B636F">
      <w:pPr>
        <w:pStyle w:val="a5"/>
        <w:bidi w:val="0"/>
        <w:spacing w:line="360" w:lineRule="auto"/>
        <w:jc w:val="both"/>
        <w:rPr>
          <w:rFonts w:asciiTheme="majorBidi" w:hAnsiTheme="majorBidi" w:cstheme="majorBidi"/>
          <w:sz w:val="28"/>
          <w:szCs w:val="28"/>
        </w:rPr>
      </w:pPr>
      <w:hyperlink r:id="rId84" w:history="1">
        <w:r w:rsidRPr="00164377">
          <w:rPr>
            <w:rStyle w:val="Hyperlink"/>
            <w:rFonts w:asciiTheme="majorBidi" w:hAnsiTheme="majorBidi" w:cstheme="majorBidi"/>
            <w:sz w:val="28"/>
            <w:szCs w:val="28"/>
          </w:rPr>
          <w:t>http://www.ohchr.org/Documents/HRBodies/HRCouncil/CoISyria/ResS17_1.pdf</w:t>
        </w:r>
      </w:hyperlink>
    </w:p>
    <w:p w:rsidR="009B636F" w:rsidRPr="009B636F" w:rsidRDefault="009B636F" w:rsidP="009B636F">
      <w:pPr>
        <w:pStyle w:val="a5"/>
        <w:bidi w:val="0"/>
        <w:spacing w:line="360" w:lineRule="auto"/>
        <w:jc w:val="both"/>
        <w:rPr>
          <w:rFonts w:asciiTheme="majorBidi" w:hAnsiTheme="majorBidi" w:cstheme="majorBidi"/>
          <w:sz w:val="28"/>
          <w:szCs w:val="28"/>
        </w:rPr>
      </w:pPr>
    </w:p>
    <w:p w:rsidR="009B636F" w:rsidRPr="009B636F" w:rsidRDefault="009B636F" w:rsidP="009B636F">
      <w:pPr>
        <w:pStyle w:val="a5"/>
        <w:bidi w:val="0"/>
        <w:spacing w:line="360" w:lineRule="auto"/>
        <w:jc w:val="both"/>
        <w:rPr>
          <w:rFonts w:asciiTheme="majorBidi" w:hAnsiTheme="majorBidi" w:cstheme="majorBidi"/>
          <w:sz w:val="28"/>
          <w:szCs w:val="28"/>
          <w:shd w:val="clear" w:color="auto" w:fill="FFFFFF"/>
        </w:rPr>
      </w:pPr>
      <w:r w:rsidRPr="009B636F">
        <w:rPr>
          <w:rFonts w:asciiTheme="majorBidi" w:hAnsiTheme="majorBidi" w:cstheme="majorBidi"/>
          <w:sz w:val="28"/>
          <w:szCs w:val="28"/>
          <w:shd w:val="clear" w:color="auto" w:fill="FFFFFF"/>
        </w:rPr>
        <w:t>The grave attacks by Israeli forces against the humanitarian boat convoy, A/HRC/RES/14/1.</w:t>
      </w:r>
    </w:p>
    <w:p w:rsidR="009B636F" w:rsidRPr="009B636F" w:rsidRDefault="009B636F" w:rsidP="009B636F">
      <w:pPr>
        <w:pStyle w:val="a5"/>
        <w:bidi w:val="0"/>
        <w:spacing w:line="360" w:lineRule="auto"/>
        <w:jc w:val="both"/>
        <w:rPr>
          <w:rFonts w:asciiTheme="majorBidi" w:hAnsiTheme="majorBidi" w:cstheme="majorBidi"/>
          <w:sz w:val="28"/>
          <w:szCs w:val="28"/>
          <w:shd w:val="clear" w:color="auto" w:fill="FFFFFF"/>
        </w:rPr>
      </w:pPr>
      <w:hyperlink r:id="rId85" w:history="1">
        <w:r w:rsidRPr="009B636F">
          <w:rPr>
            <w:rStyle w:val="Hyperlink"/>
            <w:rFonts w:asciiTheme="majorBidi" w:hAnsiTheme="majorBidi" w:cstheme="majorBidi"/>
            <w:sz w:val="28"/>
            <w:szCs w:val="28"/>
            <w:shd w:val="clear" w:color="auto" w:fill="FFFFFF"/>
          </w:rPr>
          <w:t>https://documents-dds-ny.un.org/doc/UNDOC/GEN/G10/145/34/PDF/G1014534.pdf?OpenElement</w:t>
        </w:r>
      </w:hyperlink>
    </w:p>
    <w:p w:rsidR="009B636F" w:rsidRPr="009B636F" w:rsidRDefault="009B636F" w:rsidP="009B636F">
      <w:pPr>
        <w:pStyle w:val="a5"/>
        <w:bidi w:val="0"/>
        <w:spacing w:line="360" w:lineRule="auto"/>
        <w:jc w:val="both"/>
        <w:rPr>
          <w:rFonts w:asciiTheme="majorBidi" w:hAnsiTheme="majorBidi" w:cstheme="majorBidi"/>
          <w:sz w:val="28"/>
          <w:szCs w:val="28"/>
          <w:rtl/>
        </w:rPr>
      </w:pPr>
    </w:p>
    <w:p w:rsidR="009B636F" w:rsidRPr="009B636F" w:rsidRDefault="009B636F" w:rsidP="009B636F">
      <w:pPr>
        <w:bidi w:val="0"/>
        <w:spacing w:after="0" w:line="360" w:lineRule="auto"/>
        <w:jc w:val="both"/>
        <w:rPr>
          <w:rFonts w:asciiTheme="majorBidi" w:eastAsia="Times New Roman" w:hAnsiTheme="majorBidi" w:cstheme="majorBidi"/>
          <w:sz w:val="28"/>
          <w:szCs w:val="28"/>
        </w:rPr>
      </w:pPr>
      <w:r w:rsidRPr="009B636F">
        <w:rPr>
          <w:rFonts w:asciiTheme="majorBidi" w:eastAsia="Times New Roman" w:hAnsiTheme="majorBidi" w:cstheme="majorBidi"/>
          <w:sz w:val="28"/>
          <w:szCs w:val="28"/>
        </w:rPr>
        <w:t>UN Human Rights Council, Resolution S-2/1: The grave situation of human rights in Lebanon caused by Israeli military operations, 11 August 2006, Resolution S-2/1. </w:t>
      </w:r>
    </w:p>
    <w:p w:rsidR="009B636F" w:rsidRPr="009B636F" w:rsidRDefault="009B636F" w:rsidP="009B636F">
      <w:pPr>
        <w:bidi w:val="0"/>
        <w:spacing w:after="0" w:line="360" w:lineRule="auto"/>
        <w:jc w:val="both"/>
        <w:rPr>
          <w:rFonts w:asciiTheme="majorBidi" w:hAnsiTheme="majorBidi" w:cstheme="majorBidi"/>
          <w:sz w:val="28"/>
          <w:szCs w:val="28"/>
        </w:rPr>
      </w:pPr>
      <w:hyperlink r:id="rId86" w:history="1">
        <w:r w:rsidRPr="009B636F">
          <w:rPr>
            <w:rStyle w:val="Hyperlink"/>
            <w:rFonts w:asciiTheme="majorBidi" w:eastAsia="Times New Roman" w:hAnsiTheme="majorBidi" w:cstheme="majorBidi"/>
            <w:sz w:val="28"/>
            <w:szCs w:val="28"/>
          </w:rPr>
          <w:t>http://www.refworld.org/docid/47bae9cd2.html</w:t>
        </w:r>
      </w:hyperlink>
    </w:p>
    <w:p w:rsidR="009B636F" w:rsidRPr="009B636F" w:rsidRDefault="009B636F" w:rsidP="009B636F">
      <w:pPr>
        <w:pStyle w:val="a5"/>
        <w:bidi w:val="0"/>
        <w:spacing w:line="360" w:lineRule="auto"/>
        <w:jc w:val="both"/>
        <w:rPr>
          <w:rFonts w:asciiTheme="majorBidi" w:hAnsiTheme="majorBidi" w:cstheme="majorBidi"/>
          <w:sz w:val="28"/>
          <w:szCs w:val="28"/>
        </w:rPr>
      </w:pPr>
    </w:p>
    <w:p w:rsidR="009B636F" w:rsidRPr="009B636F" w:rsidRDefault="009B636F" w:rsidP="009B636F">
      <w:pPr>
        <w:pStyle w:val="a5"/>
        <w:bidi w:val="0"/>
        <w:spacing w:line="360" w:lineRule="auto"/>
        <w:jc w:val="both"/>
        <w:rPr>
          <w:rFonts w:asciiTheme="majorBidi" w:eastAsia="Times New Roman" w:hAnsiTheme="majorBidi" w:cstheme="majorBidi"/>
          <w:sz w:val="28"/>
          <w:szCs w:val="28"/>
        </w:rPr>
      </w:pPr>
      <w:r w:rsidRPr="009B636F">
        <w:rPr>
          <w:rFonts w:asciiTheme="majorBidi" w:eastAsia="Times New Roman" w:hAnsiTheme="majorBidi" w:cstheme="majorBidi"/>
          <w:sz w:val="28"/>
          <w:szCs w:val="28"/>
        </w:rPr>
        <w:t>UN Human Rights Council, Resolution S-3/1: Human rights violations emanating from Israeli military incursions in the Occupied Palestinian Territory, including the recent one in northern Gaza and the assault on Beit Hanoun, 15 November 2006, Resolution S-3/1. </w:t>
      </w:r>
    </w:p>
    <w:p w:rsidR="009B636F" w:rsidRPr="009B636F" w:rsidRDefault="009B636F" w:rsidP="009B636F">
      <w:pPr>
        <w:pStyle w:val="a5"/>
        <w:bidi w:val="0"/>
        <w:spacing w:line="360" w:lineRule="auto"/>
        <w:jc w:val="both"/>
        <w:rPr>
          <w:rFonts w:asciiTheme="majorBidi" w:eastAsia="Times New Roman" w:hAnsiTheme="majorBidi" w:cstheme="majorBidi"/>
          <w:sz w:val="28"/>
          <w:szCs w:val="28"/>
        </w:rPr>
      </w:pPr>
      <w:hyperlink r:id="rId87" w:history="1">
        <w:r w:rsidRPr="009B636F">
          <w:rPr>
            <w:rStyle w:val="Hyperlink"/>
            <w:rFonts w:asciiTheme="majorBidi" w:eastAsia="Times New Roman" w:hAnsiTheme="majorBidi" w:cstheme="majorBidi"/>
            <w:sz w:val="28"/>
            <w:szCs w:val="28"/>
          </w:rPr>
          <w:t>http://www.refworld.org/docid/47baec5c2.html</w:t>
        </w:r>
      </w:hyperlink>
    </w:p>
    <w:p w:rsidR="009B636F" w:rsidRPr="009B636F" w:rsidRDefault="009B636F" w:rsidP="009B636F">
      <w:pPr>
        <w:pStyle w:val="a5"/>
        <w:bidi w:val="0"/>
        <w:spacing w:line="360" w:lineRule="auto"/>
        <w:jc w:val="both"/>
        <w:rPr>
          <w:rFonts w:asciiTheme="majorBidi" w:hAnsiTheme="majorBidi" w:cstheme="majorBidi"/>
          <w:sz w:val="28"/>
          <w:szCs w:val="28"/>
        </w:rPr>
      </w:pPr>
    </w:p>
    <w:p w:rsidR="009B636F" w:rsidRPr="009B636F" w:rsidRDefault="009B636F" w:rsidP="009B636F">
      <w:pPr>
        <w:shd w:val="clear" w:color="auto" w:fill="FFFFFF"/>
        <w:bidi w:val="0"/>
        <w:spacing w:after="0" w:line="360" w:lineRule="auto"/>
        <w:jc w:val="both"/>
        <w:rPr>
          <w:rFonts w:asciiTheme="majorBidi" w:hAnsiTheme="majorBidi" w:cstheme="majorBidi"/>
          <w:sz w:val="28"/>
          <w:szCs w:val="28"/>
          <w:shd w:val="clear" w:color="auto" w:fill="FFFFFF"/>
        </w:rPr>
      </w:pPr>
      <w:r w:rsidRPr="009B636F">
        <w:rPr>
          <w:rFonts w:asciiTheme="majorBidi" w:hAnsiTheme="majorBidi" w:cstheme="majorBidi"/>
          <w:sz w:val="28"/>
          <w:szCs w:val="28"/>
          <w:shd w:val="clear" w:color="auto" w:fill="FFFFFF"/>
        </w:rPr>
        <w:t>UN Human Rights Council, The grave violations of human rights in the Occupied Palestinian Territory, particularly due to the recent Israeli military attacks </w:t>
      </w:r>
      <w:r w:rsidRPr="009B636F">
        <w:rPr>
          <w:rFonts w:asciiTheme="majorBidi" w:hAnsiTheme="majorBidi" w:cstheme="majorBidi"/>
          <w:sz w:val="28"/>
          <w:szCs w:val="28"/>
          <w:shd w:val="clear" w:color="auto" w:fill="FFFFFF"/>
        </w:rPr>
        <w:br/>
        <w:t xml:space="preserve">against the occupied Gaza Strip, A/HRC/RES/S-9/1. </w:t>
      </w:r>
    </w:p>
    <w:p w:rsidR="009B636F" w:rsidRPr="009B636F" w:rsidRDefault="009B636F" w:rsidP="009B636F">
      <w:pPr>
        <w:shd w:val="clear" w:color="auto" w:fill="FFFFFF"/>
        <w:bidi w:val="0"/>
        <w:spacing w:after="0" w:line="360" w:lineRule="auto"/>
        <w:jc w:val="both"/>
        <w:rPr>
          <w:rFonts w:asciiTheme="majorBidi" w:hAnsiTheme="majorBidi" w:cstheme="majorBidi"/>
          <w:sz w:val="28"/>
          <w:szCs w:val="28"/>
          <w:shd w:val="clear" w:color="auto" w:fill="FFFFFF"/>
        </w:rPr>
      </w:pPr>
      <w:hyperlink r:id="rId88" w:history="1">
        <w:r w:rsidRPr="009B636F">
          <w:rPr>
            <w:rStyle w:val="Hyperlink"/>
            <w:rFonts w:asciiTheme="majorBidi" w:hAnsiTheme="majorBidi" w:cstheme="majorBidi"/>
            <w:sz w:val="28"/>
            <w:szCs w:val="28"/>
            <w:shd w:val="clear" w:color="auto" w:fill="FFFFFF"/>
          </w:rPr>
          <w:t>https://unispal.un.org/DPA/DPR/unispal.nsf/0/404E93E166533F828525754E00559E30</w:t>
        </w:r>
      </w:hyperlink>
    </w:p>
    <w:p w:rsidR="009B636F" w:rsidRPr="009B636F" w:rsidRDefault="009B636F" w:rsidP="009B636F">
      <w:pPr>
        <w:pStyle w:val="a5"/>
        <w:bidi w:val="0"/>
        <w:spacing w:line="360" w:lineRule="auto"/>
        <w:jc w:val="both"/>
        <w:rPr>
          <w:rFonts w:asciiTheme="majorBidi" w:hAnsiTheme="majorBidi" w:cstheme="majorBidi"/>
          <w:sz w:val="28"/>
          <w:szCs w:val="28"/>
          <w:rtl/>
        </w:rPr>
      </w:pPr>
    </w:p>
    <w:p w:rsidR="00FA11B8" w:rsidRDefault="00FA11B8">
      <w:pPr>
        <w:bidi w:val="0"/>
        <w:rPr>
          <w:rFonts w:cs="David"/>
          <w:sz w:val="28"/>
          <w:szCs w:val="28"/>
          <w:rtl/>
        </w:rPr>
      </w:pPr>
      <w:r>
        <w:rPr>
          <w:rFonts w:cs="David"/>
          <w:sz w:val="28"/>
          <w:szCs w:val="28"/>
          <w:rtl/>
        </w:rPr>
        <w:br w:type="page"/>
      </w:r>
    </w:p>
    <w:p w:rsidR="009B636F" w:rsidRPr="009B636F" w:rsidRDefault="009B636F" w:rsidP="009B636F">
      <w:pPr>
        <w:pStyle w:val="a5"/>
        <w:spacing w:line="360" w:lineRule="auto"/>
        <w:jc w:val="both"/>
        <w:rPr>
          <w:rFonts w:cs="David"/>
          <w:sz w:val="28"/>
          <w:szCs w:val="28"/>
          <w:rtl/>
        </w:rPr>
      </w:pPr>
      <w:r w:rsidRPr="009B636F">
        <w:rPr>
          <w:rFonts w:cs="David" w:hint="cs"/>
          <w:sz w:val="28"/>
          <w:szCs w:val="28"/>
          <w:rtl/>
        </w:rPr>
        <w:lastRenderedPageBreak/>
        <w:t>אונסק"ו</w:t>
      </w:r>
    </w:p>
    <w:p w:rsidR="009B636F" w:rsidRPr="009B636F" w:rsidRDefault="009B636F" w:rsidP="009B636F">
      <w:pPr>
        <w:pStyle w:val="a5"/>
        <w:bidi w:val="0"/>
        <w:spacing w:line="360" w:lineRule="auto"/>
        <w:jc w:val="both"/>
        <w:rPr>
          <w:rFonts w:cs="David"/>
          <w:sz w:val="28"/>
          <w:szCs w:val="28"/>
        </w:rPr>
      </w:pPr>
    </w:p>
    <w:p w:rsidR="009B636F" w:rsidRPr="009B636F" w:rsidRDefault="009B636F" w:rsidP="009B636F">
      <w:pPr>
        <w:pStyle w:val="a5"/>
        <w:bidi w:val="0"/>
        <w:spacing w:line="360" w:lineRule="auto"/>
        <w:jc w:val="both"/>
        <w:rPr>
          <w:rFonts w:asciiTheme="majorBidi" w:hAnsiTheme="majorBidi" w:cstheme="majorBidi"/>
          <w:sz w:val="28"/>
          <w:szCs w:val="28"/>
        </w:rPr>
      </w:pPr>
      <w:r w:rsidRPr="009B636F">
        <w:rPr>
          <w:rFonts w:asciiTheme="majorBidi" w:hAnsiTheme="majorBidi" w:cstheme="majorBidi"/>
          <w:sz w:val="28"/>
          <w:szCs w:val="28"/>
        </w:rPr>
        <w:t>17 UNESCO General Conference, 1 RESOLUTIONS 106, UNESCO Doc. 17C/Res.10.1 (1972)</w:t>
      </w:r>
      <w:r w:rsidRPr="009B636F">
        <w:rPr>
          <w:rFonts w:asciiTheme="majorBidi" w:hAnsiTheme="majorBidi" w:cstheme="majorBidi"/>
          <w:sz w:val="28"/>
          <w:szCs w:val="28"/>
          <w:rtl/>
        </w:rPr>
        <w:t>.</w:t>
      </w:r>
      <w:r w:rsidRPr="009B636F">
        <w:rPr>
          <w:rFonts w:asciiTheme="majorBidi" w:hAnsiTheme="majorBidi" w:cstheme="majorBidi"/>
          <w:sz w:val="28"/>
          <w:szCs w:val="28"/>
        </w:rPr>
        <w:t xml:space="preserve"> </w:t>
      </w:r>
    </w:p>
    <w:p w:rsidR="009B636F" w:rsidRPr="009B636F" w:rsidRDefault="009B636F" w:rsidP="009B636F">
      <w:pPr>
        <w:pStyle w:val="a5"/>
        <w:bidi w:val="0"/>
        <w:spacing w:line="360" w:lineRule="auto"/>
        <w:jc w:val="both"/>
        <w:rPr>
          <w:rFonts w:asciiTheme="majorBidi" w:hAnsiTheme="majorBidi" w:cstheme="majorBidi"/>
          <w:sz w:val="28"/>
          <w:szCs w:val="28"/>
        </w:rPr>
      </w:pPr>
      <w:hyperlink r:id="rId89" w:history="1">
        <w:r w:rsidRPr="009B636F">
          <w:rPr>
            <w:rStyle w:val="Hyperlink"/>
            <w:rFonts w:asciiTheme="majorBidi" w:hAnsiTheme="majorBidi" w:cstheme="majorBidi"/>
            <w:sz w:val="28"/>
            <w:szCs w:val="28"/>
          </w:rPr>
          <w:t>http://unesdoc.unesco.org/images/0011/001140/114044E.pdf</w:t>
        </w:r>
      </w:hyperlink>
    </w:p>
    <w:p w:rsidR="009B636F" w:rsidRPr="009B636F" w:rsidRDefault="009B636F" w:rsidP="009B636F">
      <w:pPr>
        <w:pStyle w:val="a5"/>
        <w:bidi w:val="0"/>
        <w:spacing w:line="360" w:lineRule="auto"/>
        <w:jc w:val="both"/>
        <w:rPr>
          <w:rFonts w:asciiTheme="majorBidi" w:hAnsiTheme="majorBidi" w:cstheme="majorBidi"/>
          <w:sz w:val="28"/>
          <w:szCs w:val="28"/>
        </w:rPr>
      </w:pPr>
    </w:p>
    <w:p w:rsidR="009B636F" w:rsidRPr="009B636F" w:rsidRDefault="009B636F" w:rsidP="009B636F">
      <w:pPr>
        <w:pStyle w:val="a5"/>
        <w:bidi w:val="0"/>
        <w:spacing w:line="360" w:lineRule="auto"/>
        <w:jc w:val="both"/>
        <w:rPr>
          <w:rFonts w:asciiTheme="majorBidi" w:hAnsiTheme="majorBidi" w:cstheme="majorBidi"/>
          <w:sz w:val="28"/>
          <w:szCs w:val="28"/>
        </w:rPr>
      </w:pPr>
      <w:r w:rsidRPr="009B636F">
        <w:rPr>
          <w:rFonts w:asciiTheme="majorBidi" w:hAnsiTheme="majorBidi" w:cstheme="majorBidi"/>
          <w:sz w:val="28"/>
          <w:szCs w:val="28"/>
        </w:rPr>
        <w:t>18 UNESCO General Conference, 1 RESOLUTIONS 118, UNESCO Doc. 18C/Res.13.1 (1974)</w:t>
      </w:r>
      <w:r w:rsidRPr="009B636F">
        <w:rPr>
          <w:rFonts w:asciiTheme="majorBidi" w:hAnsiTheme="majorBidi" w:cstheme="majorBidi"/>
          <w:sz w:val="28"/>
          <w:szCs w:val="28"/>
          <w:rtl/>
        </w:rPr>
        <w:t>.</w:t>
      </w:r>
    </w:p>
    <w:p w:rsidR="009B636F" w:rsidRPr="009B636F" w:rsidRDefault="009B636F" w:rsidP="009B636F">
      <w:pPr>
        <w:pStyle w:val="a5"/>
        <w:bidi w:val="0"/>
        <w:spacing w:line="360" w:lineRule="auto"/>
        <w:jc w:val="both"/>
        <w:rPr>
          <w:rFonts w:asciiTheme="majorBidi" w:hAnsiTheme="majorBidi" w:cstheme="majorBidi"/>
          <w:sz w:val="28"/>
          <w:szCs w:val="28"/>
        </w:rPr>
      </w:pPr>
      <w:hyperlink r:id="rId90" w:history="1">
        <w:r w:rsidRPr="009B636F">
          <w:rPr>
            <w:rStyle w:val="Hyperlink"/>
            <w:rFonts w:asciiTheme="majorBidi" w:hAnsiTheme="majorBidi" w:cstheme="majorBidi"/>
            <w:sz w:val="28"/>
            <w:szCs w:val="28"/>
          </w:rPr>
          <w:t>http://unesdoc.unesco.org/images/0011/001140/114040E.pdf</w:t>
        </w:r>
      </w:hyperlink>
    </w:p>
    <w:p w:rsidR="009B636F" w:rsidRPr="009B636F" w:rsidRDefault="009B636F" w:rsidP="009B636F">
      <w:pPr>
        <w:pStyle w:val="a5"/>
        <w:bidi w:val="0"/>
        <w:spacing w:line="360" w:lineRule="auto"/>
        <w:jc w:val="both"/>
        <w:rPr>
          <w:rFonts w:asciiTheme="majorBidi" w:hAnsiTheme="majorBidi" w:cstheme="majorBidi"/>
          <w:sz w:val="28"/>
          <w:szCs w:val="28"/>
        </w:rPr>
      </w:pPr>
    </w:p>
    <w:p w:rsidR="009B636F" w:rsidRPr="009B636F" w:rsidRDefault="009B636F" w:rsidP="009B636F">
      <w:pPr>
        <w:pStyle w:val="a5"/>
        <w:bidi w:val="0"/>
        <w:spacing w:line="360" w:lineRule="auto"/>
        <w:jc w:val="both"/>
        <w:rPr>
          <w:rFonts w:asciiTheme="majorBidi" w:hAnsiTheme="majorBidi" w:cstheme="majorBidi"/>
          <w:sz w:val="28"/>
          <w:szCs w:val="28"/>
        </w:rPr>
      </w:pPr>
      <w:r w:rsidRPr="009B636F">
        <w:rPr>
          <w:rFonts w:asciiTheme="majorBidi" w:hAnsiTheme="majorBidi" w:cstheme="majorBidi"/>
          <w:sz w:val="28"/>
          <w:szCs w:val="28"/>
        </w:rPr>
        <w:t>20 UNESCO Gen'l Conf. Draft Res., UNESCO Doc. 20C/PRG/V/DR.16 (November 13, 1978), Doc. 104 EX/52, Res. 14.1, p. 139</w:t>
      </w:r>
      <w:r w:rsidRPr="009B636F">
        <w:rPr>
          <w:rFonts w:asciiTheme="majorBidi" w:hAnsiTheme="majorBidi" w:cstheme="majorBidi"/>
          <w:sz w:val="28"/>
          <w:szCs w:val="28"/>
          <w:rtl/>
        </w:rPr>
        <w:t>.</w:t>
      </w:r>
    </w:p>
    <w:p w:rsidR="009B636F" w:rsidRPr="009B636F" w:rsidRDefault="009B636F" w:rsidP="009B636F">
      <w:pPr>
        <w:pStyle w:val="a5"/>
        <w:bidi w:val="0"/>
        <w:spacing w:line="360" w:lineRule="auto"/>
        <w:jc w:val="both"/>
        <w:rPr>
          <w:rFonts w:asciiTheme="majorBidi" w:hAnsiTheme="majorBidi" w:cstheme="majorBidi"/>
          <w:sz w:val="28"/>
          <w:szCs w:val="28"/>
        </w:rPr>
      </w:pPr>
      <w:hyperlink r:id="rId91" w:history="1">
        <w:r w:rsidRPr="009B636F">
          <w:rPr>
            <w:rStyle w:val="Hyperlink"/>
            <w:rFonts w:asciiTheme="majorBidi" w:hAnsiTheme="majorBidi" w:cstheme="majorBidi"/>
            <w:sz w:val="28"/>
            <w:szCs w:val="28"/>
          </w:rPr>
          <w:t>http://unesdoc.unesco.org/images/0011/001140/114032e.pdf</w:t>
        </w:r>
      </w:hyperlink>
    </w:p>
    <w:p w:rsidR="009B636F" w:rsidRPr="009B636F" w:rsidRDefault="009B636F" w:rsidP="009B636F">
      <w:pPr>
        <w:pStyle w:val="a5"/>
        <w:bidi w:val="0"/>
        <w:spacing w:line="360" w:lineRule="auto"/>
        <w:jc w:val="both"/>
        <w:rPr>
          <w:rFonts w:asciiTheme="majorBidi" w:hAnsiTheme="majorBidi" w:cstheme="majorBidi"/>
          <w:sz w:val="28"/>
          <w:szCs w:val="28"/>
        </w:rPr>
      </w:pPr>
    </w:p>
    <w:p w:rsidR="009B636F" w:rsidRPr="009B636F" w:rsidRDefault="009B636F" w:rsidP="009B636F">
      <w:pPr>
        <w:pStyle w:val="a5"/>
        <w:bidi w:val="0"/>
        <w:spacing w:line="360" w:lineRule="auto"/>
        <w:jc w:val="both"/>
        <w:rPr>
          <w:rFonts w:asciiTheme="majorBidi" w:hAnsiTheme="majorBidi" w:cstheme="majorBidi"/>
          <w:sz w:val="28"/>
          <w:szCs w:val="28"/>
          <w:rtl/>
        </w:rPr>
      </w:pPr>
    </w:p>
    <w:p w:rsidR="009B636F" w:rsidRPr="009B636F" w:rsidRDefault="009B636F" w:rsidP="009B636F">
      <w:pPr>
        <w:pStyle w:val="a5"/>
        <w:bidi w:val="0"/>
        <w:spacing w:line="360" w:lineRule="auto"/>
        <w:jc w:val="both"/>
        <w:rPr>
          <w:rFonts w:asciiTheme="majorBidi" w:hAnsiTheme="majorBidi" w:cstheme="majorBidi"/>
          <w:sz w:val="28"/>
          <w:szCs w:val="28"/>
        </w:rPr>
      </w:pPr>
      <w:r w:rsidRPr="009B636F">
        <w:rPr>
          <w:rFonts w:asciiTheme="majorBidi" w:hAnsiTheme="majorBidi" w:cstheme="majorBidi"/>
          <w:sz w:val="28"/>
          <w:szCs w:val="28"/>
        </w:rPr>
        <w:t xml:space="preserve">21 UNESCO Gen'l Conf., 1 Resolutions 114, Resolution 14.1. </w:t>
      </w:r>
    </w:p>
    <w:p w:rsidR="009B636F" w:rsidRPr="009B636F" w:rsidRDefault="009B636F" w:rsidP="009B636F">
      <w:pPr>
        <w:pStyle w:val="a5"/>
        <w:bidi w:val="0"/>
        <w:spacing w:line="360" w:lineRule="auto"/>
        <w:jc w:val="both"/>
        <w:rPr>
          <w:rFonts w:asciiTheme="majorBidi" w:hAnsiTheme="majorBidi" w:cstheme="majorBidi"/>
          <w:sz w:val="28"/>
          <w:szCs w:val="28"/>
        </w:rPr>
      </w:pPr>
      <w:hyperlink r:id="rId92" w:history="1">
        <w:r w:rsidRPr="009B636F">
          <w:rPr>
            <w:rStyle w:val="Hyperlink"/>
            <w:rFonts w:asciiTheme="majorBidi" w:hAnsiTheme="majorBidi" w:cstheme="majorBidi"/>
            <w:sz w:val="28"/>
            <w:szCs w:val="28"/>
          </w:rPr>
          <w:t>http://unesdoc.unesco.org/images/0011/001140/114029e.pdf</w:t>
        </w:r>
      </w:hyperlink>
    </w:p>
    <w:p w:rsidR="009B636F" w:rsidRPr="009B636F" w:rsidRDefault="009B636F" w:rsidP="009B636F">
      <w:pPr>
        <w:pStyle w:val="a5"/>
        <w:bidi w:val="0"/>
        <w:spacing w:line="360" w:lineRule="auto"/>
        <w:jc w:val="both"/>
        <w:rPr>
          <w:rFonts w:asciiTheme="majorBidi" w:hAnsiTheme="majorBidi" w:cstheme="majorBidi"/>
          <w:sz w:val="28"/>
          <w:szCs w:val="28"/>
          <w:rtl/>
        </w:rPr>
      </w:pPr>
    </w:p>
    <w:p w:rsidR="009B636F" w:rsidRPr="009B636F" w:rsidRDefault="009B636F" w:rsidP="009B636F">
      <w:pPr>
        <w:pStyle w:val="a5"/>
        <w:spacing w:line="360" w:lineRule="auto"/>
        <w:jc w:val="both"/>
        <w:rPr>
          <w:rFonts w:cs="David"/>
          <w:sz w:val="28"/>
          <w:szCs w:val="28"/>
        </w:rPr>
      </w:pPr>
      <w:r w:rsidRPr="009B636F">
        <w:rPr>
          <w:rFonts w:cs="David" w:hint="cs"/>
          <w:sz w:val="28"/>
          <w:szCs w:val="28"/>
          <w:rtl/>
        </w:rPr>
        <w:t>מועצת אירופה והנציבות האירופית</w:t>
      </w:r>
    </w:p>
    <w:p w:rsidR="009B636F" w:rsidRPr="009B636F" w:rsidRDefault="009B636F" w:rsidP="009B636F">
      <w:pPr>
        <w:pStyle w:val="a5"/>
        <w:bidi w:val="0"/>
        <w:spacing w:line="360" w:lineRule="auto"/>
        <w:jc w:val="both"/>
        <w:rPr>
          <w:rFonts w:cs="David"/>
          <w:sz w:val="28"/>
          <w:szCs w:val="28"/>
          <w:rtl/>
        </w:rPr>
      </w:pPr>
    </w:p>
    <w:p w:rsidR="009B636F" w:rsidRPr="00A2064D" w:rsidRDefault="009B636F" w:rsidP="009B636F">
      <w:pPr>
        <w:pStyle w:val="a5"/>
        <w:bidi w:val="0"/>
        <w:spacing w:line="360" w:lineRule="auto"/>
        <w:jc w:val="both"/>
        <w:rPr>
          <w:rStyle w:val="aa"/>
          <w:rFonts w:asciiTheme="majorBidi" w:hAnsiTheme="majorBidi" w:cstheme="majorBidi"/>
          <w:b w:val="0"/>
          <w:bCs w:val="0"/>
          <w:sz w:val="28"/>
          <w:szCs w:val="28"/>
          <w:bdr w:val="none" w:sz="0" w:space="0" w:color="auto" w:frame="1"/>
          <w:shd w:val="clear" w:color="auto" w:fill="FFFFFF"/>
        </w:rPr>
      </w:pPr>
      <w:r w:rsidRPr="009B636F">
        <w:rPr>
          <w:rStyle w:val="aa"/>
          <w:rFonts w:asciiTheme="majorBidi" w:hAnsiTheme="majorBidi" w:cstheme="majorBidi"/>
          <w:b w:val="0"/>
          <w:sz w:val="28"/>
          <w:szCs w:val="28"/>
          <w:bdr w:val="none" w:sz="0" w:space="0" w:color="auto" w:frame="1"/>
          <w:shd w:val="clear" w:color="auto" w:fill="FFFFFF"/>
        </w:rPr>
        <w:t>Council Decision 2008/901/CFSP of 2 December 2008 concerning an independent international fact-finding mission on the conflict in Georgia</w:t>
      </w:r>
      <w:r w:rsidRPr="009B636F">
        <w:rPr>
          <w:rStyle w:val="aa"/>
          <w:rFonts w:asciiTheme="majorBidi" w:hAnsiTheme="majorBidi" w:cstheme="majorBidi" w:hint="cs"/>
          <w:b w:val="0"/>
          <w:sz w:val="28"/>
          <w:szCs w:val="28"/>
          <w:bdr w:val="none" w:sz="0" w:space="0" w:color="auto" w:frame="1"/>
          <w:shd w:val="clear" w:color="auto" w:fill="FFFFFF"/>
          <w:rtl/>
        </w:rPr>
        <w:t>.</w:t>
      </w:r>
      <w:r w:rsidRPr="00A2064D">
        <w:rPr>
          <w:rStyle w:val="aa"/>
          <w:rFonts w:asciiTheme="majorBidi" w:hAnsiTheme="majorBidi" w:cstheme="majorBidi"/>
          <w:bCs w:val="0"/>
          <w:sz w:val="28"/>
          <w:szCs w:val="28"/>
          <w:bdr w:val="none" w:sz="0" w:space="0" w:color="auto" w:frame="1"/>
          <w:shd w:val="clear" w:color="auto" w:fill="FFFFFF"/>
        </w:rPr>
        <w:t xml:space="preserve"> </w:t>
      </w:r>
    </w:p>
    <w:p w:rsidR="009B636F" w:rsidRDefault="009B636F" w:rsidP="009B636F">
      <w:pPr>
        <w:pStyle w:val="a5"/>
        <w:bidi w:val="0"/>
        <w:spacing w:line="360" w:lineRule="auto"/>
        <w:jc w:val="both"/>
        <w:rPr>
          <w:rStyle w:val="aa"/>
          <w:rFonts w:asciiTheme="majorBidi" w:hAnsiTheme="majorBidi" w:cstheme="majorBidi"/>
          <w:b w:val="0"/>
          <w:bCs w:val="0"/>
          <w:sz w:val="28"/>
          <w:szCs w:val="28"/>
          <w:bdr w:val="none" w:sz="0" w:space="0" w:color="auto" w:frame="1"/>
          <w:shd w:val="clear" w:color="auto" w:fill="FFFFFF"/>
        </w:rPr>
      </w:pPr>
      <w:hyperlink r:id="rId93" w:history="1">
        <w:r w:rsidRPr="00164377">
          <w:rPr>
            <w:rStyle w:val="Hyperlink"/>
            <w:rFonts w:asciiTheme="majorBidi" w:hAnsiTheme="majorBidi" w:cstheme="majorBidi"/>
            <w:bCs/>
            <w:sz w:val="28"/>
            <w:szCs w:val="28"/>
            <w:bdr w:val="none" w:sz="0" w:space="0" w:color="auto" w:frame="1"/>
            <w:shd w:val="clear" w:color="auto" w:fill="FFFFFF"/>
          </w:rPr>
          <w:t>http://eur-lex.europa.eu/legal-content/EN/TXT/PDF/?uri=CELEX:32008D0901&amp;from=EN</w:t>
        </w:r>
      </w:hyperlink>
    </w:p>
    <w:p w:rsidR="009B636F" w:rsidRPr="009B636F" w:rsidRDefault="009B636F" w:rsidP="009B636F">
      <w:pPr>
        <w:pStyle w:val="a5"/>
        <w:bidi w:val="0"/>
        <w:spacing w:line="360" w:lineRule="auto"/>
        <w:jc w:val="both"/>
        <w:rPr>
          <w:rFonts w:asciiTheme="majorBidi" w:hAnsiTheme="majorBidi" w:cstheme="majorBidi"/>
          <w:sz w:val="28"/>
          <w:szCs w:val="28"/>
        </w:rPr>
      </w:pPr>
    </w:p>
    <w:p w:rsidR="009B636F" w:rsidRPr="009B636F" w:rsidRDefault="009B636F" w:rsidP="009B636F">
      <w:pPr>
        <w:pStyle w:val="a5"/>
        <w:bidi w:val="0"/>
        <w:spacing w:line="360" w:lineRule="auto"/>
        <w:jc w:val="both"/>
        <w:rPr>
          <w:rFonts w:asciiTheme="majorBidi" w:hAnsiTheme="majorBidi" w:cstheme="majorBidi"/>
          <w:sz w:val="28"/>
          <w:szCs w:val="28"/>
        </w:rPr>
      </w:pPr>
      <w:r w:rsidRPr="009B636F">
        <w:rPr>
          <w:rFonts w:asciiTheme="majorBidi" w:hAnsiTheme="majorBidi" w:cstheme="majorBidi"/>
          <w:sz w:val="28"/>
          <w:szCs w:val="28"/>
        </w:rPr>
        <w:t>Interpretative Notice on indication of origin of goods from the territories occupied by Israel since June 1967, European Commission, Brussels, 11.11.2015, C(2015) 7834 final</w:t>
      </w:r>
      <w:r w:rsidRPr="009B636F">
        <w:rPr>
          <w:rFonts w:asciiTheme="majorBidi" w:hAnsiTheme="majorBidi" w:cstheme="majorBidi"/>
          <w:sz w:val="28"/>
          <w:szCs w:val="28"/>
          <w:rtl/>
        </w:rPr>
        <w:t>.</w:t>
      </w:r>
      <w:r w:rsidRPr="009B636F">
        <w:rPr>
          <w:rFonts w:asciiTheme="majorBidi" w:hAnsiTheme="majorBidi" w:cstheme="majorBidi"/>
          <w:sz w:val="28"/>
          <w:szCs w:val="28"/>
        </w:rPr>
        <w:t xml:space="preserve"> </w:t>
      </w:r>
    </w:p>
    <w:p w:rsidR="009B636F" w:rsidRPr="009B636F" w:rsidRDefault="009B636F" w:rsidP="009B636F">
      <w:pPr>
        <w:pStyle w:val="a5"/>
        <w:bidi w:val="0"/>
        <w:spacing w:line="360" w:lineRule="auto"/>
        <w:jc w:val="both"/>
        <w:rPr>
          <w:rFonts w:asciiTheme="majorBidi" w:hAnsiTheme="majorBidi" w:cstheme="majorBidi"/>
          <w:sz w:val="28"/>
          <w:szCs w:val="28"/>
        </w:rPr>
      </w:pPr>
      <w:hyperlink r:id="rId94" w:history="1">
        <w:r w:rsidRPr="009B636F">
          <w:rPr>
            <w:rStyle w:val="Hyperlink"/>
            <w:rFonts w:asciiTheme="majorBidi" w:hAnsiTheme="majorBidi" w:cstheme="majorBidi"/>
            <w:sz w:val="28"/>
            <w:szCs w:val="28"/>
          </w:rPr>
          <w:t>http://eeas.europa.eu/delegations/israel/documents/related-links/20151111_interpretative_notice_indication_of_origin_en.pdf</w:t>
        </w:r>
      </w:hyperlink>
    </w:p>
    <w:p w:rsidR="009B636F" w:rsidRPr="009B636F" w:rsidRDefault="009B636F" w:rsidP="009B636F">
      <w:pPr>
        <w:spacing w:after="0" w:line="360" w:lineRule="auto"/>
        <w:jc w:val="both"/>
        <w:rPr>
          <w:rFonts w:asciiTheme="majorBidi" w:hAnsiTheme="majorBidi" w:cstheme="majorBidi"/>
          <w:sz w:val="28"/>
          <w:szCs w:val="28"/>
          <w:rtl/>
        </w:rPr>
      </w:pPr>
    </w:p>
    <w:p w:rsidR="009B636F" w:rsidRPr="009B636F" w:rsidRDefault="009B636F" w:rsidP="009B636F">
      <w:pPr>
        <w:spacing w:after="0" w:line="360" w:lineRule="auto"/>
        <w:jc w:val="both"/>
        <w:rPr>
          <w:rFonts w:cs="David"/>
          <w:b/>
          <w:bCs/>
          <w:sz w:val="28"/>
          <w:szCs w:val="28"/>
          <w:rtl/>
        </w:rPr>
      </w:pPr>
      <w:r w:rsidRPr="009B636F">
        <w:rPr>
          <w:rFonts w:cs="David" w:hint="cs"/>
          <w:b/>
          <w:bCs/>
          <w:sz w:val="28"/>
          <w:szCs w:val="28"/>
          <w:rtl/>
        </w:rPr>
        <w:t>פסיקה ובוררויות</w:t>
      </w:r>
    </w:p>
    <w:p w:rsidR="009B636F" w:rsidRPr="009B636F" w:rsidRDefault="009B636F" w:rsidP="009B636F">
      <w:pPr>
        <w:spacing w:after="0" w:line="360" w:lineRule="auto"/>
        <w:jc w:val="both"/>
        <w:rPr>
          <w:rFonts w:cs="David"/>
          <w:b/>
          <w:bCs/>
          <w:sz w:val="28"/>
          <w:szCs w:val="28"/>
          <w:rtl/>
        </w:rPr>
      </w:pPr>
    </w:p>
    <w:p w:rsidR="009B636F" w:rsidRPr="009B636F" w:rsidRDefault="009B636F" w:rsidP="009B636F">
      <w:pPr>
        <w:pStyle w:val="a5"/>
        <w:spacing w:line="360" w:lineRule="auto"/>
        <w:jc w:val="both"/>
        <w:rPr>
          <w:rFonts w:cs="David"/>
          <w:sz w:val="28"/>
          <w:szCs w:val="28"/>
          <w:rtl/>
        </w:rPr>
      </w:pPr>
      <w:r w:rsidRPr="009B636F">
        <w:rPr>
          <w:rFonts w:cs="David" w:hint="cs"/>
          <w:sz w:val="28"/>
          <w:szCs w:val="28"/>
          <w:rtl/>
        </w:rPr>
        <w:t>ישראל</w:t>
      </w:r>
    </w:p>
    <w:p w:rsidR="009B636F" w:rsidRPr="009B636F" w:rsidRDefault="009B636F" w:rsidP="009B636F">
      <w:pPr>
        <w:pStyle w:val="a5"/>
        <w:spacing w:line="360" w:lineRule="auto"/>
        <w:jc w:val="both"/>
        <w:rPr>
          <w:rFonts w:cs="David"/>
          <w:sz w:val="28"/>
          <w:szCs w:val="28"/>
          <w:rtl/>
        </w:rPr>
      </w:pPr>
    </w:p>
    <w:p w:rsidR="009B636F" w:rsidRPr="009B636F" w:rsidRDefault="009B636F" w:rsidP="009B636F">
      <w:pPr>
        <w:pStyle w:val="a5"/>
        <w:spacing w:line="360" w:lineRule="auto"/>
        <w:jc w:val="both"/>
        <w:rPr>
          <w:rFonts w:cs="David"/>
          <w:sz w:val="28"/>
          <w:szCs w:val="28"/>
        </w:rPr>
      </w:pPr>
      <w:r w:rsidRPr="009B636F">
        <w:rPr>
          <w:rFonts w:cs="David"/>
          <w:sz w:val="28"/>
          <w:szCs w:val="28"/>
          <w:rtl/>
        </w:rPr>
        <w:t xml:space="preserve">בג"ץ 769/02 הוועד הציבורי נגד </w:t>
      </w:r>
      <w:r w:rsidRPr="009B636F">
        <w:rPr>
          <w:rFonts w:cs="David" w:hint="cs"/>
          <w:sz w:val="28"/>
          <w:szCs w:val="28"/>
          <w:rtl/>
        </w:rPr>
        <w:t>ה</w:t>
      </w:r>
      <w:r w:rsidRPr="009B636F">
        <w:rPr>
          <w:rFonts w:cs="David"/>
          <w:sz w:val="28"/>
          <w:szCs w:val="28"/>
          <w:rtl/>
        </w:rPr>
        <w:t>עינויים בישראל נ</w:t>
      </w:r>
      <w:r w:rsidRPr="009B636F">
        <w:rPr>
          <w:rFonts w:cs="David" w:hint="cs"/>
          <w:sz w:val="28"/>
          <w:szCs w:val="28"/>
          <w:rtl/>
        </w:rPr>
        <w:t>'</w:t>
      </w:r>
      <w:r w:rsidRPr="009B636F">
        <w:rPr>
          <w:rFonts w:cs="David"/>
          <w:sz w:val="28"/>
          <w:szCs w:val="28"/>
          <w:rtl/>
        </w:rPr>
        <w:t xml:space="preserve"> ממשלת ישראל</w:t>
      </w:r>
      <w:r w:rsidRPr="009B636F">
        <w:rPr>
          <w:rFonts w:cs="David" w:hint="cs"/>
          <w:sz w:val="28"/>
          <w:szCs w:val="28"/>
          <w:rtl/>
        </w:rPr>
        <w:t xml:space="preserve">, </w:t>
      </w:r>
      <w:r w:rsidRPr="009B636F">
        <w:rPr>
          <w:rFonts w:cs="David"/>
          <w:sz w:val="28"/>
          <w:szCs w:val="28"/>
          <w:rtl/>
        </w:rPr>
        <w:t>פ"ד סב(</w:t>
      </w:r>
      <w:r w:rsidRPr="009B636F">
        <w:rPr>
          <w:rFonts w:cs="David" w:hint="cs"/>
          <w:sz w:val="28"/>
          <w:szCs w:val="28"/>
          <w:rtl/>
        </w:rPr>
        <w:t>1) 507 (2006)</w:t>
      </w:r>
    </w:p>
    <w:p w:rsidR="009B636F" w:rsidRPr="009B636F" w:rsidRDefault="009B636F" w:rsidP="009B636F">
      <w:pPr>
        <w:pStyle w:val="a5"/>
        <w:spacing w:line="360" w:lineRule="auto"/>
        <w:jc w:val="both"/>
        <w:rPr>
          <w:rFonts w:cs="David"/>
          <w:sz w:val="28"/>
          <w:szCs w:val="28"/>
          <w:rtl/>
        </w:rPr>
      </w:pPr>
    </w:p>
    <w:p w:rsidR="009B636F" w:rsidRPr="009B636F" w:rsidRDefault="009B636F" w:rsidP="009B636F">
      <w:pPr>
        <w:pStyle w:val="a5"/>
        <w:spacing w:line="360" w:lineRule="auto"/>
        <w:jc w:val="both"/>
        <w:rPr>
          <w:rFonts w:cs="David"/>
          <w:sz w:val="28"/>
          <w:szCs w:val="28"/>
          <w:rtl/>
        </w:rPr>
      </w:pPr>
      <w:r w:rsidRPr="009B636F">
        <w:rPr>
          <w:rFonts w:cs="David" w:hint="cs"/>
          <w:sz w:val="28"/>
          <w:szCs w:val="28"/>
          <w:rtl/>
        </w:rPr>
        <w:t>ערכאות בינלאומיות</w:t>
      </w:r>
    </w:p>
    <w:p w:rsidR="009B636F" w:rsidRPr="009B636F" w:rsidRDefault="009B636F" w:rsidP="009B636F">
      <w:pPr>
        <w:spacing w:after="0" w:line="360" w:lineRule="auto"/>
        <w:jc w:val="both"/>
        <w:rPr>
          <w:rFonts w:cs="David"/>
          <w:sz w:val="28"/>
          <w:szCs w:val="28"/>
          <w:rtl/>
        </w:rPr>
      </w:pPr>
    </w:p>
    <w:p w:rsidR="009B636F" w:rsidRPr="009B636F" w:rsidRDefault="009B636F" w:rsidP="009B636F">
      <w:pPr>
        <w:pStyle w:val="a5"/>
        <w:bidi w:val="0"/>
        <w:spacing w:line="360" w:lineRule="auto"/>
        <w:jc w:val="both"/>
        <w:rPr>
          <w:rFonts w:asciiTheme="majorBidi" w:hAnsiTheme="majorBidi" w:cstheme="majorBidi"/>
          <w:sz w:val="28"/>
          <w:szCs w:val="28"/>
        </w:rPr>
      </w:pPr>
      <w:r w:rsidRPr="009B636F">
        <w:rPr>
          <w:rFonts w:asciiTheme="majorBidi" w:hAnsiTheme="majorBidi" w:cstheme="majorBidi"/>
          <w:sz w:val="28"/>
          <w:szCs w:val="28"/>
        </w:rPr>
        <w:t>Case concerning the location of boundary markers in Taba between Egypt and Israel, Reports of International Arbitral Awards, 29 September 1988</w:t>
      </w:r>
      <w:r w:rsidRPr="009B636F">
        <w:rPr>
          <w:rFonts w:asciiTheme="majorBidi" w:hAnsiTheme="majorBidi" w:cstheme="majorBidi"/>
          <w:sz w:val="28"/>
          <w:szCs w:val="28"/>
          <w:rtl/>
        </w:rPr>
        <w:t>.</w:t>
      </w:r>
      <w:r w:rsidRPr="009B636F">
        <w:rPr>
          <w:rFonts w:asciiTheme="majorBidi" w:hAnsiTheme="majorBidi" w:cstheme="majorBidi"/>
          <w:sz w:val="28"/>
          <w:szCs w:val="28"/>
        </w:rPr>
        <w:t xml:space="preserve"> </w:t>
      </w:r>
    </w:p>
    <w:p w:rsidR="009B636F" w:rsidRPr="009B636F" w:rsidRDefault="009B636F" w:rsidP="009B636F">
      <w:pPr>
        <w:pStyle w:val="a5"/>
        <w:bidi w:val="0"/>
        <w:spacing w:line="360" w:lineRule="auto"/>
        <w:jc w:val="both"/>
        <w:rPr>
          <w:rFonts w:asciiTheme="majorBidi" w:hAnsiTheme="majorBidi" w:cstheme="majorBidi"/>
          <w:sz w:val="28"/>
          <w:szCs w:val="28"/>
        </w:rPr>
      </w:pPr>
      <w:hyperlink r:id="rId95" w:history="1">
        <w:r w:rsidRPr="009B636F">
          <w:rPr>
            <w:rStyle w:val="Hyperlink"/>
            <w:rFonts w:asciiTheme="majorBidi" w:hAnsiTheme="majorBidi" w:cstheme="majorBidi"/>
            <w:sz w:val="28"/>
            <w:szCs w:val="28"/>
          </w:rPr>
          <w:t>http://legal.un.org/riaa/cases/vol_XX/1-118.pdf</w:t>
        </w:r>
      </w:hyperlink>
    </w:p>
    <w:p w:rsidR="009B636F" w:rsidRPr="009B636F" w:rsidRDefault="009B636F" w:rsidP="009B636F">
      <w:pPr>
        <w:pStyle w:val="a5"/>
        <w:bidi w:val="0"/>
        <w:spacing w:line="360" w:lineRule="auto"/>
        <w:jc w:val="both"/>
        <w:rPr>
          <w:rFonts w:asciiTheme="majorBidi" w:hAnsiTheme="majorBidi" w:cstheme="majorBidi"/>
          <w:sz w:val="28"/>
          <w:szCs w:val="28"/>
        </w:rPr>
      </w:pPr>
    </w:p>
    <w:p w:rsidR="009B636F" w:rsidRPr="009B636F" w:rsidRDefault="009B636F" w:rsidP="009B636F">
      <w:pPr>
        <w:pStyle w:val="a5"/>
        <w:bidi w:val="0"/>
        <w:spacing w:line="360" w:lineRule="auto"/>
        <w:jc w:val="both"/>
        <w:rPr>
          <w:rFonts w:asciiTheme="majorBidi" w:hAnsiTheme="majorBidi" w:cstheme="majorBidi"/>
          <w:sz w:val="28"/>
          <w:szCs w:val="28"/>
        </w:rPr>
      </w:pPr>
      <w:r w:rsidRPr="009B636F">
        <w:rPr>
          <w:rFonts w:asciiTheme="majorBidi" w:hAnsiTheme="majorBidi" w:cstheme="majorBidi"/>
          <w:sz w:val="28"/>
          <w:szCs w:val="28"/>
        </w:rPr>
        <w:t>Legal Consequences of the Construction of a Wall in the Occupied Palestinian Territory, Advisory Opinion, ICJ, 9 July 2004</w:t>
      </w:r>
      <w:r w:rsidRPr="009B636F">
        <w:rPr>
          <w:rFonts w:asciiTheme="majorBidi" w:hAnsiTheme="majorBidi" w:cstheme="majorBidi"/>
          <w:sz w:val="28"/>
          <w:szCs w:val="28"/>
          <w:rtl/>
        </w:rPr>
        <w:t>.</w:t>
      </w:r>
      <w:r w:rsidRPr="009B636F">
        <w:rPr>
          <w:rFonts w:asciiTheme="majorBidi" w:hAnsiTheme="majorBidi" w:cstheme="majorBidi"/>
          <w:sz w:val="28"/>
          <w:szCs w:val="28"/>
        </w:rPr>
        <w:t xml:space="preserve"> </w:t>
      </w:r>
    </w:p>
    <w:p w:rsidR="009B636F" w:rsidRPr="009B636F" w:rsidRDefault="009B636F" w:rsidP="009B636F">
      <w:pPr>
        <w:pStyle w:val="a5"/>
        <w:bidi w:val="0"/>
        <w:spacing w:line="360" w:lineRule="auto"/>
        <w:jc w:val="both"/>
        <w:rPr>
          <w:rFonts w:asciiTheme="majorBidi" w:hAnsiTheme="majorBidi" w:cstheme="majorBidi"/>
          <w:sz w:val="28"/>
          <w:szCs w:val="28"/>
        </w:rPr>
      </w:pPr>
      <w:hyperlink r:id="rId96" w:history="1">
        <w:r w:rsidRPr="009B636F">
          <w:rPr>
            <w:rStyle w:val="Hyperlink"/>
            <w:rFonts w:asciiTheme="majorBidi" w:hAnsiTheme="majorBidi" w:cstheme="majorBidi"/>
            <w:sz w:val="28"/>
            <w:szCs w:val="28"/>
          </w:rPr>
          <w:t>http://www.icj-cij.org/docket/files/131/1671.pdf</w:t>
        </w:r>
      </w:hyperlink>
    </w:p>
    <w:p w:rsidR="009B636F" w:rsidRPr="009B636F" w:rsidRDefault="009B636F" w:rsidP="009B636F">
      <w:pPr>
        <w:spacing w:after="0" w:line="360" w:lineRule="auto"/>
        <w:jc w:val="both"/>
        <w:rPr>
          <w:rFonts w:asciiTheme="majorBidi" w:hAnsiTheme="majorBidi" w:cstheme="majorBidi"/>
          <w:sz w:val="28"/>
          <w:szCs w:val="28"/>
          <w:rtl/>
        </w:rPr>
      </w:pPr>
    </w:p>
    <w:p w:rsidR="009B636F" w:rsidRPr="009B636F" w:rsidRDefault="009B636F" w:rsidP="009B636F">
      <w:pPr>
        <w:spacing w:after="0" w:line="360" w:lineRule="auto"/>
        <w:jc w:val="both"/>
        <w:rPr>
          <w:rFonts w:cs="David"/>
          <w:b/>
          <w:bCs/>
          <w:sz w:val="28"/>
          <w:szCs w:val="28"/>
        </w:rPr>
      </w:pPr>
      <w:r w:rsidRPr="009B636F">
        <w:rPr>
          <w:rFonts w:cs="David" w:hint="cs"/>
          <w:b/>
          <w:bCs/>
          <w:sz w:val="28"/>
          <w:szCs w:val="28"/>
          <w:rtl/>
        </w:rPr>
        <w:t>מסמכים מדינתיים</w:t>
      </w:r>
    </w:p>
    <w:p w:rsidR="009B636F" w:rsidRPr="009B636F" w:rsidRDefault="009B636F" w:rsidP="009B636F">
      <w:pPr>
        <w:spacing w:after="0" w:line="360" w:lineRule="auto"/>
        <w:jc w:val="both"/>
        <w:rPr>
          <w:rFonts w:cs="David"/>
          <w:b/>
          <w:bCs/>
          <w:sz w:val="28"/>
          <w:szCs w:val="28"/>
          <w:rtl/>
        </w:rPr>
      </w:pPr>
    </w:p>
    <w:p w:rsidR="009B636F" w:rsidRPr="009B636F" w:rsidRDefault="009B636F" w:rsidP="009B636F">
      <w:pPr>
        <w:pStyle w:val="a5"/>
        <w:spacing w:line="360" w:lineRule="auto"/>
        <w:jc w:val="both"/>
        <w:rPr>
          <w:rFonts w:cs="David"/>
          <w:sz w:val="28"/>
          <w:szCs w:val="28"/>
        </w:rPr>
      </w:pPr>
      <w:r w:rsidRPr="009B636F">
        <w:rPr>
          <w:rFonts w:cs="David" w:hint="cs"/>
          <w:sz w:val="28"/>
          <w:szCs w:val="28"/>
          <w:rtl/>
        </w:rPr>
        <w:t>ישראל</w:t>
      </w:r>
    </w:p>
    <w:p w:rsidR="009B636F" w:rsidRPr="009B636F" w:rsidRDefault="009B636F" w:rsidP="009B636F">
      <w:pPr>
        <w:pStyle w:val="a5"/>
        <w:spacing w:line="360" w:lineRule="auto"/>
        <w:jc w:val="both"/>
        <w:rPr>
          <w:rFonts w:cs="David"/>
          <w:sz w:val="28"/>
          <w:szCs w:val="28"/>
          <w:rtl/>
        </w:rPr>
      </w:pPr>
    </w:p>
    <w:p w:rsidR="009B636F" w:rsidRPr="009B636F" w:rsidRDefault="009B636F" w:rsidP="009B636F">
      <w:pPr>
        <w:pStyle w:val="a5"/>
        <w:spacing w:line="360" w:lineRule="auto"/>
        <w:jc w:val="both"/>
        <w:rPr>
          <w:rFonts w:cs="David"/>
          <w:sz w:val="28"/>
          <w:szCs w:val="28"/>
        </w:rPr>
      </w:pPr>
      <w:r w:rsidRPr="009B636F">
        <w:rPr>
          <w:rFonts w:cs="David"/>
          <w:b/>
          <w:bCs/>
          <w:sz w:val="28"/>
          <w:szCs w:val="28"/>
          <w:rtl/>
        </w:rPr>
        <w:t>הוועדה הציבורית לבדיקת האירוע הימי מיום 31 מאי 2010</w:t>
      </w:r>
      <w:r w:rsidRPr="009B636F">
        <w:rPr>
          <w:rFonts w:cs="David" w:hint="cs"/>
          <w:sz w:val="28"/>
          <w:szCs w:val="28"/>
          <w:rtl/>
        </w:rPr>
        <w:t>,</w:t>
      </w:r>
      <w:r w:rsidRPr="009B636F">
        <w:rPr>
          <w:rFonts w:cs="David"/>
          <w:sz w:val="28"/>
          <w:szCs w:val="28"/>
          <w:rtl/>
        </w:rPr>
        <w:t xml:space="preserve"> ועדת טירקל</w:t>
      </w:r>
      <w:r w:rsidRPr="009B636F">
        <w:rPr>
          <w:rFonts w:cs="David" w:hint="cs"/>
          <w:sz w:val="28"/>
          <w:szCs w:val="28"/>
          <w:rtl/>
        </w:rPr>
        <w:t>,</w:t>
      </w:r>
      <w:r w:rsidRPr="009B636F">
        <w:rPr>
          <w:rFonts w:cs="David"/>
          <w:sz w:val="28"/>
          <w:szCs w:val="28"/>
          <w:rtl/>
        </w:rPr>
        <w:t xml:space="preserve"> דין וחשבון</w:t>
      </w:r>
      <w:r w:rsidRPr="009B636F">
        <w:rPr>
          <w:rFonts w:cs="David" w:hint="cs"/>
          <w:sz w:val="28"/>
          <w:szCs w:val="28"/>
          <w:rtl/>
        </w:rPr>
        <w:t xml:space="preserve">, </w:t>
      </w:r>
      <w:r w:rsidRPr="009B636F">
        <w:rPr>
          <w:rFonts w:cs="David"/>
          <w:sz w:val="28"/>
          <w:szCs w:val="28"/>
          <w:rtl/>
        </w:rPr>
        <w:t>חלק ראשון</w:t>
      </w:r>
      <w:r w:rsidRPr="009B636F">
        <w:rPr>
          <w:rFonts w:cs="David" w:hint="cs"/>
          <w:sz w:val="28"/>
          <w:szCs w:val="28"/>
          <w:rtl/>
        </w:rPr>
        <w:t xml:space="preserve">, ינואר 2011. </w:t>
      </w:r>
    </w:p>
    <w:p w:rsidR="009B636F" w:rsidRPr="009B636F" w:rsidRDefault="009B636F" w:rsidP="009B636F">
      <w:pPr>
        <w:pStyle w:val="a5"/>
        <w:spacing w:line="360" w:lineRule="auto"/>
        <w:jc w:val="both"/>
        <w:rPr>
          <w:rFonts w:asciiTheme="majorBidi" w:hAnsiTheme="majorBidi" w:cstheme="majorBidi"/>
          <w:sz w:val="28"/>
          <w:szCs w:val="28"/>
          <w:rtl/>
        </w:rPr>
      </w:pPr>
      <w:hyperlink r:id="rId97" w:history="1">
        <w:r w:rsidRPr="009B636F">
          <w:rPr>
            <w:rStyle w:val="Hyperlink"/>
            <w:rFonts w:asciiTheme="majorBidi" w:hAnsiTheme="majorBidi" w:cstheme="majorBidi"/>
            <w:sz w:val="28"/>
            <w:szCs w:val="28"/>
          </w:rPr>
          <w:t>http://www.turkel-committee.gov.il/files/wordocs//1989200211hebrew.pdf</w:t>
        </w:r>
      </w:hyperlink>
    </w:p>
    <w:p w:rsidR="009B636F" w:rsidRPr="009B636F" w:rsidRDefault="009B636F" w:rsidP="009B636F">
      <w:pPr>
        <w:pStyle w:val="a5"/>
        <w:spacing w:line="360" w:lineRule="auto"/>
        <w:jc w:val="both"/>
        <w:rPr>
          <w:rFonts w:asciiTheme="majorBidi" w:hAnsiTheme="majorBidi" w:cstheme="majorBidi"/>
          <w:sz w:val="28"/>
          <w:szCs w:val="28"/>
          <w:rtl/>
        </w:rPr>
      </w:pPr>
    </w:p>
    <w:p w:rsidR="009B636F" w:rsidRPr="009B636F" w:rsidRDefault="009B636F" w:rsidP="009B636F">
      <w:pPr>
        <w:pStyle w:val="a5"/>
        <w:spacing w:line="360" w:lineRule="auto"/>
        <w:jc w:val="both"/>
        <w:rPr>
          <w:rFonts w:cs="David"/>
          <w:sz w:val="28"/>
          <w:szCs w:val="28"/>
        </w:rPr>
      </w:pPr>
      <w:r w:rsidRPr="009B636F">
        <w:rPr>
          <w:rFonts w:cs="David"/>
          <w:b/>
          <w:bCs/>
          <w:sz w:val="28"/>
          <w:szCs w:val="28"/>
          <w:rtl/>
        </w:rPr>
        <w:lastRenderedPageBreak/>
        <w:t>הוועדה הציבורית לבדיקת האירוע הימי מיום 31 במאי 2010</w:t>
      </w:r>
      <w:r w:rsidRPr="009B636F">
        <w:rPr>
          <w:rFonts w:cs="David"/>
          <w:sz w:val="28"/>
          <w:szCs w:val="28"/>
          <w:rtl/>
        </w:rPr>
        <w:t>, דוח שני - ועדת טירקל, הבדיקה והחקירה בישראל של תלונות וטענות בדבר הפרות של דיני הלחימה על פי המשפט הבינלאומי, פברואר 2013</w:t>
      </w:r>
      <w:r w:rsidRPr="009B636F">
        <w:rPr>
          <w:rFonts w:cs="David" w:hint="cs"/>
          <w:sz w:val="28"/>
          <w:szCs w:val="28"/>
          <w:rtl/>
        </w:rPr>
        <w:t>.</w:t>
      </w:r>
      <w:r w:rsidRPr="009B636F">
        <w:rPr>
          <w:rFonts w:cs="David"/>
          <w:sz w:val="28"/>
          <w:szCs w:val="28"/>
          <w:rtl/>
        </w:rPr>
        <w:t xml:space="preserve"> </w:t>
      </w:r>
    </w:p>
    <w:p w:rsidR="009B636F" w:rsidRPr="009B636F" w:rsidRDefault="009B636F" w:rsidP="009B636F">
      <w:pPr>
        <w:pStyle w:val="a5"/>
        <w:spacing w:line="360" w:lineRule="auto"/>
        <w:jc w:val="both"/>
        <w:rPr>
          <w:rFonts w:asciiTheme="majorBidi" w:hAnsiTheme="majorBidi" w:cstheme="majorBidi"/>
          <w:sz w:val="28"/>
          <w:szCs w:val="28"/>
          <w:rtl/>
        </w:rPr>
      </w:pPr>
      <w:hyperlink r:id="rId98" w:history="1">
        <w:r w:rsidRPr="009B636F">
          <w:rPr>
            <w:rStyle w:val="Hyperlink"/>
            <w:rFonts w:asciiTheme="majorBidi" w:hAnsiTheme="majorBidi" w:cstheme="majorBidi"/>
            <w:sz w:val="28"/>
            <w:szCs w:val="28"/>
          </w:rPr>
          <w:t>http://www.turkel-committee.gov.il/files/newDoc3/The%20Turkel%20Report%20for%20website%20-%20hebrew.pdf</w:t>
        </w:r>
      </w:hyperlink>
    </w:p>
    <w:p w:rsidR="009B636F" w:rsidRPr="009B636F" w:rsidRDefault="009B636F" w:rsidP="009B636F">
      <w:pPr>
        <w:pStyle w:val="a5"/>
        <w:spacing w:line="360" w:lineRule="auto"/>
        <w:jc w:val="both"/>
        <w:rPr>
          <w:rFonts w:asciiTheme="majorBidi" w:hAnsiTheme="majorBidi" w:cstheme="majorBidi"/>
          <w:sz w:val="28"/>
          <w:szCs w:val="28"/>
          <w:rtl/>
        </w:rPr>
      </w:pPr>
    </w:p>
    <w:p w:rsidR="009B636F" w:rsidRPr="009B636F" w:rsidRDefault="009B636F" w:rsidP="009B636F">
      <w:pPr>
        <w:pStyle w:val="a5"/>
        <w:spacing w:line="360" w:lineRule="auto"/>
        <w:jc w:val="both"/>
        <w:rPr>
          <w:rFonts w:cs="David"/>
          <w:sz w:val="28"/>
          <w:szCs w:val="28"/>
          <w:shd w:val="clear" w:color="auto" w:fill="FFFFFF"/>
        </w:rPr>
      </w:pPr>
      <w:r w:rsidRPr="009B636F">
        <w:rPr>
          <w:rFonts w:ascii="Verdana" w:eastAsia="Times New Roman" w:hAnsi="Verdana" w:cs="David" w:hint="eastAsia"/>
          <w:b/>
          <w:bCs/>
          <w:sz w:val="28"/>
          <w:szCs w:val="28"/>
          <w:rtl/>
        </w:rPr>
        <w:t>החלטה</w:t>
      </w:r>
      <w:r w:rsidRPr="009B636F">
        <w:rPr>
          <w:rFonts w:ascii="Verdana" w:eastAsia="Times New Roman" w:hAnsi="Verdana" w:cs="David"/>
          <w:b/>
          <w:bCs/>
          <w:sz w:val="28"/>
          <w:szCs w:val="28"/>
          <w:rtl/>
        </w:rPr>
        <w:t xml:space="preserve"> </w:t>
      </w:r>
      <w:r w:rsidRPr="009B636F">
        <w:rPr>
          <w:rFonts w:ascii="Verdana" w:eastAsia="Times New Roman" w:hAnsi="Verdana" w:cs="David" w:hint="eastAsia"/>
          <w:b/>
          <w:bCs/>
          <w:sz w:val="28"/>
          <w:szCs w:val="28"/>
          <w:rtl/>
        </w:rPr>
        <w:t>מספר</w:t>
      </w:r>
      <w:r w:rsidRPr="009B636F">
        <w:rPr>
          <w:rFonts w:ascii="Verdana" w:eastAsia="Times New Roman" w:hAnsi="Verdana" w:cs="David"/>
          <w:b/>
          <w:bCs/>
          <w:sz w:val="28"/>
          <w:szCs w:val="28"/>
          <w:rtl/>
        </w:rPr>
        <w:t xml:space="preserve"> 1796 </w:t>
      </w:r>
      <w:r w:rsidRPr="009B636F">
        <w:rPr>
          <w:rFonts w:ascii="Verdana" w:eastAsia="Times New Roman" w:hAnsi="Verdana" w:cs="David" w:hint="eastAsia"/>
          <w:b/>
          <w:bCs/>
          <w:sz w:val="28"/>
          <w:szCs w:val="28"/>
          <w:rtl/>
        </w:rPr>
        <w:t>של</w:t>
      </w:r>
      <w:r w:rsidRPr="009B636F">
        <w:rPr>
          <w:rFonts w:ascii="Verdana" w:eastAsia="Times New Roman" w:hAnsi="Verdana" w:cs="David"/>
          <w:b/>
          <w:bCs/>
          <w:sz w:val="28"/>
          <w:szCs w:val="28"/>
          <w:rtl/>
        </w:rPr>
        <w:t xml:space="preserve"> </w:t>
      </w:r>
      <w:r w:rsidRPr="009B636F">
        <w:rPr>
          <w:rFonts w:ascii="Verdana" w:eastAsia="Times New Roman" w:hAnsi="Verdana" w:cs="David" w:hint="eastAsia"/>
          <w:b/>
          <w:bCs/>
          <w:sz w:val="28"/>
          <w:szCs w:val="28"/>
          <w:rtl/>
        </w:rPr>
        <w:t>הממשלה</w:t>
      </w:r>
      <w:r w:rsidRPr="009B636F">
        <w:rPr>
          <w:rFonts w:ascii="Verdana" w:eastAsia="Times New Roman" w:hAnsi="Verdana" w:cs="David" w:hint="cs"/>
          <w:sz w:val="28"/>
          <w:szCs w:val="28"/>
          <w:rtl/>
        </w:rPr>
        <w:t xml:space="preserve">, </w:t>
      </w:r>
      <w:r w:rsidRPr="009B636F">
        <w:rPr>
          <w:rFonts w:ascii="Arial" w:hAnsi="Arial" w:cs="David"/>
          <w:sz w:val="28"/>
          <w:szCs w:val="28"/>
          <w:shd w:val="clear" w:color="auto" w:fill="FAFAFA"/>
          <w:rtl/>
        </w:rPr>
        <w:t>מינוי ועדה ציבורית בלתי תלויה, בראשות שופט בית המשפט העליון בדימוס, יעקב טירקל, לבדיקת האירוע הימי מיום 31 במאי 2010</w:t>
      </w:r>
      <w:r w:rsidRPr="009B636F">
        <w:rPr>
          <w:rFonts w:ascii="Arial" w:hAnsi="Arial" w:cs="David" w:hint="cs"/>
          <w:sz w:val="28"/>
          <w:szCs w:val="28"/>
          <w:shd w:val="clear" w:color="auto" w:fill="FAFAFA"/>
          <w:rtl/>
        </w:rPr>
        <w:t xml:space="preserve"> </w:t>
      </w:r>
      <w:r w:rsidRPr="009B636F">
        <w:rPr>
          <w:rFonts w:ascii="Verdana" w:eastAsia="Times New Roman" w:hAnsi="Verdana" w:cs="David" w:hint="cs"/>
          <w:sz w:val="28"/>
          <w:szCs w:val="28"/>
          <w:rtl/>
        </w:rPr>
        <w:t>(</w:t>
      </w:r>
      <w:r w:rsidRPr="009B636F">
        <w:rPr>
          <w:rFonts w:ascii="Verdana" w:eastAsia="Times New Roman" w:hAnsi="Verdana" w:cs="David"/>
          <w:sz w:val="28"/>
          <w:szCs w:val="28"/>
          <w:rtl/>
        </w:rPr>
        <w:t>14.06.2010</w:t>
      </w:r>
      <w:r w:rsidRPr="009B636F">
        <w:rPr>
          <w:rFonts w:ascii="Verdana" w:eastAsia="Times New Roman" w:hAnsi="Verdana" w:cs="David" w:hint="cs"/>
          <w:sz w:val="28"/>
          <w:szCs w:val="28"/>
          <w:rtl/>
        </w:rPr>
        <w:t>).</w:t>
      </w:r>
    </w:p>
    <w:p w:rsidR="009B636F" w:rsidRPr="009B636F" w:rsidRDefault="009B636F" w:rsidP="009B636F">
      <w:pPr>
        <w:pStyle w:val="a5"/>
        <w:spacing w:line="360" w:lineRule="auto"/>
        <w:jc w:val="both"/>
        <w:rPr>
          <w:rFonts w:asciiTheme="majorBidi" w:hAnsiTheme="majorBidi" w:cstheme="majorBidi"/>
          <w:sz w:val="28"/>
          <w:szCs w:val="28"/>
          <w:shd w:val="clear" w:color="auto" w:fill="FFFFFF"/>
          <w:rtl/>
        </w:rPr>
      </w:pPr>
      <w:hyperlink r:id="rId99" w:history="1">
        <w:r w:rsidRPr="009B636F">
          <w:rPr>
            <w:rStyle w:val="Hyperlink"/>
            <w:rFonts w:asciiTheme="majorBidi" w:hAnsiTheme="majorBidi" w:cstheme="majorBidi"/>
            <w:sz w:val="28"/>
            <w:szCs w:val="28"/>
            <w:shd w:val="clear" w:color="auto" w:fill="FFFFFF"/>
          </w:rPr>
          <w:t>http://www.pmo.gov.il/Secretary/GovDecisions/2010/Pages/des1796.aspx</w:t>
        </w:r>
      </w:hyperlink>
    </w:p>
    <w:p w:rsidR="009B636F" w:rsidRPr="009B636F" w:rsidRDefault="009B636F" w:rsidP="009B636F">
      <w:pPr>
        <w:pStyle w:val="a5"/>
        <w:spacing w:line="360" w:lineRule="auto"/>
        <w:jc w:val="both"/>
        <w:rPr>
          <w:rFonts w:asciiTheme="majorBidi" w:hAnsiTheme="majorBidi" w:cstheme="majorBidi"/>
          <w:sz w:val="28"/>
          <w:szCs w:val="28"/>
          <w:shd w:val="clear" w:color="auto" w:fill="FFFFFF"/>
          <w:rtl/>
        </w:rPr>
      </w:pPr>
    </w:p>
    <w:p w:rsidR="009B636F" w:rsidRPr="009B636F" w:rsidRDefault="009B636F" w:rsidP="009B636F">
      <w:pPr>
        <w:pStyle w:val="a5"/>
        <w:bidi w:val="0"/>
        <w:spacing w:line="360" w:lineRule="auto"/>
        <w:jc w:val="both"/>
        <w:rPr>
          <w:rFonts w:asciiTheme="majorBidi" w:hAnsiTheme="majorBidi" w:cstheme="majorBidi"/>
          <w:sz w:val="28"/>
          <w:szCs w:val="28"/>
        </w:rPr>
      </w:pPr>
      <w:r w:rsidRPr="009B636F">
        <w:rPr>
          <w:rFonts w:asciiTheme="majorBidi" w:hAnsiTheme="majorBidi" w:cstheme="majorBidi"/>
          <w:b/>
          <w:bCs/>
          <w:sz w:val="28"/>
          <w:szCs w:val="28"/>
        </w:rPr>
        <w:t>Gaza Operation Investigations: An Update</w:t>
      </w:r>
      <w:r w:rsidRPr="009B636F">
        <w:rPr>
          <w:rFonts w:asciiTheme="majorBidi" w:hAnsiTheme="majorBidi" w:cstheme="majorBidi"/>
          <w:sz w:val="28"/>
          <w:szCs w:val="28"/>
        </w:rPr>
        <w:t>, The State of Israel, January 2010</w:t>
      </w:r>
      <w:r w:rsidRPr="009B636F">
        <w:rPr>
          <w:rFonts w:asciiTheme="majorBidi" w:hAnsiTheme="majorBidi" w:cstheme="majorBidi"/>
          <w:sz w:val="28"/>
          <w:szCs w:val="28"/>
          <w:rtl/>
        </w:rPr>
        <w:t>.</w:t>
      </w:r>
      <w:r w:rsidRPr="009B636F">
        <w:rPr>
          <w:rFonts w:asciiTheme="majorBidi" w:hAnsiTheme="majorBidi" w:cstheme="majorBidi"/>
          <w:sz w:val="28"/>
          <w:szCs w:val="28"/>
        </w:rPr>
        <w:t xml:space="preserve"> </w:t>
      </w:r>
    </w:p>
    <w:p w:rsidR="009B636F" w:rsidRPr="009B636F" w:rsidRDefault="009B636F" w:rsidP="009B636F">
      <w:pPr>
        <w:pStyle w:val="a5"/>
        <w:bidi w:val="0"/>
        <w:spacing w:line="360" w:lineRule="auto"/>
        <w:jc w:val="both"/>
        <w:rPr>
          <w:rFonts w:asciiTheme="majorBidi" w:hAnsiTheme="majorBidi" w:cstheme="majorBidi"/>
          <w:sz w:val="28"/>
          <w:szCs w:val="28"/>
        </w:rPr>
      </w:pPr>
      <w:hyperlink r:id="rId100" w:history="1">
        <w:r w:rsidRPr="009B636F">
          <w:rPr>
            <w:rStyle w:val="Hyperlink"/>
            <w:rFonts w:asciiTheme="majorBidi" w:hAnsiTheme="majorBidi" w:cstheme="majorBidi"/>
            <w:sz w:val="28"/>
            <w:szCs w:val="28"/>
          </w:rPr>
          <w:t>http://mfa.gov.il/MFA_Graphics/MFA%20Gallery/Documents/GazaOperationInvestigationsUpdate.pdf</w:t>
        </w:r>
      </w:hyperlink>
    </w:p>
    <w:p w:rsidR="009B636F" w:rsidRPr="009B636F" w:rsidRDefault="009B636F" w:rsidP="009B636F">
      <w:pPr>
        <w:pStyle w:val="a5"/>
        <w:bidi w:val="0"/>
        <w:spacing w:line="360" w:lineRule="auto"/>
        <w:jc w:val="both"/>
        <w:rPr>
          <w:rFonts w:asciiTheme="majorBidi" w:hAnsiTheme="majorBidi" w:cstheme="majorBidi"/>
          <w:sz w:val="28"/>
          <w:szCs w:val="28"/>
          <w:rtl/>
        </w:rPr>
      </w:pPr>
    </w:p>
    <w:p w:rsidR="009B636F" w:rsidRPr="009B636F" w:rsidRDefault="009B636F" w:rsidP="009B636F">
      <w:pPr>
        <w:pStyle w:val="a5"/>
        <w:bidi w:val="0"/>
        <w:spacing w:line="360" w:lineRule="auto"/>
        <w:jc w:val="both"/>
        <w:rPr>
          <w:rFonts w:asciiTheme="majorBidi" w:hAnsiTheme="majorBidi" w:cstheme="majorBidi"/>
          <w:sz w:val="28"/>
          <w:szCs w:val="28"/>
        </w:rPr>
      </w:pPr>
      <w:r w:rsidRPr="009B636F">
        <w:rPr>
          <w:rFonts w:asciiTheme="majorBidi" w:hAnsiTheme="majorBidi" w:cstheme="majorBidi"/>
          <w:b/>
          <w:bCs/>
          <w:sz w:val="28"/>
          <w:szCs w:val="28"/>
        </w:rPr>
        <w:t>Gaza Operation Investigations: Second Update</w:t>
      </w:r>
      <w:r w:rsidRPr="009B636F">
        <w:rPr>
          <w:rFonts w:asciiTheme="majorBidi" w:hAnsiTheme="majorBidi" w:cstheme="majorBidi"/>
          <w:sz w:val="28"/>
          <w:szCs w:val="28"/>
        </w:rPr>
        <w:t>, The State of Israel, July 2010</w:t>
      </w:r>
      <w:r w:rsidRPr="009B636F">
        <w:rPr>
          <w:rFonts w:asciiTheme="majorBidi" w:hAnsiTheme="majorBidi" w:cstheme="majorBidi"/>
          <w:sz w:val="28"/>
          <w:szCs w:val="28"/>
          <w:rtl/>
        </w:rPr>
        <w:t>.</w:t>
      </w:r>
      <w:r w:rsidRPr="009B636F">
        <w:rPr>
          <w:rFonts w:asciiTheme="majorBidi" w:hAnsiTheme="majorBidi" w:cstheme="majorBidi"/>
          <w:sz w:val="28"/>
          <w:szCs w:val="28"/>
        </w:rPr>
        <w:t xml:space="preserve"> </w:t>
      </w:r>
    </w:p>
    <w:p w:rsidR="009B636F" w:rsidRPr="009B636F" w:rsidRDefault="009B636F" w:rsidP="009B636F">
      <w:pPr>
        <w:pStyle w:val="a5"/>
        <w:bidi w:val="0"/>
        <w:spacing w:line="360" w:lineRule="auto"/>
        <w:jc w:val="both"/>
        <w:rPr>
          <w:rFonts w:asciiTheme="majorBidi" w:hAnsiTheme="majorBidi" w:cstheme="majorBidi"/>
          <w:sz w:val="28"/>
          <w:szCs w:val="28"/>
        </w:rPr>
      </w:pPr>
      <w:hyperlink r:id="rId101" w:history="1">
        <w:r w:rsidRPr="009B636F">
          <w:rPr>
            <w:rStyle w:val="Hyperlink"/>
            <w:rFonts w:asciiTheme="majorBidi" w:hAnsiTheme="majorBidi" w:cstheme="majorBidi"/>
            <w:sz w:val="28"/>
            <w:szCs w:val="28"/>
          </w:rPr>
          <w:t>http://www.mfa.gov.il/MFA_Graphics/MFA%20Gallery/Documents/GazaUpdateJuly2010.pdf</w:t>
        </w:r>
      </w:hyperlink>
    </w:p>
    <w:p w:rsidR="009B636F" w:rsidRPr="009B636F" w:rsidRDefault="009B636F" w:rsidP="009B636F">
      <w:pPr>
        <w:pStyle w:val="a5"/>
        <w:bidi w:val="0"/>
        <w:spacing w:line="360" w:lineRule="auto"/>
        <w:jc w:val="both"/>
        <w:rPr>
          <w:rFonts w:asciiTheme="majorBidi" w:hAnsiTheme="majorBidi" w:cstheme="majorBidi"/>
          <w:sz w:val="28"/>
          <w:szCs w:val="28"/>
          <w:rtl/>
        </w:rPr>
      </w:pPr>
    </w:p>
    <w:p w:rsidR="009B636F" w:rsidRPr="009B636F" w:rsidRDefault="009B636F" w:rsidP="009B636F">
      <w:pPr>
        <w:pStyle w:val="a5"/>
        <w:bidi w:val="0"/>
        <w:spacing w:line="360" w:lineRule="auto"/>
        <w:jc w:val="both"/>
        <w:rPr>
          <w:rFonts w:asciiTheme="majorBidi" w:hAnsiTheme="majorBidi" w:cstheme="majorBidi"/>
          <w:sz w:val="28"/>
          <w:szCs w:val="28"/>
        </w:rPr>
      </w:pPr>
      <w:r w:rsidRPr="009B636F">
        <w:rPr>
          <w:rFonts w:asciiTheme="majorBidi" w:eastAsia="Times New Roman" w:hAnsiTheme="majorBidi" w:cstheme="majorBidi"/>
          <w:b/>
          <w:bCs/>
          <w:kern w:val="36"/>
          <w:sz w:val="28"/>
          <w:szCs w:val="28"/>
        </w:rPr>
        <w:t>Statement by Amb Leshno Yaar to the UN Human Rights Council</w:t>
      </w:r>
      <w:r w:rsidRPr="009B636F">
        <w:rPr>
          <w:rFonts w:asciiTheme="majorBidi" w:eastAsia="Times New Roman" w:hAnsiTheme="majorBidi" w:cstheme="majorBidi"/>
          <w:kern w:val="36"/>
          <w:sz w:val="28"/>
          <w:szCs w:val="28"/>
        </w:rPr>
        <w:t xml:space="preserve">, </w:t>
      </w:r>
      <w:r w:rsidRPr="009B636F">
        <w:rPr>
          <w:rFonts w:asciiTheme="majorBidi" w:hAnsiTheme="majorBidi" w:cstheme="majorBidi"/>
          <w:sz w:val="28"/>
          <w:szCs w:val="28"/>
        </w:rPr>
        <w:t>29 Sep 2009, Israeli Ministry of Foreign Affairs</w:t>
      </w:r>
      <w:r w:rsidRPr="009B636F">
        <w:rPr>
          <w:rFonts w:asciiTheme="majorBidi" w:hAnsiTheme="majorBidi" w:cstheme="majorBidi"/>
          <w:sz w:val="28"/>
          <w:szCs w:val="28"/>
          <w:rtl/>
        </w:rPr>
        <w:t>.</w:t>
      </w:r>
      <w:r w:rsidRPr="009B636F">
        <w:rPr>
          <w:rFonts w:asciiTheme="majorBidi" w:hAnsiTheme="majorBidi" w:cstheme="majorBidi"/>
          <w:sz w:val="28"/>
          <w:szCs w:val="28"/>
        </w:rPr>
        <w:t xml:space="preserve"> </w:t>
      </w:r>
    </w:p>
    <w:p w:rsidR="009B636F" w:rsidRPr="009B636F" w:rsidRDefault="009B636F" w:rsidP="009B636F">
      <w:pPr>
        <w:pStyle w:val="a5"/>
        <w:bidi w:val="0"/>
        <w:spacing w:line="360" w:lineRule="auto"/>
        <w:jc w:val="both"/>
        <w:rPr>
          <w:rFonts w:asciiTheme="majorBidi" w:hAnsiTheme="majorBidi" w:cstheme="majorBidi"/>
          <w:sz w:val="28"/>
          <w:szCs w:val="28"/>
        </w:rPr>
      </w:pPr>
      <w:hyperlink r:id="rId102" w:history="1">
        <w:r w:rsidRPr="009B636F">
          <w:rPr>
            <w:rStyle w:val="Hyperlink"/>
            <w:rFonts w:asciiTheme="majorBidi" w:hAnsiTheme="majorBidi" w:cstheme="majorBidi"/>
            <w:sz w:val="28"/>
            <w:szCs w:val="28"/>
          </w:rPr>
          <w:t>http://mfa.gov.il/mfa/internatlorgs/speeches/pages/amb_leshno_yaar_un_human_rights_council_29-sep-2009.aspx</w:t>
        </w:r>
      </w:hyperlink>
    </w:p>
    <w:p w:rsidR="009B636F" w:rsidRPr="009B636F" w:rsidRDefault="009B636F" w:rsidP="009B636F">
      <w:pPr>
        <w:pStyle w:val="a5"/>
        <w:bidi w:val="0"/>
        <w:spacing w:line="360" w:lineRule="auto"/>
        <w:jc w:val="both"/>
        <w:rPr>
          <w:rFonts w:asciiTheme="majorBidi" w:hAnsiTheme="majorBidi" w:cstheme="majorBidi"/>
          <w:sz w:val="28"/>
          <w:szCs w:val="28"/>
        </w:rPr>
      </w:pPr>
    </w:p>
    <w:p w:rsidR="009B636F" w:rsidRPr="009B636F" w:rsidRDefault="009B636F" w:rsidP="009B636F">
      <w:pPr>
        <w:pStyle w:val="a5"/>
        <w:bidi w:val="0"/>
        <w:spacing w:line="360" w:lineRule="auto"/>
        <w:jc w:val="both"/>
        <w:rPr>
          <w:rStyle w:val="aa"/>
          <w:rFonts w:asciiTheme="majorBidi" w:hAnsiTheme="majorBidi" w:cstheme="majorBidi"/>
          <w:sz w:val="28"/>
          <w:szCs w:val="28"/>
          <w:bdr w:val="none" w:sz="0" w:space="0" w:color="auto" w:frame="1"/>
          <w:shd w:val="clear" w:color="auto" w:fill="FFFFFF"/>
        </w:rPr>
      </w:pPr>
      <w:hyperlink r:id="rId103" w:tgtFrame="_blank" w:history="1">
        <w:r w:rsidRPr="009B636F">
          <w:rPr>
            <w:rFonts w:asciiTheme="majorBidi" w:hAnsiTheme="majorBidi" w:cstheme="majorBidi"/>
            <w:b/>
            <w:bCs/>
            <w:sz w:val="28"/>
            <w:szCs w:val="28"/>
          </w:rPr>
          <w:t>The 2014 Gaza Conflict: Factual and Legal Aspects - The Full Report</w:t>
        </w:r>
      </w:hyperlink>
      <w:r w:rsidRPr="009B636F">
        <w:rPr>
          <w:rFonts w:asciiTheme="majorBidi" w:hAnsiTheme="majorBidi" w:cstheme="majorBidi"/>
          <w:b/>
          <w:bCs/>
          <w:sz w:val="28"/>
          <w:szCs w:val="28"/>
        </w:rPr>
        <w:t xml:space="preserve">, </w:t>
      </w:r>
      <w:r w:rsidRPr="009B636F">
        <w:rPr>
          <w:rStyle w:val="aa"/>
          <w:rFonts w:asciiTheme="majorBidi" w:hAnsiTheme="majorBidi" w:cstheme="majorBidi"/>
          <w:bCs w:val="0"/>
          <w:sz w:val="28"/>
          <w:szCs w:val="28"/>
          <w:bdr w:val="none" w:sz="0" w:space="0" w:color="auto" w:frame="1"/>
          <w:shd w:val="clear" w:color="auto" w:fill="FFFFFF"/>
        </w:rPr>
        <w:t>State of Israel</w:t>
      </w:r>
      <w:r w:rsidRPr="009B636F">
        <w:rPr>
          <w:rStyle w:val="aa"/>
          <w:rFonts w:asciiTheme="majorBidi" w:hAnsiTheme="majorBidi" w:cstheme="majorBidi"/>
          <w:sz w:val="28"/>
          <w:szCs w:val="28"/>
          <w:bdr w:val="none" w:sz="0" w:space="0" w:color="auto" w:frame="1"/>
          <w:shd w:val="clear" w:color="auto" w:fill="FFFFFF"/>
        </w:rPr>
        <w:t xml:space="preserve">, </w:t>
      </w:r>
      <w:r w:rsidRPr="009B636F">
        <w:rPr>
          <w:rStyle w:val="aa"/>
          <w:rFonts w:asciiTheme="majorBidi" w:hAnsiTheme="majorBidi" w:cstheme="majorBidi"/>
          <w:bCs w:val="0"/>
          <w:sz w:val="28"/>
          <w:szCs w:val="28"/>
          <w:bdr w:val="none" w:sz="0" w:space="0" w:color="auto" w:frame="1"/>
          <w:shd w:val="clear" w:color="auto" w:fill="FFFFFF"/>
        </w:rPr>
        <w:t>May 2015</w:t>
      </w:r>
      <w:r w:rsidRPr="009B636F">
        <w:rPr>
          <w:rStyle w:val="aa"/>
          <w:rFonts w:asciiTheme="majorBidi" w:hAnsiTheme="majorBidi" w:cstheme="majorBidi"/>
          <w:sz w:val="28"/>
          <w:szCs w:val="28"/>
          <w:bdr w:val="none" w:sz="0" w:space="0" w:color="auto" w:frame="1"/>
          <w:shd w:val="clear" w:color="auto" w:fill="FFFFFF"/>
        </w:rPr>
        <w:t>.</w:t>
      </w:r>
    </w:p>
    <w:p w:rsidR="009B636F" w:rsidRPr="009B636F" w:rsidRDefault="009B636F" w:rsidP="009B636F">
      <w:pPr>
        <w:pStyle w:val="a5"/>
        <w:bidi w:val="0"/>
        <w:spacing w:line="360" w:lineRule="auto"/>
        <w:jc w:val="both"/>
        <w:rPr>
          <w:rStyle w:val="aa"/>
          <w:rFonts w:asciiTheme="majorBidi" w:hAnsiTheme="majorBidi" w:cstheme="majorBidi"/>
          <w:b w:val="0"/>
          <w:bCs w:val="0"/>
          <w:sz w:val="28"/>
          <w:szCs w:val="28"/>
          <w:bdr w:val="none" w:sz="0" w:space="0" w:color="auto" w:frame="1"/>
          <w:shd w:val="clear" w:color="auto" w:fill="FFFFFF"/>
        </w:rPr>
      </w:pPr>
      <w:hyperlink r:id="rId104" w:history="1">
        <w:r w:rsidRPr="009B636F">
          <w:rPr>
            <w:rStyle w:val="Hyperlink"/>
            <w:rFonts w:asciiTheme="majorBidi" w:hAnsiTheme="majorBidi" w:cstheme="majorBidi"/>
            <w:bCs/>
            <w:sz w:val="28"/>
            <w:szCs w:val="28"/>
            <w:bdr w:val="none" w:sz="0" w:space="0" w:color="auto" w:frame="1"/>
            <w:shd w:val="clear" w:color="auto" w:fill="FFFFFF"/>
          </w:rPr>
          <w:t>http://mfa.gov.il/ProtectiveEdge/Documents/2014GazaConflictFullReport.pdf</w:t>
        </w:r>
      </w:hyperlink>
    </w:p>
    <w:p w:rsidR="009B636F" w:rsidRPr="009B636F" w:rsidRDefault="009B636F" w:rsidP="009B636F">
      <w:pPr>
        <w:pStyle w:val="a5"/>
        <w:spacing w:line="360" w:lineRule="auto"/>
        <w:jc w:val="both"/>
        <w:rPr>
          <w:rFonts w:asciiTheme="majorBidi" w:hAnsiTheme="majorBidi" w:cstheme="majorBidi"/>
          <w:bCs/>
          <w:sz w:val="28"/>
          <w:szCs w:val="28"/>
          <w:shd w:val="clear" w:color="auto" w:fill="FFFFFF"/>
          <w:rtl/>
        </w:rPr>
      </w:pPr>
    </w:p>
    <w:p w:rsidR="009B636F" w:rsidRPr="009B636F" w:rsidRDefault="009B636F" w:rsidP="009B636F">
      <w:pPr>
        <w:pStyle w:val="a5"/>
        <w:bidi w:val="0"/>
        <w:spacing w:line="360" w:lineRule="auto"/>
        <w:jc w:val="both"/>
        <w:rPr>
          <w:rFonts w:asciiTheme="majorBidi" w:hAnsiTheme="majorBidi" w:cstheme="majorBidi"/>
          <w:sz w:val="28"/>
          <w:szCs w:val="28"/>
        </w:rPr>
      </w:pPr>
      <w:r w:rsidRPr="009B636F">
        <w:rPr>
          <w:rFonts w:asciiTheme="majorBidi" w:hAnsiTheme="majorBidi" w:cstheme="majorBidi"/>
          <w:b/>
          <w:bCs/>
          <w:sz w:val="28"/>
          <w:szCs w:val="28"/>
        </w:rPr>
        <w:t>The Operation in Gaza 27 December 2008 – 18 January 2009, Factual and Legal Aspects, The State of Israel</w:t>
      </w:r>
      <w:r w:rsidRPr="009B636F">
        <w:rPr>
          <w:rFonts w:asciiTheme="majorBidi" w:hAnsiTheme="majorBidi" w:cstheme="majorBidi"/>
          <w:sz w:val="28"/>
          <w:szCs w:val="28"/>
        </w:rPr>
        <w:t xml:space="preserve">, July 2009. </w:t>
      </w:r>
    </w:p>
    <w:p w:rsidR="009B636F" w:rsidRPr="009B636F" w:rsidRDefault="009B636F" w:rsidP="009B636F">
      <w:pPr>
        <w:pStyle w:val="a5"/>
        <w:bidi w:val="0"/>
        <w:spacing w:line="360" w:lineRule="auto"/>
        <w:jc w:val="both"/>
        <w:rPr>
          <w:rFonts w:asciiTheme="majorBidi" w:hAnsiTheme="majorBidi" w:cstheme="majorBidi"/>
          <w:sz w:val="28"/>
          <w:szCs w:val="28"/>
        </w:rPr>
      </w:pPr>
      <w:hyperlink r:id="rId105" w:history="1">
        <w:r w:rsidRPr="009B636F">
          <w:rPr>
            <w:rStyle w:val="Hyperlink"/>
            <w:rFonts w:asciiTheme="majorBidi" w:hAnsiTheme="majorBidi" w:cstheme="majorBidi"/>
            <w:sz w:val="28"/>
            <w:szCs w:val="28"/>
          </w:rPr>
          <w:t>http://www.mfa.gov.il/MFA_Graphics/MFA%20Gallery/Documents/GazaOperation%20w%20Links.pdf</w:t>
        </w:r>
      </w:hyperlink>
    </w:p>
    <w:p w:rsidR="009B636F" w:rsidRPr="009B636F" w:rsidRDefault="009B636F" w:rsidP="009B636F">
      <w:pPr>
        <w:pStyle w:val="a5"/>
        <w:bidi w:val="0"/>
        <w:spacing w:line="360" w:lineRule="auto"/>
        <w:jc w:val="both"/>
        <w:rPr>
          <w:rFonts w:asciiTheme="majorBidi" w:hAnsiTheme="majorBidi" w:cstheme="majorBidi"/>
          <w:sz w:val="28"/>
          <w:szCs w:val="28"/>
          <w:rtl/>
        </w:rPr>
      </w:pPr>
    </w:p>
    <w:p w:rsidR="009B636F" w:rsidRPr="009B636F" w:rsidRDefault="009B636F" w:rsidP="009B636F">
      <w:pPr>
        <w:pStyle w:val="a5"/>
        <w:spacing w:line="360" w:lineRule="auto"/>
        <w:jc w:val="both"/>
        <w:rPr>
          <w:rFonts w:cs="David"/>
          <w:sz w:val="28"/>
          <w:szCs w:val="28"/>
          <w:rtl/>
        </w:rPr>
      </w:pPr>
      <w:r w:rsidRPr="009B636F">
        <w:rPr>
          <w:rFonts w:cs="David" w:hint="cs"/>
          <w:sz w:val="28"/>
          <w:szCs w:val="28"/>
          <w:rtl/>
        </w:rPr>
        <w:t>ארצות הברית</w:t>
      </w:r>
    </w:p>
    <w:p w:rsidR="009B636F" w:rsidRPr="009B636F" w:rsidRDefault="009B636F" w:rsidP="009B636F">
      <w:pPr>
        <w:spacing w:after="0" w:line="360" w:lineRule="auto"/>
        <w:jc w:val="both"/>
        <w:rPr>
          <w:rFonts w:cs="David"/>
          <w:color w:val="0000FF"/>
          <w:sz w:val="28"/>
          <w:szCs w:val="28"/>
          <w:u w:val="single"/>
          <w:rtl/>
        </w:rPr>
      </w:pPr>
    </w:p>
    <w:p w:rsidR="009B636F" w:rsidRPr="009B636F" w:rsidRDefault="009B636F" w:rsidP="009B636F">
      <w:pPr>
        <w:pStyle w:val="a5"/>
        <w:bidi w:val="0"/>
        <w:spacing w:line="360" w:lineRule="auto"/>
        <w:jc w:val="both"/>
        <w:rPr>
          <w:rFonts w:asciiTheme="majorBidi" w:hAnsiTheme="majorBidi" w:cstheme="majorBidi"/>
          <w:sz w:val="28"/>
          <w:szCs w:val="28"/>
          <w:shd w:val="clear" w:color="auto" w:fill="FFFFFF"/>
        </w:rPr>
      </w:pPr>
      <w:r w:rsidRPr="009B636F">
        <w:rPr>
          <w:rFonts w:asciiTheme="majorBidi" w:hAnsiTheme="majorBidi" w:cstheme="majorBidi"/>
          <w:b/>
          <w:bCs/>
          <w:sz w:val="28"/>
          <w:szCs w:val="28"/>
          <w:shd w:val="clear" w:color="auto" w:fill="FFFFFF"/>
        </w:rPr>
        <w:t>Airstrike on the MSF Trauma Center in Kunduz Afghanistan</w:t>
      </w:r>
      <w:r w:rsidRPr="009B636F">
        <w:rPr>
          <w:rFonts w:asciiTheme="majorBidi" w:hAnsiTheme="majorBidi" w:cstheme="majorBidi"/>
          <w:sz w:val="28"/>
          <w:szCs w:val="28"/>
          <w:shd w:val="clear" w:color="auto" w:fill="FFFFFF"/>
        </w:rPr>
        <w:t xml:space="preserve"> - 3 Oct 2015, US CENTCOM FOIA Library. </w:t>
      </w:r>
    </w:p>
    <w:p w:rsidR="009B636F" w:rsidRPr="009B636F" w:rsidRDefault="009B636F" w:rsidP="009B636F">
      <w:pPr>
        <w:pStyle w:val="a5"/>
        <w:bidi w:val="0"/>
        <w:spacing w:line="360" w:lineRule="auto"/>
        <w:jc w:val="both"/>
        <w:rPr>
          <w:rFonts w:asciiTheme="majorBidi" w:hAnsiTheme="majorBidi" w:cstheme="majorBidi"/>
          <w:sz w:val="28"/>
          <w:szCs w:val="28"/>
          <w:rtl/>
        </w:rPr>
      </w:pPr>
      <w:hyperlink r:id="rId106" w:history="1">
        <w:r w:rsidRPr="009B636F">
          <w:rPr>
            <w:rStyle w:val="Hyperlink"/>
            <w:rFonts w:asciiTheme="majorBidi" w:hAnsiTheme="majorBidi" w:cstheme="majorBidi"/>
            <w:sz w:val="28"/>
            <w:szCs w:val="28"/>
            <w:shd w:val="clear" w:color="auto" w:fill="FFFFFF"/>
          </w:rPr>
          <w:t>https://www6.centcom.mil/foia_rr/FOIA_RR.asp?Path=/5%20USC%20552(a)(2)(D)Records&amp;Folder=1.%20Airstrike%20on%20the%20MSF%20Trauma%20Center%20in%20Kunduz%20Afghanistan%20-%203%20Oct%202015</w:t>
        </w:r>
      </w:hyperlink>
    </w:p>
    <w:p w:rsidR="009B636F" w:rsidRPr="009B636F" w:rsidRDefault="009B636F" w:rsidP="009B636F">
      <w:pPr>
        <w:pStyle w:val="a5"/>
        <w:bidi w:val="0"/>
        <w:spacing w:line="360" w:lineRule="auto"/>
        <w:jc w:val="both"/>
        <w:rPr>
          <w:rFonts w:asciiTheme="majorBidi" w:hAnsiTheme="majorBidi" w:cstheme="majorBidi"/>
          <w:sz w:val="28"/>
          <w:szCs w:val="28"/>
          <w:rtl/>
        </w:rPr>
      </w:pPr>
    </w:p>
    <w:p w:rsidR="009B636F" w:rsidRPr="009B636F" w:rsidRDefault="009B636F" w:rsidP="009B636F">
      <w:pPr>
        <w:shd w:val="clear" w:color="auto" w:fill="FFFFFF"/>
        <w:bidi w:val="0"/>
        <w:spacing w:after="0" w:line="360" w:lineRule="auto"/>
        <w:jc w:val="both"/>
        <w:outlineLvl w:val="0"/>
        <w:rPr>
          <w:rFonts w:asciiTheme="majorBidi" w:hAnsiTheme="majorBidi" w:cstheme="majorBidi"/>
          <w:sz w:val="28"/>
          <w:szCs w:val="28"/>
        </w:rPr>
      </w:pPr>
      <w:bookmarkStart w:id="118" w:name="_Toc456027370"/>
      <w:r w:rsidRPr="009B636F">
        <w:rPr>
          <w:rFonts w:asciiTheme="majorBidi" w:eastAsia="Times New Roman" w:hAnsiTheme="majorBidi" w:cstheme="majorBidi"/>
          <w:kern w:val="36"/>
          <w:sz w:val="28"/>
          <w:szCs w:val="28"/>
        </w:rPr>
        <w:t xml:space="preserve">H.Res. 867 (111th): </w:t>
      </w:r>
      <w:r w:rsidRPr="009B636F">
        <w:rPr>
          <w:rFonts w:asciiTheme="majorBidi" w:eastAsia="Times New Roman" w:hAnsiTheme="majorBidi" w:cstheme="majorBidi"/>
          <w:b/>
          <w:bCs/>
          <w:kern w:val="36"/>
          <w:sz w:val="28"/>
          <w:szCs w:val="28"/>
        </w:rPr>
        <w:t xml:space="preserve">Calling on the President and the Secretary of State to oppose unequivocally any endorsement or further consideration of the “Report of the </w:t>
      </w:r>
      <w:r w:rsidRPr="009B636F">
        <w:rPr>
          <w:rFonts w:asciiTheme="majorBidi" w:eastAsia="Times New Roman" w:hAnsiTheme="majorBidi" w:cstheme="majorBidi"/>
          <w:b/>
          <w:bCs/>
          <w:sz w:val="28"/>
          <w:szCs w:val="28"/>
        </w:rPr>
        <w:t>United Nations Fact Finding Mission on the Gaza Conflict”</w:t>
      </w:r>
      <w:r w:rsidRPr="009B636F">
        <w:rPr>
          <w:rFonts w:asciiTheme="majorBidi" w:eastAsia="Times New Roman" w:hAnsiTheme="majorBidi" w:cstheme="majorBidi"/>
          <w:sz w:val="28"/>
          <w:szCs w:val="28"/>
        </w:rPr>
        <w:t xml:space="preserve"> in multilateral fora.</w:t>
      </w:r>
      <w:bookmarkEnd w:id="118"/>
    </w:p>
    <w:p w:rsidR="009B636F" w:rsidRPr="009B636F" w:rsidRDefault="009B636F" w:rsidP="009B636F">
      <w:pPr>
        <w:shd w:val="clear" w:color="auto" w:fill="FFFFFF"/>
        <w:bidi w:val="0"/>
        <w:spacing w:after="0" w:line="360" w:lineRule="auto"/>
        <w:jc w:val="both"/>
        <w:outlineLvl w:val="0"/>
        <w:rPr>
          <w:rFonts w:asciiTheme="majorBidi" w:eastAsia="Times New Roman" w:hAnsiTheme="majorBidi" w:cstheme="majorBidi"/>
          <w:sz w:val="28"/>
          <w:szCs w:val="28"/>
        </w:rPr>
      </w:pPr>
      <w:hyperlink r:id="rId107" w:history="1">
        <w:bookmarkStart w:id="119" w:name="_Toc456027371"/>
        <w:r w:rsidRPr="009B636F">
          <w:rPr>
            <w:rStyle w:val="Hyperlink"/>
            <w:rFonts w:asciiTheme="majorBidi" w:eastAsia="Times New Roman" w:hAnsiTheme="majorBidi" w:cstheme="majorBidi"/>
            <w:sz w:val="28"/>
            <w:szCs w:val="28"/>
          </w:rPr>
          <w:t>https://www.govtrack.us/congress/bills/111/hres867/text</w:t>
        </w:r>
        <w:bookmarkEnd w:id="119"/>
      </w:hyperlink>
    </w:p>
    <w:p w:rsidR="009B636F" w:rsidRPr="009B636F" w:rsidRDefault="009B636F" w:rsidP="009B636F">
      <w:pPr>
        <w:spacing w:after="0" w:line="360" w:lineRule="auto"/>
        <w:jc w:val="both"/>
        <w:rPr>
          <w:rFonts w:asciiTheme="majorBidi" w:hAnsiTheme="majorBidi" w:cstheme="majorBidi"/>
          <w:color w:val="0000FF"/>
          <w:sz w:val="28"/>
          <w:szCs w:val="28"/>
          <w:u w:val="single"/>
          <w:rtl/>
        </w:rPr>
      </w:pPr>
    </w:p>
    <w:p w:rsidR="009B636F" w:rsidRPr="009B636F" w:rsidRDefault="009B636F" w:rsidP="009B636F">
      <w:pPr>
        <w:pStyle w:val="a5"/>
        <w:bidi w:val="0"/>
        <w:spacing w:line="360" w:lineRule="auto"/>
        <w:jc w:val="both"/>
        <w:rPr>
          <w:rFonts w:asciiTheme="majorBidi" w:eastAsia="Times New Roman" w:hAnsiTheme="majorBidi" w:cstheme="majorBidi"/>
          <w:sz w:val="28"/>
          <w:szCs w:val="28"/>
        </w:rPr>
      </w:pPr>
      <w:r w:rsidRPr="009B636F">
        <w:rPr>
          <w:rFonts w:asciiTheme="majorBidi" w:hAnsiTheme="majorBidi" w:cstheme="majorBidi"/>
          <w:b/>
          <w:bCs/>
          <w:sz w:val="28"/>
          <w:szCs w:val="28"/>
        </w:rPr>
        <w:t>Remarks by Ambassador Susan E. Rice, U.S. Permanent Representative to the United Nations, at the General Assembly Stakeout Following the Human Rights Council Elections</w:t>
      </w:r>
      <w:r w:rsidRPr="009B636F">
        <w:rPr>
          <w:rFonts w:asciiTheme="majorBidi" w:hAnsiTheme="majorBidi" w:cstheme="majorBidi"/>
          <w:sz w:val="28"/>
          <w:szCs w:val="28"/>
        </w:rPr>
        <w:t xml:space="preserve">, </w:t>
      </w:r>
      <w:r w:rsidRPr="009B636F">
        <w:rPr>
          <w:rFonts w:asciiTheme="majorBidi" w:eastAsia="Times New Roman" w:hAnsiTheme="majorBidi" w:cstheme="majorBidi"/>
          <w:sz w:val="28"/>
          <w:szCs w:val="28"/>
        </w:rPr>
        <w:t xml:space="preserve">New York City, November 12, 2012. </w:t>
      </w:r>
    </w:p>
    <w:p w:rsidR="009B636F" w:rsidRPr="009B636F" w:rsidRDefault="009B636F" w:rsidP="009B636F">
      <w:pPr>
        <w:pStyle w:val="a5"/>
        <w:bidi w:val="0"/>
        <w:spacing w:line="360" w:lineRule="auto"/>
        <w:jc w:val="both"/>
        <w:rPr>
          <w:rFonts w:asciiTheme="majorBidi" w:eastAsia="Times New Roman" w:hAnsiTheme="majorBidi" w:cstheme="majorBidi"/>
          <w:sz w:val="28"/>
          <w:szCs w:val="28"/>
        </w:rPr>
      </w:pPr>
      <w:hyperlink r:id="rId108" w:history="1">
        <w:r w:rsidRPr="009B636F">
          <w:rPr>
            <w:rStyle w:val="Hyperlink"/>
            <w:rFonts w:asciiTheme="majorBidi" w:eastAsia="Times New Roman" w:hAnsiTheme="majorBidi" w:cstheme="majorBidi"/>
            <w:sz w:val="28"/>
            <w:szCs w:val="28"/>
          </w:rPr>
          <w:t>http://usun.state.gov/remarks/5579</w:t>
        </w:r>
      </w:hyperlink>
    </w:p>
    <w:p w:rsidR="009B636F" w:rsidRPr="00057035" w:rsidRDefault="009B636F" w:rsidP="009B636F">
      <w:pPr>
        <w:pStyle w:val="a5"/>
        <w:bidi w:val="0"/>
        <w:spacing w:line="360" w:lineRule="auto"/>
        <w:jc w:val="both"/>
        <w:rPr>
          <w:rFonts w:asciiTheme="majorBidi" w:hAnsiTheme="majorBidi" w:cs="David"/>
          <w:sz w:val="28"/>
          <w:szCs w:val="28"/>
        </w:rPr>
      </w:pPr>
    </w:p>
    <w:p w:rsidR="009B636F" w:rsidRPr="00057035" w:rsidRDefault="009B636F" w:rsidP="009B636F">
      <w:pPr>
        <w:spacing w:after="0" w:line="360" w:lineRule="auto"/>
        <w:jc w:val="both"/>
        <w:rPr>
          <w:rFonts w:cs="David"/>
          <w:b/>
          <w:bCs/>
          <w:sz w:val="28"/>
          <w:szCs w:val="28"/>
          <w:rtl/>
        </w:rPr>
      </w:pPr>
      <w:r w:rsidRPr="00057035">
        <w:rPr>
          <w:rFonts w:cs="David" w:hint="cs"/>
          <w:b/>
          <w:bCs/>
          <w:sz w:val="28"/>
          <w:szCs w:val="28"/>
          <w:rtl/>
        </w:rPr>
        <w:lastRenderedPageBreak/>
        <w:t>מידע כללי מהמרשתת (אינטרנט)</w:t>
      </w:r>
    </w:p>
    <w:p w:rsidR="009B636F" w:rsidRPr="00057035" w:rsidRDefault="009B636F" w:rsidP="009B636F">
      <w:pPr>
        <w:spacing w:after="0" w:line="360" w:lineRule="auto"/>
        <w:jc w:val="both"/>
        <w:rPr>
          <w:rFonts w:cs="David"/>
          <w:sz w:val="28"/>
          <w:szCs w:val="28"/>
          <w:rtl/>
        </w:rPr>
      </w:pPr>
    </w:p>
    <w:p w:rsidR="009B636F" w:rsidRPr="00057035" w:rsidRDefault="009B636F" w:rsidP="009B636F">
      <w:pPr>
        <w:spacing w:after="0" w:line="360" w:lineRule="auto"/>
        <w:jc w:val="both"/>
        <w:rPr>
          <w:rFonts w:cs="David"/>
          <w:sz w:val="28"/>
          <w:szCs w:val="28"/>
          <w:rtl/>
        </w:rPr>
      </w:pPr>
      <w:r w:rsidRPr="00057035">
        <w:rPr>
          <w:rFonts w:cs="David" w:hint="cs"/>
          <w:sz w:val="28"/>
          <w:szCs w:val="28"/>
          <w:rtl/>
        </w:rPr>
        <w:t xml:space="preserve">אבן אבא, </w:t>
      </w:r>
      <w:r w:rsidRPr="00057035">
        <w:rPr>
          <w:rFonts w:cs="David" w:hint="cs"/>
          <w:b/>
          <w:bCs/>
          <w:sz w:val="28"/>
          <w:szCs w:val="28"/>
          <w:rtl/>
        </w:rPr>
        <w:t>אתר ההנצחה של משרד החוץ</w:t>
      </w:r>
      <w:r w:rsidRPr="00057035">
        <w:rPr>
          <w:rFonts w:cs="David"/>
          <w:sz w:val="28"/>
          <w:szCs w:val="28"/>
        </w:rPr>
        <w:t>.</w:t>
      </w:r>
      <w:r w:rsidRPr="00057035">
        <w:rPr>
          <w:rFonts w:cs="David" w:hint="cs"/>
          <w:sz w:val="28"/>
          <w:szCs w:val="28"/>
          <w:rtl/>
        </w:rPr>
        <w:t xml:space="preserve"> </w:t>
      </w:r>
    </w:p>
    <w:p w:rsidR="009B636F" w:rsidRPr="00057035" w:rsidRDefault="009B636F" w:rsidP="009B636F">
      <w:pPr>
        <w:spacing w:after="0" w:line="360" w:lineRule="auto"/>
        <w:jc w:val="both"/>
        <w:rPr>
          <w:rFonts w:asciiTheme="majorBidi" w:hAnsiTheme="majorBidi" w:cstheme="majorBidi"/>
          <w:sz w:val="28"/>
          <w:szCs w:val="28"/>
        </w:rPr>
      </w:pPr>
      <w:hyperlink r:id="rId109" w:history="1">
        <w:r w:rsidRPr="00057035">
          <w:rPr>
            <w:rFonts w:asciiTheme="majorBidi" w:hAnsiTheme="majorBidi" w:cstheme="majorBidi"/>
            <w:color w:val="0000FF" w:themeColor="hyperlink"/>
            <w:sz w:val="28"/>
            <w:szCs w:val="28"/>
            <w:u w:val="single"/>
          </w:rPr>
          <w:t>http://mfa.gov.il/memorial/Perpetuated/Pages/Abba-Eban.aspx</w:t>
        </w:r>
      </w:hyperlink>
    </w:p>
    <w:p w:rsidR="009B636F" w:rsidRPr="00057035" w:rsidRDefault="009B636F" w:rsidP="009B636F">
      <w:pPr>
        <w:spacing w:after="0" w:line="360" w:lineRule="auto"/>
        <w:jc w:val="both"/>
        <w:rPr>
          <w:rFonts w:asciiTheme="majorBidi" w:hAnsiTheme="majorBidi" w:cs="David"/>
          <w:sz w:val="28"/>
          <w:szCs w:val="28"/>
          <w:rtl/>
        </w:rPr>
      </w:pPr>
    </w:p>
    <w:p w:rsidR="009B636F" w:rsidRPr="00057035" w:rsidRDefault="009B636F" w:rsidP="009B636F">
      <w:pPr>
        <w:pStyle w:val="a5"/>
        <w:spacing w:line="360" w:lineRule="auto"/>
        <w:jc w:val="both"/>
        <w:rPr>
          <w:rFonts w:cs="David"/>
          <w:sz w:val="28"/>
          <w:szCs w:val="28"/>
        </w:rPr>
      </w:pPr>
      <w:r w:rsidRPr="00057035">
        <w:rPr>
          <w:rFonts w:cs="David" w:hint="cs"/>
          <w:sz w:val="28"/>
          <w:szCs w:val="28"/>
          <w:rtl/>
        </w:rPr>
        <w:t xml:space="preserve">מן רפי (2014), כיצד נולד הביטוי או"ם-שמום, </w:t>
      </w:r>
      <w:r w:rsidRPr="00057035">
        <w:rPr>
          <w:rFonts w:cs="David" w:hint="cs"/>
          <w:b/>
          <w:bCs/>
          <w:sz w:val="28"/>
          <w:szCs w:val="28"/>
          <w:rtl/>
        </w:rPr>
        <w:t>הערות שוליים להיסטוריה</w:t>
      </w:r>
      <w:r w:rsidRPr="00057035">
        <w:rPr>
          <w:rFonts w:cs="David"/>
          <w:sz w:val="28"/>
          <w:szCs w:val="28"/>
        </w:rPr>
        <w:t>.</w:t>
      </w:r>
    </w:p>
    <w:p w:rsidR="009B636F" w:rsidRPr="00057035" w:rsidRDefault="009B636F" w:rsidP="009B636F">
      <w:pPr>
        <w:pStyle w:val="a5"/>
        <w:bidi w:val="0"/>
        <w:spacing w:line="360" w:lineRule="auto"/>
        <w:jc w:val="both"/>
        <w:rPr>
          <w:rFonts w:asciiTheme="majorBidi" w:hAnsiTheme="majorBidi" w:cstheme="majorBidi"/>
          <w:sz w:val="28"/>
          <w:szCs w:val="28"/>
        </w:rPr>
      </w:pPr>
      <w:hyperlink r:id="rId110" w:history="1">
        <w:r w:rsidRPr="00057035">
          <w:rPr>
            <w:rStyle w:val="Hyperlink"/>
            <w:rFonts w:asciiTheme="majorBidi" w:hAnsiTheme="majorBidi" w:cstheme="majorBidi"/>
            <w:sz w:val="28"/>
            <w:szCs w:val="28"/>
          </w:rPr>
          <w:t>https://rafimann.wordpress.com/2014/12/17/%D7%9B%D7%9A-%D7%A0%D7%95%D7%9C%D7%93-%D7%94%D7%91%D7%99%D7%98%D7%95%D7%99-%D7%90%D7%95%D7%9D-%D7%A9%D7%9E%D7%95%D7%9D</w:t>
        </w:r>
        <w:r w:rsidRPr="00057035">
          <w:rPr>
            <w:rStyle w:val="Hyperlink"/>
            <w:rFonts w:asciiTheme="majorBidi" w:hAnsiTheme="majorBidi" w:cstheme="majorBidi"/>
            <w:sz w:val="28"/>
            <w:szCs w:val="28"/>
            <w:rtl/>
          </w:rPr>
          <w:t>/</w:t>
        </w:r>
      </w:hyperlink>
    </w:p>
    <w:p w:rsidR="009B636F" w:rsidRPr="00057035" w:rsidRDefault="009B636F" w:rsidP="009B636F">
      <w:pPr>
        <w:pStyle w:val="a5"/>
        <w:spacing w:line="360" w:lineRule="auto"/>
        <w:jc w:val="both"/>
        <w:rPr>
          <w:rFonts w:asciiTheme="majorBidi" w:hAnsiTheme="majorBidi" w:cstheme="majorBidi"/>
          <w:sz w:val="28"/>
          <w:szCs w:val="28"/>
        </w:rPr>
      </w:pPr>
    </w:p>
    <w:p w:rsidR="009B636F" w:rsidRPr="00057035" w:rsidRDefault="009B636F" w:rsidP="009B636F">
      <w:pPr>
        <w:spacing w:after="0" w:line="360" w:lineRule="auto"/>
        <w:jc w:val="both"/>
        <w:rPr>
          <w:rFonts w:cs="David"/>
          <w:sz w:val="28"/>
          <w:szCs w:val="28"/>
          <w:rtl/>
        </w:rPr>
      </w:pPr>
      <w:r w:rsidRPr="00057035">
        <w:rPr>
          <w:rFonts w:cs="David" w:hint="cs"/>
          <w:sz w:val="28"/>
          <w:szCs w:val="28"/>
          <w:rtl/>
        </w:rPr>
        <w:t xml:space="preserve">פידלמן איתי (2014), </w:t>
      </w:r>
      <w:r w:rsidRPr="00057035">
        <w:rPr>
          <w:rFonts w:cs="David" w:hint="cs"/>
          <w:b/>
          <w:bCs/>
          <w:sz w:val="28"/>
          <w:szCs w:val="28"/>
          <w:rtl/>
        </w:rPr>
        <w:t>ועדות חקירה של האו"ם העוסקות בישראל</w:t>
      </w:r>
      <w:r w:rsidRPr="00057035">
        <w:rPr>
          <w:rFonts w:cs="David" w:hint="cs"/>
          <w:sz w:val="28"/>
          <w:szCs w:val="28"/>
          <w:rtl/>
        </w:rPr>
        <w:t>, ירושלים: הכנסת-מרכז המידע והמחקר.</w:t>
      </w:r>
    </w:p>
    <w:p w:rsidR="009B636F" w:rsidRPr="00057035" w:rsidRDefault="009B636F" w:rsidP="009B636F">
      <w:pPr>
        <w:spacing w:after="0" w:line="360" w:lineRule="auto"/>
        <w:jc w:val="both"/>
        <w:rPr>
          <w:rFonts w:cs="David"/>
          <w:sz w:val="28"/>
          <w:szCs w:val="28"/>
        </w:rPr>
      </w:pPr>
    </w:p>
    <w:p w:rsidR="009B636F" w:rsidRPr="00057035" w:rsidRDefault="009B636F" w:rsidP="009B636F">
      <w:pPr>
        <w:spacing w:after="0" w:line="360" w:lineRule="auto"/>
        <w:jc w:val="both"/>
        <w:rPr>
          <w:rFonts w:cs="David"/>
          <w:sz w:val="28"/>
          <w:szCs w:val="28"/>
        </w:rPr>
      </w:pPr>
      <w:r w:rsidRPr="00057035">
        <w:rPr>
          <w:rFonts w:cs="David"/>
          <w:b/>
          <w:bCs/>
          <w:sz w:val="28"/>
          <w:szCs w:val="28"/>
          <w:rtl/>
        </w:rPr>
        <w:t>התפתחויות ומגמות ביצוא הישראלי</w:t>
      </w:r>
      <w:r w:rsidRPr="00057035">
        <w:rPr>
          <w:rFonts w:cs="David" w:hint="cs"/>
          <w:b/>
          <w:bCs/>
          <w:sz w:val="28"/>
          <w:szCs w:val="28"/>
          <w:rtl/>
        </w:rPr>
        <w:t xml:space="preserve"> - </w:t>
      </w:r>
      <w:r w:rsidRPr="00057035">
        <w:rPr>
          <w:rFonts w:cs="David"/>
          <w:b/>
          <w:bCs/>
          <w:sz w:val="28"/>
          <w:szCs w:val="28"/>
          <w:rtl/>
        </w:rPr>
        <w:t>סיכום 2015 ותחזית 2016</w:t>
      </w:r>
      <w:r w:rsidRPr="00057035">
        <w:rPr>
          <w:rFonts w:cs="David" w:hint="cs"/>
          <w:sz w:val="28"/>
          <w:szCs w:val="28"/>
          <w:rtl/>
        </w:rPr>
        <w:t>, תל אביב: המכון הישראלי ליצוא ולשיתוף פעולה בינלאומי.</w:t>
      </w:r>
    </w:p>
    <w:p w:rsidR="009B636F" w:rsidRPr="00057035" w:rsidRDefault="009B636F" w:rsidP="009B636F">
      <w:pPr>
        <w:spacing w:after="0" w:line="360" w:lineRule="auto"/>
        <w:jc w:val="both"/>
        <w:rPr>
          <w:rFonts w:asciiTheme="majorBidi" w:hAnsiTheme="majorBidi" w:cstheme="majorBidi"/>
          <w:sz w:val="28"/>
          <w:szCs w:val="28"/>
          <w:rtl/>
        </w:rPr>
      </w:pPr>
      <w:hyperlink r:id="rId111" w:history="1">
        <w:r w:rsidRPr="00057035">
          <w:rPr>
            <w:rFonts w:asciiTheme="majorBidi" w:hAnsiTheme="majorBidi" w:cstheme="majorBidi"/>
            <w:color w:val="0000FF" w:themeColor="hyperlink"/>
            <w:sz w:val="28"/>
            <w:szCs w:val="28"/>
            <w:u w:val="single"/>
          </w:rPr>
          <w:t>http://www.export.gov.il/UploadFiles/03_2016/ExportMegamotMarch16.pdf?redirect=no</w:t>
        </w:r>
      </w:hyperlink>
    </w:p>
    <w:p w:rsidR="009B636F" w:rsidRPr="00057035" w:rsidRDefault="009B636F" w:rsidP="009B636F">
      <w:pPr>
        <w:spacing w:after="0" w:line="360" w:lineRule="auto"/>
        <w:jc w:val="both"/>
        <w:rPr>
          <w:rFonts w:asciiTheme="majorBidi" w:hAnsiTheme="majorBidi" w:cstheme="majorBidi"/>
          <w:sz w:val="28"/>
          <w:szCs w:val="28"/>
          <w:rtl/>
        </w:rPr>
      </w:pPr>
    </w:p>
    <w:p w:rsidR="009B636F" w:rsidRPr="00057035" w:rsidRDefault="009B636F" w:rsidP="009B636F">
      <w:pPr>
        <w:pStyle w:val="a5"/>
        <w:bidi w:val="0"/>
        <w:spacing w:line="360" w:lineRule="auto"/>
        <w:jc w:val="both"/>
        <w:rPr>
          <w:rFonts w:asciiTheme="majorBidi" w:hAnsiTheme="majorBidi" w:cstheme="majorBidi"/>
          <w:sz w:val="28"/>
          <w:szCs w:val="28"/>
        </w:rPr>
      </w:pPr>
      <w:r w:rsidRPr="00057035">
        <w:rPr>
          <w:rFonts w:asciiTheme="majorBidi" w:hAnsiTheme="majorBidi" w:cstheme="majorBidi"/>
          <w:sz w:val="28"/>
          <w:szCs w:val="28"/>
        </w:rPr>
        <w:t xml:space="preserve">Brigadier-General (Ret’d) Kenneth Watkin, QC, The University of Pennsylvania Law School. </w:t>
      </w:r>
    </w:p>
    <w:p w:rsidR="009B636F" w:rsidRPr="00057035" w:rsidRDefault="009B636F" w:rsidP="009B636F">
      <w:pPr>
        <w:pStyle w:val="a5"/>
        <w:bidi w:val="0"/>
        <w:spacing w:line="360" w:lineRule="auto"/>
        <w:jc w:val="both"/>
        <w:rPr>
          <w:rFonts w:asciiTheme="majorBidi" w:hAnsiTheme="majorBidi" w:cstheme="majorBidi"/>
          <w:sz w:val="28"/>
          <w:szCs w:val="28"/>
        </w:rPr>
      </w:pPr>
      <w:hyperlink r:id="rId112" w:history="1">
        <w:r w:rsidRPr="00057035">
          <w:rPr>
            <w:rStyle w:val="Hyperlink"/>
            <w:rFonts w:asciiTheme="majorBidi" w:hAnsiTheme="majorBidi" w:cstheme="majorBidi"/>
            <w:sz w:val="28"/>
            <w:szCs w:val="28"/>
          </w:rPr>
          <w:t>https://www.law.upenn.edu/live/files/3812-watkin-short</w:t>
        </w:r>
      </w:hyperlink>
    </w:p>
    <w:p w:rsidR="009B636F" w:rsidRPr="00057035" w:rsidRDefault="009B636F" w:rsidP="009B636F">
      <w:pPr>
        <w:pStyle w:val="a5"/>
        <w:bidi w:val="0"/>
        <w:spacing w:line="360" w:lineRule="auto"/>
        <w:jc w:val="both"/>
        <w:rPr>
          <w:rFonts w:asciiTheme="majorBidi" w:hAnsiTheme="majorBidi" w:cstheme="majorBidi"/>
          <w:sz w:val="28"/>
          <w:szCs w:val="28"/>
        </w:rPr>
      </w:pPr>
    </w:p>
    <w:p w:rsidR="009B636F" w:rsidRPr="00057035" w:rsidRDefault="009B636F" w:rsidP="009B636F">
      <w:pPr>
        <w:pStyle w:val="a5"/>
        <w:bidi w:val="0"/>
        <w:spacing w:line="360" w:lineRule="auto"/>
        <w:jc w:val="both"/>
        <w:rPr>
          <w:rFonts w:asciiTheme="majorBidi" w:hAnsiTheme="majorBidi" w:cstheme="majorBidi"/>
          <w:sz w:val="28"/>
          <w:szCs w:val="28"/>
        </w:rPr>
      </w:pPr>
      <w:r w:rsidRPr="00057035">
        <w:rPr>
          <w:rFonts w:asciiTheme="majorBidi" w:hAnsiTheme="majorBidi" w:cstheme="majorBidi"/>
          <w:sz w:val="28"/>
          <w:szCs w:val="28"/>
        </w:rPr>
        <w:t xml:space="preserve">Children in Military Custody, June 2012, A report written by a delegation of British lawyers on the treatment of Palestinian children under Israeli military law. </w:t>
      </w:r>
    </w:p>
    <w:p w:rsidR="009B636F" w:rsidRPr="00057035" w:rsidRDefault="009B636F" w:rsidP="009B636F">
      <w:pPr>
        <w:pStyle w:val="a5"/>
        <w:bidi w:val="0"/>
        <w:spacing w:line="360" w:lineRule="auto"/>
        <w:jc w:val="both"/>
        <w:rPr>
          <w:rFonts w:asciiTheme="majorBidi" w:hAnsiTheme="majorBidi" w:cstheme="majorBidi"/>
          <w:sz w:val="28"/>
          <w:szCs w:val="28"/>
        </w:rPr>
      </w:pPr>
      <w:hyperlink r:id="rId113" w:history="1">
        <w:r w:rsidRPr="00057035">
          <w:rPr>
            <w:rStyle w:val="Hyperlink"/>
            <w:rFonts w:asciiTheme="majorBidi" w:hAnsiTheme="majorBidi" w:cstheme="majorBidi"/>
            <w:sz w:val="28"/>
            <w:szCs w:val="28"/>
          </w:rPr>
          <w:t>http://www.childreninmilitarycustody.org.uk/wp-content/uploads/2012/03/Children_in_Military_Custody_Full_Report.pdf</w:t>
        </w:r>
      </w:hyperlink>
    </w:p>
    <w:p w:rsidR="009B636F" w:rsidRPr="00057035" w:rsidRDefault="009B636F" w:rsidP="009B636F">
      <w:pPr>
        <w:pStyle w:val="a5"/>
        <w:bidi w:val="0"/>
        <w:spacing w:line="360" w:lineRule="auto"/>
        <w:jc w:val="both"/>
        <w:rPr>
          <w:rFonts w:asciiTheme="majorBidi" w:hAnsiTheme="majorBidi" w:cstheme="majorBidi"/>
          <w:sz w:val="28"/>
          <w:szCs w:val="28"/>
          <w:rtl/>
        </w:rPr>
      </w:pPr>
    </w:p>
    <w:p w:rsidR="009B636F" w:rsidRPr="00057035" w:rsidRDefault="009B636F" w:rsidP="009B636F">
      <w:pPr>
        <w:pStyle w:val="a5"/>
        <w:bidi w:val="0"/>
        <w:spacing w:line="360" w:lineRule="auto"/>
        <w:jc w:val="both"/>
        <w:rPr>
          <w:rFonts w:asciiTheme="majorBidi" w:hAnsiTheme="majorBidi" w:cstheme="majorBidi"/>
          <w:sz w:val="28"/>
          <w:szCs w:val="28"/>
        </w:rPr>
      </w:pPr>
      <w:r w:rsidRPr="00057035">
        <w:rPr>
          <w:rFonts w:asciiTheme="majorBidi" w:hAnsiTheme="majorBidi" w:cstheme="majorBidi"/>
          <w:sz w:val="28"/>
          <w:szCs w:val="28"/>
        </w:rPr>
        <w:lastRenderedPageBreak/>
        <w:t xml:space="preserve">Fleet of the Irish Air Corps. </w:t>
      </w:r>
    </w:p>
    <w:p w:rsidR="009B636F" w:rsidRPr="00057035" w:rsidRDefault="009B636F" w:rsidP="009B636F">
      <w:pPr>
        <w:pStyle w:val="a5"/>
        <w:bidi w:val="0"/>
        <w:spacing w:line="360" w:lineRule="auto"/>
        <w:jc w:val="both"/>
        <w:rPr>
          <w:rFonts w:asciiTheme="majorBidi" w:hAnsiTheme="majorBidi" w:cstheme="majorBidi"/>
          <w:sz w:val="28"/>
          <w:szCs w:val="28"/>
        </w:rPr>
      </w:pPr>
      <w:hyperlink r:id="rId114" w:history="1">
        <w:r w:rsidRPr="00057035">
          <w:rPr>
            <w:rStyle w:val="Hyperlink"/>
            <w:rFonts w:asciiTheme="majorBidi" w:hAnsiTheme="majorBidi" w:cstheme="majorBidi"/>
            <w:sz w:val="28"/>
            <w:szCs w:val="28"/>
          </w:rPr>
          <w:t>http://www.military.ie/air-corps/fleet</w:t>
        </w:r>
        <w:r w:rsidRPr="00057035">
          <w:rPr>
            <w:rStyle w:val="Hyperlink"/>
            <w:rFonts w:asciiTheme="majorBidi" w:hAnsiTheme="majorBidi" w:cstheme="majorBidi"/>
            <w:sz w:val="28"/>
            <w:szCs w:val="28"/>
            <w:rtl/>
          </w:rPr>
          <w:t>/</w:t>
        </w:r>
      </w:hyperlink>
    </w:p>
    <w:p w:rsidR="009B636F" w:rsidRPr="00057035" w:rsidRDefault="009B636F" w:rsidP="009B636F">
      <w:pPr>
        <w:pStyle w:val="a5"/>
        <w:bidi w:val="0"/>
        <w:spacing w:line="360" w:lineRule="auto"/>
        <w:jc w:val="both"/>
        <w:rPr>
          <w:rFonts w:asciiTheme="majorBidi" w:hAnsiTheme="majorBidi" w:cstheme="majorBidi"/>
          <w:sz w:val="28"/>
          <w:szCs w:val="28"/>
          <w:rtl/>
        </w:rPr>
      </w:pPr>
    </w:p>
    <w:p w:rsidR="009B636F" w:rsidRPr="00057035" w:rsidRDefault="009B636F" w:rsidP="009B636F">
      <w:pPr>
        <w:pStyle w:val="a5"/>
        <w:bidi w:val="0"/>
        <w:spacing w:line="360" w:lineRule="auto"/>
        <w:jc w:val="both"/>
        <w:rPr>
          <w:rFonts w:asciiTheme="majorBidi" w:hAnsiTheme="majorBidi" w:cstheme="majorBidi"/>
          <w:sz w:val="28"/>
          <w:szCs w:val="28"/>
        </w:rPr>
      </w:pPr>
      <w:r w:rsidRPr="00057035">
        <w:rPr>
          <w:rFonts w:asciiTheme="majorBidi" w:hAnsiTheme="majorBidi" w:cstheme="majorBidi"/>
          <w:sz w:val="28"/>
          <w:szCs w:val="28"/>
        </w:rPr>
        <w:t>German War Trials – Report of Proceedings before the Supreme Court in Leipzig.</w:t>
      </w:r>
    </w:p>
    <w:p w:rsidR="009B636F" w:rsidRPr="00057035" w:rsidRDefault="009B636F" w:rsidP="009B636F">
      <w:pPr>
        <w:pStyle w:val="a5"/>
        <w:bidi w:val="0"/>
        <w:spacing w:line="360" w:lineRule="auto"/>
        <w:jc w:val="both"/>
        <w:rPr>
          <w:rFonts w:asciiTheme="majorBidi" w:hAnsiTheme="majorBidi" w:cstheme="majorBidi"/>
          <w:sz w:val="28"/>
          <w:szCs w:val="28"/>
        </w:rPr>
      </w:pPr>
      <w:hyperlink r:id="rId115" w:history="1">
        <w:r w:rsidRPr="00057035">
          <w:rPr>
            <w:rStyle w:val="Hyperlink"/>
            <w:rFonts w:asciiTheme="majorBidi" w:hAnsiTheme="majorBidi" w:cstheme="majorBidi"/>
            <w:sz w:val="28"/>
            <w:szCs w:val="28"/>
          </w:rPr>
          <w:t>https://www.icrc.org/ihl-nat.nsf/0/a986f1b231839183c1257641004f12ee/$FILE/German%20war%20trials_1921_EN.PDF</w:t>
        </w:r>
      </w:hyperlink>
    </w:p>
    <w:p w:rsidR="009B636F" w:rsidRPr="00057035" w:rsidRDefault="009B636F" w:rsidP="009B636F">
      <w:pPr>
        <w:pStyle w:val="a5"/>
        <w:bidi w:val="0"/>
        <w:spacing w:line="360" w:lineRule="auto"/>
        <w:jc w:val="both"/>
        <w:rPr>
          <w:rFonts w:asciiTheme="majorBidi" w:hAnsiTheme="majorBidi" w:cstheme="majorBidi"/>
          <w:sz w:val="28"/>
          <w:szCs w:val="28"/>
          <w:rtl/>
        </w:rPr>
      </w:pPr>
    </w:p>
    <w:p w:rsidR="009B636F" w:rsidRPr="00057035" w:rsidRDefault="009B636F" w:rsidP="009B636F">
      <w:pPr>
        <w:pStyle w:val="a5"/>
        <w:bidi w:val="0"/>
        <w:spacing w:line="360" w:lineRule="auto"/>
        <w:jc w:val="both"/>
        <w:rPr>
          <w:rFonts w:asciiTheme="majorBidi" w:hAnsiTheme="majorBidi" w:cstheme="majorBidi"/>
          <w:sz w:val="28"/>
          <w:szCs w:val="28"/>
        </w:rPr>
      </w:pPr>
      <w:r w:rsidRPr="00057035">
        <w:rPr>
          <w:rFonts w:asciiTheme="majorBidi" w:hAnsiTheme="majorBidi" w:cstheme="majorBidi"/>
          <w:sz w:val="28"/>
          <w:szCs w:val="28"/>
        </w:rPr>
        <w:t xml:space="preserve">ICRC, Customary IHL, Practice, By Country, Israel. </w:t>
      </w:r>
    </w:p>
    <w:p w:rsidR="009B636F" w:rsidRPr="00057035" w:rsidRDefault="009B636F" w:rsidP="009B636F">
      <w:pPr>
        <w:pStyle w:val="a5"/>
        <w:bidi w:val="0"/>
        <w:spacing w:line="360" w:lineRule="auto"/>
        <w:jc w:val="both"/>
        <w:rPr>
          <w:rFonts w:asciiTheme="majorBidi" w:hAnsiTheme="majorBidi" w:cstheme="majorBidi"/>
          <w:sz w:val="28"/>
          <w:szCs w:val="28"/>
        </w:rPr>
      </w:pPr>
      <w:hyperlink r:id="rId116" w:history="1">
        <w:r w:rsidRPr="00057035">
          <w:rPr>
            <w:rStyle w:val="Hyperlink"/>
            <w:rFonts w:asciiTheme="majorBidi" w:hAnsiTheme="majorBidi" w:cstheme="majorBidi"/>
            <w:sz w:val="28"/>
            <w:szCs w:val="28"/>
          </w:rPr>
          <w:t>https://www.icrc.org/customary-ihl/eng/docs/v2_cou_il</w:t>
        </w:r>
      </w:hyperlink>
    </w:p>
    <w:p w:rsidR="009B636F" w:rsidRPr="00057035" w:rsidRDefault="009B636F" w:rsidP="009B636F">
      <w:pPr>
        <w:pStyle w:val="a5"/>
        <w:bidi w:val="0"/>
        <w:spacing w:line="360" w:lineRule="auto"/>
        <w:jc w:val="both"/>
        <w:rPr>
          <w:rFonts w:asciiTheme="majorBidi" w:hAnsiTheme="majorBidi" w:cstheme="majorBidi"/>
          <w:sz w:val="28"/>
          <w:szCs w:val="28"/>
        </w:rPr>
      </w:pPr>
    </w:p>
    <w:p w:rsidR="009B636F" w:rsidRPr="00057035" w:rsidRDefault="009B636F" w:rsidP="009B636F">
      <w:pPr>
        <w:pStyle w:val="a5"/>
        <w:bidi w:val="0"/>
        <w:spacing w:line="360" w:lineRule="auto"/>
        <w:jc w:val="both"/>
        <w:rPr>
          <w:rFonts w:asciiTheme="majorBidi" w:hAnsiTheme="majorBidi" w:cstheme="majorBidi"/>
          <w:b/>
          <w:bCs/>
          <w:sz w:val="28"/>
          <w:szCs w:val="28"/>
        </w:rPr>
      </w:pPr>
      <w:r w:rsidRPr="00057035">
        <w:rPr>
          <w:rFonts w:asciiTheme="majorBidi" w:hAnsiTheme="majorBidi" w:cstheme="majorBidi"/>
          <w:sz w:val="28"/>
          <w:szCs w:val="28"/>
        </w:rPr>
        <w:t>International Commissions of Inquiry and Fact-finding Missions, United Nations Library Geneva.</w:t>
      </w:r>
    </w:p>
    <w:p w:rsidR="009B636F" w:rsidRPr="00057035" w:rsidRDefault="009B636F" w:rsidP="009B636F">
      <w:pPr>
        <w:pStyle w:val="a5"/>
        <w:bidi w:val="0"/>
        <w:spacing w:line="360" w:lineRule="auto"/>
        <w:jc w:val="both"/>
        <w:rPr>
          <w:rFonts w:asciiTheme="majorBidi" w:hAnsiTheme="majorBidi" w:cstheme="majorBidi"/>
          <w:sz w:val="28"/>
          <w:szCs w:val="28"/>
        </w:rPr>
      </w:pPr>
      <w:hyperlink r:id="rId117" w:history="1">
        <w:r w:rsidRPr="00057035">
          <w:rPr>
            <w:rStyle w:val="Hyperlink"/>
            <w:rFonts w:asciiTheme="majorBidi" w:hAnsiTheme="majorBidi" w:cstheme="majorBidi"/>
            <w:sz w:val="28"/>
            <w:szCs w:val="28"/>
          </w:rPr>
          <w:t>http://libraryresources.unog.ch/factfinding/chronolist</w:t>
        </w:r>
      </w:hyperlink>
    </w:p>
    <w:p w:rsidR="009B636F" w:rsidRPr="00057035" w:rsidRDefault="009B636F" w:rsidP="009B636F">
      <w:pPr>
        <w:pStyle w:val="a5"/>
        <w:bidi w:val="0"/>
        <w:spacing w:line="360" w:lineRule="auto"/>
        <w:jc w:val="both"/>
        <w:rPr>
          <w:rFonts w:asciiTheme="majorBidi" w:eastAsia="Times New Roman" w:hAnsiTheme="majorBidi" w:cstheme="majorBidi"/>
          <w:kern w:val="36"/>
          <w:sz w:val="28"/>
          <w:szCs w:val="28"/>
        </w:rPr>
      </w:pPr>
    </w:p>
    <w:p w:rsidR="009B636F" w:rsidRPr="00057035" w:rsidRDefault="009B636F" w:rsidP="009B636F">
      <w:pPr>
        <w:pStyle w:val="a5"/>
        <w:bidi w:val="0"/>
        <w:spacing w:line="360" w:lineRule="auto"/>
        <w:jc w:val="both"/>
        <w:rPr>
          <w:rFonts w:asciiTheme="majorBidi" w:hAnsiTheme="majorBidi" w:cstheme="majorBidi"/>
          <w:sz w:val="28"/>
          <w:szCs w:val="28"/>
        </w:rPr>
      </w:pPr>
      <w:r w:rsidRPr="00057035">
        <w:rPr>
          <w:rFonts w:asciiTheme="majorBidi" w:hAnsiTheme="majorBidi" w:cstheme="majorBidi"/>
          <w:sz w:val="28"/>
          <w:szCs w:val="28"/>
        </w:rPr>
        <w:t>International Tribunals.</w:t>
      </w:r>
    </w:p>
    <w:p w:rsidR="009B636F" w:rsidRPr="00057035" w:rsidRDefault="009B636F" w:rsidP="009B636F">
      <w:pPr>
        <w:pStyle w:val="a5"/>
        <w:bidi w:val="0"/>
        <w:spacing w:line="360" w:lineRule="auto"/>
        <w:jc w:val="both"/>
        <w:rPr>
          <w:rFonts w:asciiTheme="majorBidi" w:hAnsiTheme="majorBidi" w:cstheme="majorBidi"/>
          <w:sz w:val="28"/>
          <w:szCs w:val="28"/>
        </w:rPr>
      </w:pPr>
      <w:hyperlink r:id="rId118" w:history="1">
        <w:r w:rsidRPr="00057035">
          <w:rPr>
            <w:rStyle w:val="Hyperlink"/>
            <w:rFonts w:asciiTheme="majorBidi" w:hAnsiTheme="majorBidi" w:cstheme="majorBidi"/>
            <w:sz w:val="28"/>
            <w:szCs w:val="28"/>
          </w:rPr>
          <w:t>http://www.un.org/en/sc/repertoire/subsidiary_organs/international_tribunals.shtml</w:t>
        </w:r>
      </w:hyperlink>
    </w:p>
    <w:p w:rsidR="009B636F" w:rsidRPr="00057035" w:rsidRDefault="009B636F" w:rsidP="009B636F">
      <w:pPr>
        <w:pStyle w:val="a5"/>
        <w:bidi w:val="0"/>
        <w:spacing w:line="360" w:lineRule="auto"/>
        <w:jc w:val="both"/>
        <w:rPr>
          <w:rFonts w:asciiTheme="majorBidi" w:eastAsia="Times New Roman" w:hAnsiTheme="majorBidi" w:cstheme="majorBidi"/>
          <w:kern w:val="36"/>
          <w:sz w:val="28"/>
          <w:szCs w:val="28"/>
        </w:rPr>
      </w:pPr>
    </w:p>
    <w:p w:rsidR="009B636F" w:rsidRPr="00057035" w:rsidRDefault="009B636F" w:rsidP="009B636F">
      <w:pPr>
        <w:pStyle w:val="a5"/>
        <w:bidi w:val="0"/>
        <w:spacing w:line="360" w:lineRule="auto"/>
        <w:jc w:val="both"/>
        <w:rPr>
          <w:rFonts w:asciiTheme="majorBidi" w:hAnsiTheme="majorBidi" w:cstheme="majorBidi"/>
          <w:sz w:val="28"/>
          <w:szCs w:val="28"/>
        </w:rPr>
      </w:pPr>
      <w:r w:rsidRPr="00057035">
        <w:rPr>
          <w:rFonts w:asciiTheme="majorBidi" w:hAnsiTheme="majorBidi" w:cstheme="majorBidi"/>
          <w:sz w:val="28"/>
          <w:szCs w:val="28"/>
        </w:rPr>
        <w:t xml:space="preserve">Iraqi Special Tribunal to Try Crimes against Humanity. </w:t>
      </w:r>
    </w:p>
    <w:p w:rsidR="009B636F" w:rsidRPr="00057035" w:rsidRDefault="009B636F" w:rsidP="009B636F">
      <w:pPr>
        <w:pStyle w:val="a5"/>
        <w:bidi w:val="0"/>
        <w:spacing w:line="360" w:lineRule="auto"/>
        <w:jc w:val="both"/>
        <w:rPr>
          <w:rFonts w:asciiTheme="majorBidi" w:hAnsiTheme="majorBidi" w:cstheme="majorBidi"/>
          <w:sz w:val="28"/>
          <w:szCs w:val="28"/>
        </w:rPr>
      </w:pPr>
      <w:hyperlink r:id="rId119" w:history="1">
        <w:r w:rsidRPr="00057035">
          <w:rPr>
            <w:rStyle w:val="Hyperlink"/>
            <w:rFonts w:asciiTheme="majorBidi" w:hAnsiTheme="majorBidi" w:cstheme="majorBidi"/>
            <w:sz w:val="28"/>
            <w:szCs w:val="28"/>
          </w:rPr>
          <w:t>http://www.hrcr.org/hottopics/iraqitribunal.html</w:t>
        </w:r>
      </w:hyperlink>
    </w:p>
    <w:p w:rsidR="009B636F" w:rsidRPr="00057035" w:rsidRDefault="009B636F" w:rsidP="009B636F">
      <w:pPr>
        <w:pStyle w:val="a5"/>
        <w:bidi w:val="0"/>
        <w:spacing w:line="360" w:lineRule="auto"/>
        <w:jc w:val="both"/>
        <w:rPr>
          <w:rFonts w:asciiTheme="majorBidi" w:eastAsia="Times New Roman" w:hAnsiTheme="majorBidi" w:cstheme="majorBidi"/>
          <w:kern w:val="36"/>
          <w:sz w:val="28"/>
          <w:szCs w:val="28"/>
        </w:rPr>
      </w:pPr>
    </w:p>
    <w:p w:rsidR="009B636F" w:rsidRPr="00057035" w:rsidRDefault="009B636F" w:rsidP="009B636F">
      <w:pPr>
        <w:pStyle w:val="a5"/>
        <w:bidi w:val="0"/>
        <w:spacing w:line="360" w:lineRule="auto"/>
        <w:jc w:val="both"/>
        <w:rPr>
          <w:rFonts w:asciiTheme="majorBidi" w:eastAsia="Times New Roman" w:hAnsiTheme="majorBidi" w:cstheme="majorBidi"/>
          <w:kern w:val="36"/>
          <w:sz w:val="28"/>
          <w:szCs w:val="28"/>
        </w:rPr>
      </w:pPr>
      <w:r w:rsidRPr="00057035">
        <w:rPr>
          <w:rFonts w:asciiTheme="majorBidi" w:eastAsia="Times New Roman" w:hAnsiTheme="majorBidi" w:cstheme="majorBidi"/>
          <w:kern w:val="36"/>
          <w:sz w:val="28"/>
          <w:szCs w:val="28"/>
        </w:rPr>
        <w:t xml:space="preserve">Nurnberg trials – World War II Trials, </w:t>
      </w:r>
      <w:r w:rsidRPr="00057035">
        <w:rPr>
          <w:rFonts w:asciiTheme="majorBidi" w:eastAsia="Times New Roman" w:hAnsiTheme="majorBidi" w:cstheme="majorBidi"/>
          <w:b/>
          <w:bCs/>
          <w:kern w:val="36"/>
          <w:sz w:val="28"/>
          <w:szCs w:val="28"/>
        </w:rPr>
        <w:t>Encyclopaedia Britannica</w:t>
      </w:r>
      <w:r w:rsidRPr="00057035">
        <w:rPr>
          <w:rFonts w:asciiTheme="majorBidi" w:eastAsia="Times New Roman" w:hAnsiTheme="majorBidi" w:cstheme="majorBidi"/>
          <w:kern w:val="36"/>
          <w:sz w:val="28"/>
          <w:szCs w:val="28"/>
        </w:rPr>
        <w:t xml:space="preserve">. </w:t>
      </w:r>
    </w:p>
    <w:p w:rsidR="009B636F" w:rsidRPr="00057035" w:rsidRDefault="009B636F" w:rsidP="009B636F">
      <w:pPr>
        <w:pStyle w:val="a5"/>
        <w:bidi w:val="0"/>
        <w:spacing w:line="360" w:lineRule="auto"/>
        <w:jc w:val="both"/>
        <w:rPr>
          <w:rFonts w:asciiTheme="majorBidi" w:hAnsiTheme="majorBidi" w:cstheme="majorBidi"/>
          <w:sz w:val="28"/>
          <w:szCs w:val="28"/>
        </w:rPr>
      </w:pPr>
      <w:hyperlink r:id="rId120" w:history="1">
        <w:r w:rsidRPr="00057035">
          <w:rPr>
            <w:rStyle w:val="Hyperlink"/>
            <w:rFonts w:asciiTheme="majorBidi" w:eastAsia="Times New Roman" w:hAnsiTheme="majorBidi" w:cstheme="majorBidi"/>
            <w:kern w:val="36"/>
            <w:sz w:val="28"/>
            <w:szCs w:val="28"/>
          </w:rPr>
          <w:t>http://www.britannica.com/event/Nurnberg-trials</w:t>
        </w:r>
      </w:hyperlink>
    </w:p>
    <w:p w:rsidR="009B636F" w:rsidRPr="00057035" w:rsidRDefault="009B636F" w:rsidP="009B636F">
      <w:pPr>
        <w:pStyle w:val="a5"/>
        <w:bidi w:val="0"/>
        <w:spacing w:line="360" w:lineRule="auto"/>
        <w:jc w:val="both"/>
        <w:rPr>
          <w:rFonts w:asciiTheme="majorBidi" w:eastAsia="Times New Roman" w:hAnsiTheme="majorBidi" w:cstheme="majorBidi"/>
          <w:kern w:val="36"/>
          <w:sz w:val="28"/>
          <w:szCs w:val="28"/>
        </w:rPr>
      </w:pPr>
    </w:p>
    <w:p w:rsidR="009B636F" w:rsidRPr="00057035" w:rsidRDefault="009B636F" w:rsidP="009B636F">
      <w:pPr>
        <w:pStyle w:val="a5"/>
        <w:bidi w:val="0"/>
        <w:spacing w:line="360" w:lineRule="auto"/>
        <w:jc w:val="both"/>
        <w:rPr>
          <w:rFonts w:asciiTheme="majorBidi" w:hAnsiTheme="majorBidi" w:cstheme="majorBidi"/>
          <w:sz w:val="28"/>
          <w:szCs w:val="28"/>
        </w:rPr>
      </w:pPr>
      <w:r w:rsidRPr="00057035">
        <w:rPr>
          <w:rFonts w:asciiTheme="majorBidi" w:eastAsia="Times New Roman" w:hAnsiTheme="majorBidi" w:cstheme="majorBidi"/>
          <w:sz w:val="28"/>
          <w:szCs w:val="28"/>
        </w:rPr>
        <w:t>Pacific Settlements of Disputes (Chapter VI),</w:t>
      </w:r>
      <w:r w:rsidRPr="00057035">
        <w:rPr>
          <w:rFonts w:asciiTheme="majorBidi" w:hAnsiTheme="majorBidi" w:cstheme="majorBidi"/>
          <w:sz w:val="28"/>
          <w:szCs w:val="28"/>
        </w:rPr>
        <w:t xml:space="preserve">A. Article 33 – Obligations of parties to a dispute. </w:t>
      </w:r>
    </w:p>
    <w:p w:rsidR="009B636F" w:rsidRPr="00057035" w:rsidRDefault="009B636F" w:rsidP="009B636F">
      <w:pPr>
        <w:pStyle w:val="a5"/>
        <w:bidi w:val="0"/>
        <w:spacing w:line="360" w:lineRule="auto"/>
        <w:jc w:val="both"/>
        <w:rPr>
          <w:rFonts w:asciiTheme="majorBidi" w:hAnsiTheme="majorBidi" w:cstheme="majorBidi"/>
          <w:sz w:val="28"/>
          <w:szCs w:val="28"/>
        </w:rPr>
      </w:pPr>
      <w:hyperlink r:id="rId121" w:history="1">
        <w:r w:rsidRPr="00057035">
          <w:rPr>
            <w:rStyle w:val="Hyperlink"/>
            <w:rFonts w:asciiTheme="majorBidi" w:hAnsiTheme="majorBidi" w:cstheme="majorBidi"/>
            <w:sz w:val="28"/>
            <w:szCs w:val="28"/>
          </w:rPr>
          <w:t>http://www.un.org/en/sc/repertoire/settlements.shtml</w:t>
        </w:r>
      </w:hyperlink>
    </w:p>
    <w:p w:rsidR="009B636F" w:rsidRPr="00057035" w:rsidRDefault="009B636F" w:rsidP="009B636F">
      <w:pPr>
        <w:pStyle w:val="a5"/>
        <w:bidi w:val="0"/>
        <w:spacing w:line="360" w:lineRule="auto"/>
        <w:jc w:val="both"/>
        <w:rPr>
          <w:rFonts w:asciiTheme="majorBidi" w:hAnsiTheme="majorBidi" w:cstheme="majorBidi"/>
          <w:sz w:val="28"/>
          <w:szCs w:val="28"/>
          <w:rtl/>
        </w:rPr>
      </w:pPr>
    </w:p>
    <w:p w:rsidR="009B636F" w:rsidRPr="00057035" w:rsidRDefault="009B636F" w:rsidP="009B636F">
      <w:pPr>
        <w:pStyle w:val="a5"/>
        <w:bidi w:val="0"/>
        <w:spacing w:line="360" w:lineRule="auto"/>
        <w:jc w:val="both"/>
        <w:rPr>
          <w:rFonts w:asciiTheme="majorBidi" w:hAnsiTheme="majorBidi" w:cstheme="majorBidi"/>
          <w:sz w:val="28"/>
          <w:szCs w:val="28"/>
        </w:rPr>
      </w:pPr>
      <w:r w:rsidRPr="00057035">
        <w:rPr>
          <w:rFonts w:asciiTheme="majorBidi" w:hAnsiTheme="majorBidi" w:cstheme="majorBidi"/>
          <w:sz w:val="28"/>
          <w:szCs w:val="28"/>
        </w:rPr>
        <w:t>Professor Tim McCormack, Overview, The University of Melbourne.</w:t>
      </w:r>
    </w:p>
    <w:p w:rsidR="009B636F" w:rsidRPr="00057035" w:rsidRDefault="009B636F" w:rsidP="009B636F">
      <w:pPr>
        <w:pStyle w:val="a5"/>
        <w:bidi w:val="0"/>
        <w:spacing w:line="360" w:lineRule="auto"/>
        <w:jc w:val="both"/>
        <w:rPr>
          <w:rFonts w:asciiTheme="majorBidi" w:hAnsiTheme="majorBidi" w:cstheme="majorBidi"/>
          <w:sz w:val="28"/>
          <w:szCs w:val="28"/>
        </w:rPr>
      </w:pPr>
      <w:hyperlink r:id="rId122" w:history="1">
        <w:r w:rsidRPr="00057035">
          <w:rPr>
            <w:rStyle w:val="Hyperlink"/>
            <w:rFonts w:asciiTheme="majorBidi" w:hAnsiTheme="majorBidi" w:cstheme="majorBidi"/>
            <w:sz w:val="28"/>
            <w:szCs w:val="28"/>
          </w:rPr>
          <w:t>http://law.unimelb.edu.au/about/staff/tim-mccormack</w:t>
        </w:r>
      </w:hyperlink>
    </w:p>
    <w:p w:rsidR="009B636F" w:rsidRPr="00057035" w:rsidRDefault="009B636F" w:rsidP="009B636F">
      <w:pPr>
        <w:pStyle w:val="a5"/>
        <w:bidi w:val="0"/>
        <w:spacing w:line="360" w:lineRule="auto"/>
        <w:jc w:val="both"/>
        <w:rPr>
          <w:rFonts w:asciiTheme="majorBidi" w:hAnsiTheme="majorBidi" w:cstheme="majorBidi"/>
          <w:sz w:val="28"/>
          <w:szCs w:val="28"/>
        </w:rPr>
      </w:pPr>
    </w:p>
    <w:p w:rsidR="009B636F" w:rsidRPr="00057035" w:rsidRDefault="009B636F" w:rsidP="009B636F">
      <w:pPr>
        <w:pStyle w:val="a5"/>
        <w:bidi w:val="0"/>
        <w:spacing w:line="360" w:lineRule="auto"/>
        <w:jc w:val="both"/>
        <w:rPr>
          <w:rFonts w:asciiTheme="majorBidi" w:hAnsiTheme="majorBidi" w:cstheme="majorBidi"/>
          <w:sz w:val="28"/>
          <w:szCs w:val="28"/>
        </w:rPr>
      </w:pPr>
      <w:r w:rsidRPr="00057035">
        <w:rPr>
          <w:rFonts w:asciiTheme="majorBidi" w:hAnsiTheme="majorBidi" w:cstheme="majorBidi"/>
          <w:sz w:val="28"/>
          <w:szCs w:val="28"/>
        </w:rPr>
        <w:t>Rules of the International Humanitarian Fact-Finding Commission</w:t>
      </w:r>
      <w:r w:rsidRPr="00057035">
        <w:rPr>
          <w:rStyle w:val="apple-converted-space"/>
          <w:rFonts w:asciiTheme="majorBidi" w:hAnsiTheme="majorBidi" w:cstheme="majorBidi"/>
          <w:b/>
          <w:bCs/>
          <w:color w:val="63676B"/>
          <w:sz w:val="28"/>
          <w:szCs w:val="28"/>
          <w:bdr w:val="none" w:sz="0" w:space="0" w:color="auto" w:frame="1"/>
          <w:shd w:val="clear" w:color="auto" w:fill="FFFFFF"/>
        </w:rPr>
        <w:t> </w:t>
      </w:r>
      <w:r w:rsidRPr="00057035">
        <w:rPr>
          <w:rFonts w:asciiTheme="majorBidi" w:hAnsiTheme="majorBidi" w:cstheme="majorBidi"/>
          <w:sz w:val="28"/>
          <w:szCs w:val="28"/>
        </w:rPr>
        <w:t>(as adopted by the Commission on 8 July 1992 in Berne and</w:t>
      </w:r>
      <w:r w:rsidRPr="00057035">
        <w:rPr>
          <w:rFonts w:asciiTheme="majorBidi" w:hAnsiTheme="majorBidi" w:cstheme="majorBidi"/>
          <w:sz w:val="28"/>
          <w:szCs w:val="28"/>
        </w:rPr>
        <w:br/>
        <w:t xml:space="preserve">amended on 11 March 2003, 13 February 2009, 11 February 2011 and 26 March 2014 in Geneva). </w:t>
      </w:r>
    </w:p>
    <w:p w:rsidR="009B636F" w:rsidRPr="00057035" w:rsidRDefault="009B636F" w:rsidP="009B636F">
      <w:pPr>
        <w:pStyle w:val="a5"/>
        <w:bidi w:val="0"/>
        <w:spacing w:line="360" w:lineRule="auto"/>
        <w:jc w:val="both"/>
        <w:rPr>
          <w:rFonts w:asciiTheme="majorBidi" w:hAnsiTheme="majorBidi" w:cstheme="majorBidi"/>
          <w:sz w:val="28"/>
          <w:szCs w:val="28"/>
        </w:rPr>
      </w:pPr>
      <w:hyperlink r:id="rId123" w:history="1">
        <w:r w:rsidRPr="00057035">
          <w:rPr>
            <w:rStyle w:val="Hyperlink"/>
            <w:rFonts w:asciiTheme="majorBidi" w:hAnsiTheme="majorBidi" w:cstheme="majorBidi"/>
            <w:sz w:val="28"/>
            <w:szCs w:val="28"/>
          </w:rPr>
          <w:t>http://www.ihffc.org/index.asp?page=rules_of_commission</w:t>
        </w:r>
      </w:hyperlink>
    </w:p>
    <w:p w:rsidR="009B636F" w:rsidRPr="00057035" w:rsidRDefault="009B636F" w:rsidP="009B636F">
      <w:pPr>
        <w:pStyle w:val="a5"/>
        <w:bidi w:val="0"/>
        <w:spacing w:line="360" w:lineRule="auto"/>
        <w:jc w:val="both"/>
        <w:rPr>
          <w:rFonts w:asciiTheme="majorBidi" w:hAnsiTheme="majorBidi" w:cstheme="majorBidi"/>
          <w:sz w:val="28"/>
          <w:szCs w:val="28"/>
          <w:rtl/>
        </w:rPr>
      </w:pPr>
    </w:p>
    <w:p w:rsidR="009B636F" w:rsidRPr="00057035" w:rsidRDefault="009B636F" w:rsidP="009B636F">
      <w:pPr>
        <w:pStyle w:val="a5"/>
        <w:bidi w:val="0"/>
        <w:spacing w:line="360" w:lineRule="auto"/>
        <w:jc w:val="both"/>
        <w:rPr>
          <w:rFonts w:asciiTheme="majorBidi" w:hAnsiTheme="majorBidi" w:cstheme="majorBidi"/>
          <w:sz w:val="28"/>
          <w:szCs w:val="28"/>
          <w:shd w:val="clear" w:color="auto" w:fill="FFFFFF"/>
        </w:rPr>
      </w:pPr>
      <w:hyperlink r:id="rId124" w:history="1">
        <w:r w:rsidRPr="00057035">
          <w:rPr>
            <w:rFonts w:asciiTheme="majorBidi" w:hAnsiTheme="majorBidi" w:cstheme="majorBidi"/>
            <w:sz w:val="28"/>
            <w:szCs w:val="28"/>
          </w:rPr>
          <w:t>Society of Professional Journalists</w:t>
        </w:r>
      </w:hyperlink>
      <w:r w:rsidRPr="00057035">
        <w:rPr>
          <w:rFonts w:asciiTheme="majorBidi" w:hAnsiTheme="majorBidi" w:cstheme="majorBidi"/>
          <w:sz w:val="28"/>
          <w:szCs w:val="28"/>
          <w:shd w:val="clear" w:color="auto" w:fill="FFFFFF"/>
        </w:rPr>
        <w:t xml:space="preserve"> Code of Ethics. </w:t>
      </w:r>
    </w:p>
    <w:p w:rsidR="009B636F" w:rsidRPr="00057035" w:rsidRDefault="009B636F" w:rsidP="009B636F">
      <w:pPr>
        <w:pStyle w:val="a5"/>
        <w:bidi w:val="0"/>
        <w:spacing w:line="360" w:lineRule="auto"/>
        <w:jc w:val="both"/>
        <w:rPr>
          <w:rFonts w:asciiTheme="majorBidi" w:hAnsiTheme="majorBidi" w:cstheme="majorBidi"/>
          <w:sz w:val="28"/>
          <w:szCs w:val="28"/>
          <w:shd w:val="clear" w:color="auto" w:fill="FFFFFF"/>
        </w:rPr>
      </w:pPr>
      <w:hyperlink r:id="rId125" w:history="1">
        <w:r w:rsidRPr="00057035">
          <w:rPr>
            <w:rStyle w:val="Hyperlink"/>
            <w:rFonts w:asciiTheme="majorBidi" w:hAnsiTheme="majorBidi" w:cstheme="majorBidi"/>
            <w:sz w:val="28"/>
            <w:szCs w:val="28"/>
            <w:shd w:val="clear" w:color="auto" w:fill="FFFFFF"/>
          </w:rPr>
          <w:t>http://www.spj.org/ethicscode.asp</w:t>
        </w:r>
      </w:hyperlink>
    </w:p>
    <w:p w:rsidR="009B636F" w:rsidRPr="00057035" w:rsidRDefault="009B636F" w:rsidP="009B636F">
      <w:pPr>
        <w:pStyle w:val="a5"/>
        <w:bidi w:val="0"/>
        <w:spacing w:line="360" w:lineRule="auto"/>
        <w:jc w:val="both"/>
        <w:rPr>
          <w:rFonts w:asciiTheme="majorBidi" w:hAnsiTheme="majorBidi" w:cstheme="majorBidi"/>
          <w:sz w:val="28"/>
          <w:szCs w:val="28"/>
          <w:rtl/>
        </w:rPr>
      </w:pPr>
    </w:p>
    <w:p w:rsidR="009B636F" w:rsidRPr="00057035" w:rsidRDefault="009B636F" w:rsidP="009B636F">
      <w:pPr>
        <w:pStyle w:val="a5"/>
        <w:bidi w:val="0"/>
        <w:spacing w:line="360" w:lineRule="auto"/>
        <w:jc w:val="both"/>
        <w:rPr>
          <w:rFonts w:asciiTheme="majorBidi" w:hAnsiTheme="majorBidi" w:cstheme="majorBidi"/>
          <w:sz w:val="28"/>
          <w:szCs w:val="28"/>
        </w:rPr>
      </w:pPr>
      <w:r w:rsidRPr="00057035">
        <w:rPr>
          <w:rFonts w:asciiTheme="majorBidi" w:hAnsiTheme="majorBidi" w:cstheme="majorBidi"/>
          <w:sz w:val="28"/>
          <w:szCs w:val="28"/>
        </w:rPr>
        <w:t xml:space="preserve">States Parties, IHFFC. </w:t>
      </w:r>
    </w:p>
    <w:p w:rsidR="009B636F" w:rsidRPr="00057035" w:rsidRDefault="009B636F" w:rsidP="009B636F">
      <w:pPr>
        <w:pStyle w:val="a5"/>
        <w:bidi w:val="0"/>
        <w:spacing w:line="360" w:lineRule="auto"/>
        <w:jc w:val="both"/>
        <w:rPr>
          <w:rFonts w:asciiTheme="majorBidi" w:hAnsiTheme="majorBidi" w:cstheme="majorBidi"/>
          <w:sz w:val="28"/>
          <w:szCs w:val="28"/>
        </w:rPr>
      </w:pPr>
      <w:hyperlink r:id="rId126" w:history="1">
        <w:r w:rsidRPr="00057035">
          <w:rPr>
            <w:rStyle w:val="Hyperlink"/>
            <w:rFonts w:asciiTheme="majorBidi" w:hAnsiTheme="majorBidi" w:cstheme="majorBidi"/>
            <w:sz w:val="28"/>
            <w:szCs w:val="28"/>
          </w:rPr>
          <w:t>http://www.ihffc.org/index.asp?Language=EN&amp;page=statesparties_list&amp;listfilter=off</w:t>
        </w:r>
      </w:hyperlink>
    </w:p>
    <w:p w:rsidR="009B636F" w:rsidRPr="00057035" w:rsidRDefault="009B636F" w:rsidP="009B636F">
      <w:pPr>
        <w:pStyle w:val="a5"/>
        <w:bidi w:val="0"/>
        <w:spacing w:line="360" w:lineRule="auto"/>
        <w:jc w:val="both"/>
        <w:rPr>
          <w:rFonts w:asciiTheme="majorBidi" w:hAnsiTheme="majorBidi" w:cstheme="majorBidi"/>
          <w:sz w:val="28"/>
          <w:szCs w:val="28"/>
        </w:rPr>
      </w:pPr>
    </w:p>
    <w:p w:rsidR="009B636F" w:rsidRPr="00057035" w:rsidRDefault="009B636F" w:rsidP="009B636F">
      <w:pPr>
        <w:pStyle w:val="a5"/>
        <w:bidi w:val="0"/>
        <w:spacing w:line="360" w:lineRule="auto"/>
        <w:jc w:val="both"/>
        <w:rPr>
          <w:rFonts w:asciiTheme="majorBidi" w:hAnsiTheme="majorBidi" w:cstheme="majorBidi"/>
          <w:sz w:val="28"/>
          <w:szCs w:val="28"/>
        </w:rPr>
      </w:pPr>
      <w:hyperlink r:id="rId127" w:tooltip="Home" w:history="1">
        <w:r w:rsidRPr="00057035">
          <w:rPr>
            <w:rStyle w:val="logotext"/>
            <w:rFonts w:asciiTheme="majorBidi" w:hAnsiTheme="majorBidi" w:cstheme="majorBidi"/>
            <w:sz w:val="28"/>
            <w:szCs w:val="28"/>
          </w:rPr>
          <w:t>Temporary International Presence in Hebron</w:t>
        </w:r>
      </w:hyperlink>
      <w:r w:rsidRPr="00057035">
        <w:rPr>
          <w:rFonts w:asciiTheme="majorBidi" w:hAnsiTheme="majorBidi" w:cstheme="majorBidi"/>
          <w:sz w:val="28"/>
          <w:szCs w:val="28"/>
        </w:rPr>
        <w:t xml:space="preserve">. </w:t>
      </w:r>
    </w:p>
    <w:p w:rsidR="009B636F" w:rsidRPr="00057035" w:rsidRDefault="009B636F" w:rsidP="009B636F">
      <w:pPr>
        <w:pStyle w:val="a5"/>
        <w:bidi w:val="0"/>
        <w:spacing w:line="360" w:lineRule="auto"/>
        <w:jc w:val="both"/>
        <w:rPr>
          <w:rFonts w:asciiTheme="majorBidi" w:hAnsiTheme="majorBidi" w:cstheme="majorBidi"/>
          <w:sz w:val="28"/>
          <w:szCs w:val="28"/>
        </w:rPr>
      </w:pPr>
      <w:hyperlink r:id="rId128" w:history="1">
        <w:r w:rsidRPr="00057035">
          <w:rPr>
            <w:rStyle w:val="Hyperlink"/>
            <w:rFonts w:asciiTheme="majorBidi" w:hAnsiTheme="majorBidi" w:cstheme="majorBidi"/>
            <w:sz w:val="28"/>
            <w:szCs w:val="28"/>
          </w:rPr>
          <w:t>http://www.tiph.org/en/About_TIPH</w:t>
        </w:r>
      </w:hyperlink>
    </w:p>
    <w:p w:rsidR="009B636F" w:rsidRPr="00057035" w:rsidRDefault="009B636F" w:rsidP="009B636F">
      <w:pPr>
        <w:pStyle w:val="a5"/>
        <w:bidi w:val="0"/>
        <w:spacing w:line="360" w:lineRule="auto"/>
        <w:jc w:val="both"/>
        <w:rPr>
          <w:rFonts w:asciiTheme="majorBidi" w:hAnsiTheme="majorBidi" w:cstheme="majorBidi"/>
          <w:sz w:val="28"/>
          <w:szCs w:val="28"/>
        </w:rPr>
      </w:pPr>
    </w:p>
    <w:p w:rsidR="009B636F" w:rsidRPr="00057035" w:rsidRDefault="009B636F" w:rsidP="009B636F">
      <w:pPr>
        <w:pStyle w:val="a5"/>
        <w:bidi w:val="0"/>
        <w:spacing w:line="360" w:lineRule="auto"/>
        <w:jc w:val="both"/>
        <w:rPr>
          <w:rFonts w:asciiTheme="majorBidi" w:hAnsiTheme="majorBidi" w:cstheme="majorBidi"/>
          <w:sz w:val="28"/>
          <w:szCs w:val="28"/>
        </w:rPr>
      </w:pPr>
      <w:r w:rsidRPr="00057035">
        <w:rPr>
          <w:rFonts w:asciiTheme="majorBidi" w:hAnsiTheme="majorBidi" w:cstheme="majorBidi"/>
          <w:sz w:val="28"/>
          <w:szCs w:val="28"/>
        </w:rPr>
        <w:t xml:space="preserve">The Multinational Force &amp; Observers. </w:t>
      </w:r>
    </w:p>
    <w:p w:rsidR="009B636F" w:rsidRPr="00057035" w:rsidRDefault="009B636F" w:rsidP="009B636F">
      <w:pPr>
        <w:pStyle w:val="a5"/>
        <w:bidi w:val="0"/>
        <w:spacing w:line="360" w:lineRule="auto"/>
        <w:jc w:val="both"/>
        <w:rPr>
          <w:rFonts w:asciiTheme="majorBidi" w:hAnsiTheme="majorBidi" w:cstheme="majorBidi"/>
          <w:sz w:val="28"/>
          <w:szCs w:val="28"/>
        </w:rPr>
      </w:pPr>
      <w:hyperlink r:id="rId129" w:history="1">
        <w:r w:rsidRPr="00057035">
          <w:rPr>
            <w:rStyle w:val="Hyperlink"/>
            <w:rFonts w:asciiTheme="majorBidi" w:hAnsiTheme="majorBidi" w:cstheme="majorBidi"/>
            <w:sz w:val="28"/>
            <w:szCs w:val="28"/>
          </w:rPr>
          <w:t>http://mfo.org/en</w:t>
        </w:r>
      </w:hyperlink>
    </w:p>
    <w:p w:rsidR="009B636F" w:rsidRPr="00057035" w:rsidRDefault="009B636F" w:rsidP="009B636F">
      <w:pPr>
        <w:pStyle w:val="a5"/>
        <w:bidi w:val="0"/>
        <w:spacing w:line="360" w:lineRule="auto"/>
        <w:jc w:val="both"/>
        <w:rPr>
          <w:rFonts w:asciiTheme="majorBidi" w:hAnsiTheme="majorBidi" w:cstheme="majorBidi"/>
          <w:sz w:val="28"/>
          <w:szCs w:val="28"/>
        </w:rPr>
      </w:pPr>
    </w:p>
    <w:p w:rsidR="009B636F" w:rsidRPr="00057035" w:rsidRDefault="009B636F" w:rsidP="009B636F">
      <w:pPr>
        <w:pStyle w:val="a5"/>
        <w:bidi w:val="0"/>
        <w:spacing w:line="360" w:lineRule="auto"/>
        <w:jc w:val="both"/>
        <w:rPr>
          <w:rFonts w:asciiTheme="majorBidi" w:eastAsia="Times New Roman" w:hAnsiTheme="majorBidi" w:cstheme="majorBidi"/>
          <w:color w:val="333333"/>
          <w:kern w:val="36"/>
          <w:sz w:val="28"/>
          <w:szCs w:val="28"/>
        </w:rPr>
      </w:pPr>
      <w:r w:rsidRPr="00057035">
        <w:rPr>
          <w:rFonts w:asciiTheme="majorBidi" w:eastAsia="Times New Roman" w:hAnsiTheme="majorBidi" w:cstheme="majorBidi"/>
          <w:b/>
          <w:bCs/>
          <w:color w:val="333333"/>
          <w:kern w:val="36"/>
          <w:sz w:val="28"/>
          <w:szCs w:val="28"/>
        </w:rPr>
        <w:t>The Nuremberg Trial and the Tokyo War Crimes Trials (1945–1948)</w:t>
      </w:r>
      <w:r w:rsidRPr="00057035">
        <w:rPr>
          <w:rFonts w:asciiTheme="majorBidi" w:eastAsia="Times New Roman" w:hAnsiTheme="majorBidi" w:cstheme="majorBidi"/>
          <w:color w:val="333333"/>
          <w:kern w:val="36"/>
          <w:sz w:val="28"/>
          <w:szCs w:val="28"/>
        </w:rPr>
        <w:t xml:space="preserve">, U.S. Department of the State – Office of the Historian. </w:t>
      </w:r>
    </w:p>
    <w:p w:rsidR="009B636F" w:rsidRPr="00057035" w:rsidRDefault="009B636F" w:rsidP="009B636F">
      <w:pPr>
        <w:pStyle w:val="a5"/>
        <w:bidi w:val="0"/>
        <w:spacing w:line="360" w:lineRule="auto"/>
        <w:jc w:val="both"/>
        <w:rPr>
          <w:rFonts w:asciiTheme="majorBidi" w:hAnsiTheme="majorBidi" w:cstheme="majorBidi"/>
          <w:sz w:val="28"/>
          <w:szCs w:val="28"/>
        </w:rPr>
      </w:pPr>
      <w:hyperlink r:id="rId130" w:history="1">
        <w:r w:rsidRPr="00057035">
          <w:rPr>
            <w:rStyle w:val="Hyperlink"/>
            <w:rFonts w:asciiTheme="majorBidi" w:eastAsia="Times New Roman" w:hAnsiTheme="majorBidi" w:cstheme="majorBidi"/>
            <w:kern w:val="36"/>
            <w:sz w:val="28"/>
            <w:szCs w:val="28"/>
          </w:rPr>
          <w:t>https://history.state.gov/milestones/1945-1952/nuremberg</w:t>
        </w:r>
      </w:hyperlink>
    </w:p>
    <w:p w:rsidR="009B636F" w:rsidRPr="00057035" w:rsidRDefault="009B636F" w:rsidP="009B636F">
      <w:pPr>
        <w:pStyle w:val="a5"/>
        <w:bidi w:val="0"/>
        <w:spacing w:line="360" w:lineRule="auto"/>
        <w:jc w:val="both"/>
        <w:rPr>
          <w:rFonts w:asciiTheme="majorBidi" w:hAnsiTheme="majorBidi" w:cstheme="majorBidi"/>
          <w:sz w:val="28"/>
          <w:szCs w:val="28"/>
        </w:rPr>
      </w:pPr>
    </w:p>
    <w:p w:rsidR="009B636F" w:rsidRPr="00057035" w:rsidRDefault="009B636F" w:rsidP="009B636F">
      <w:pPr>
        <w:pStyle w:val="a5"/>
        <w:bidi w:val="0"/>
        <w:spacing w:line="360" w:lineRule="auto"/>
        <w:jc w:val="both"/>
        <w:rPr>
          <w:rFonts w:asciiTheme="majorBidi" w:hAnsiTheme="majorBidi" w:cstheme="majorBidi"/>
          <w:sz w:val="28"/>
          <w:szCs w:val="28"/>
        </w:rPr>
      </w:pPr>
      <w:r w:rsidRPr="00057035">
        <w:rPr>
          <w:rFonts w:asciiTheme="majorBidi" w:hAnsiTheme="majorBidi" w:cstheme="majorBidi"/>
          <w:sz w:val="28"/>
          <w:szCs w:val="28"/>
        </w:rPr>
        <w:t>The Secretary General &amp; Mediation.</w:t>
      </w:r>
    </w:p>
    <w:p w:rsidR="009B636F" w:rsidRPr="00057035" w:rsidRDefault="009B636F" w:rsidP="009B636F">
      <w:pPr>
        <w:pStyle w:val="a5"/>
        <w:bidi w:val="0"/>
        <w:spacing w:line="360" w:lineRule="auto"/>
        <w:jc w:val="both"/>
        <w:rPr>
          <w:rFonts w:asciiTheme="majorBidi" w:hAnsiTheme="majorBidi" w:cstheme="majorBidi"/>
          <w:sz w:val="28"/>
          <w:szCs w:val="28"/>
        </w:rPr>
      </w:pPr>
      <w:hyperlink r:id="rId131" w:history="1">
        <w:r w:rsidRPr="00057035">
          <w:rPr>
            <w:rStyle w:val="Hyperlink"/>
            <w:rFonts w:asciiTheme="majorBidi" w:hAnsiTheme="majorBidi" w:cstheme="majorBidi"/>
            <w:sz w:val="28"/>
            <w:szCs w:val="28"/>
          </w:rPr>
          <w:t>http://peacemaker.un.org/peacemaking-mandate/secretary-general</w:t>
        </w:r>
      </w:hyperlink>
    </w:p>
    <w:p w:rsidR="009B636F" w:rsidRPr="00057035" w:rsidRDefault="009B636F" w:rsidP="009B636F">
      <w:pPr>
        <w:pStyle w:val="a5"/>
        <w:bidi w:val="0"/>
        <w:spacing w:line="360" w:lineRule="auto"/>
        <w:jc w:val="both"/>
        <w:rPr>
          <w:rFonts w:asciiTheme="majorBidi" w:hAnsiTheme="majorBidi" w:cstheme="majorBidi"/>
          <w:sz w:val="28"/>
          <w:szCs w:val="28"/>
          <w:rtl/>
        </w:rPr>
      </w:pPr>
    </w:p>
    <w:p w:rsidR="009B636F" w:rsidRPr="00057035" w:rsidRDefault="009B636F" w:rsidP="009B636F">
      <w:pPr>
        <w:pStyle w:val="a5"/>
        <w:bidi w:val="0"/>
        <w:spacing w:line="360" w:lineRule="auto"/>
        <w:jc w:val="both"/>
        <w:rPr>
          <w:rFonts w:asciiTheme="majorBidi" w:hAnsiTheme="majorBidi" w:cstheme="majorBidi"/>
          <w:sz w:val="28"/>
          <w:szCs w:val="28"/>
        </w:rPr>
      </w:pPr>
      <w:r w:rsidRPr="00057035">
        <w:rPr>
          <w:rFonts w:asciiTheme="majorBidi" w:hAnsiTheme="majorBidi" w:cstheme="majorBidi"/>
          <w:sz w:val="28"/>
          <w:szCs w:val="28"/>
        </w:rPr>
        <w:t>United Nations Disengagement Observer Force.</w:t>
      </w:r>
    </w:p>
    <w:p w:rsidR="009B636F" w:rsidRPr="00057035" w:rsidRDefault="009B636F" w:rsidP="009B636F">
      <w:pPr>
        <w:pStyle w:val="a5"/>
        <w:bidi w:val="0"/>
        <w:spacing w:line="360" w:lineRule="auto"/>
        <w:jc w:val="both"/>
        <w:rPr>
          <w:rFonts w:asciiTheme="majorBidi" w:hAnsiTheme="majorBidi" w:cstheme="majorBidi"/>
          <w:sz w:val="28"/>
          <w:szCs w:val="28"/>
        </w:rPr>
      </w:pPr>
      <w:hyperlink r:id="rId132" w:history="1">
        <w:r w:rsidRPr="00057035">
          <w:rPr>
            <w:rStyle w:val="Hyperlink"/>
            <w:rFonts w:asciiTheme="majorBidi" w:hAnsiTheme="majorBidi" w:cstheme="majorBidi"/>
            <w:sz w:val="28"/>
            <w:szCs w:val="28"/>
          </w:rPr>
          <w:t>http://www.un.org/en/peacekeeping/missions/undof/</w:t>
        </w:r>
      </w:hyperlink>
    </w:p>
    <w:p w:rsidR="009B636F" w:rsidRPr="00057035" w:rsidRDefault="009B636F" w:rsidP="009B636F">
      <w:pPr>
        <w:pStyle w:val="a5"/>
        <w:bidi w:val="0"/>
        <w:spacing w:line="360" w:lineRule="auto"/>
        <w:jc w:val="both"/>
        <w:rPr>
          <w:rFonts w:asciiTheme="majorBidi" w:hAnsiTheme="majorBidi" w:cstheme="majorBidi"/>
          <w:sz w:val="28"/>
          <w:szCs w:val="28"/>
        </w:rPr>
      </w:pPr>
    </w:p>
    <w:p w:rsidR="009B636F" w:rsidRPr="00057035" w:rsidRDefault="009B636F" w:rsidP="009B636F">
      <w:pPr>
        <w:pStyle w:val="a5"/>
        <w:bidi w:val="0"/>
        <w:spacing w:line="360" w:lineRule="auto"/>
        <w:jc w:val="both"/>
        <w:rPr>
          <w:rFonts w:asciiTheme="majorBidi" w:hAnsiTheme="majorBidi" w:cstheme="majorBidi"/>
          <w:sz w:val="28"/>
          <w:szCs w:val="28"/>
        </w:rPr>
      </w:pPr>
      <w:r w:rsidRPr="00057035">
        <w:rPr>
          <w:rFonts w:asciiTheme="majorBidi" w:hAnsiTheme="majorBidi" w:cstheme="majorBidi"/>
          <w:sz w:val="28"/>
          <w:szCs w:val="28"/>
        </w:rPr>
        <w:t xml:space="preserve">United Nations Interim Force in Lebanon. </w:t>
      </w:r>
    </w:p>
    <w:p w:rsidR="009B636F" w:rsidRPr="00057035" w:rsidRDefault="009B636F" w:rsidP="009B636F">
      <w:pPr>
        <w:pStyle w:val="a5"/>
        <w:bidi w:val="0"/>
        <w:spacing w:line="360" w:lineRule="auto"/>
        <w:jc w:val="both"/>
        <w:rPr>
          <w:rFonts w:asciiTheme="majorBidi" w:hAnsiTheme="majorBidi" w:cstheme="majorBidi"/>
          <w:sz w:val="28"/>
          <w:szCs w:val="28"/>
        </w:rPr>
      </w:pPr>
      <w:hyperlink r:id="rId133" w:history="1">
        <w:r w:rsidRPr="00057035">
          <w:rPr>
            <w:rStyle w:val="Hyperlink"/>
            <w:rFonts w:asciiTheme="majorBidi" w:hAnsiTheme="majorBidi" w:cstheme="majorBidi"/>
            <w:sz w:val="28"/>
            <w:szCs w:val="28"/>
          </w:rPr>
          <w:t>http://www.un.org/en/peacekeeping/missions/unifil/</w:t>
        </w:r>
      </w:hyperlink>
    </w:p>
    <w:p w:rsidR="009B636F" w:rsidRPr="00057035" w:rsidRDefault="009B636F" w:rsidP="009B636F">
      <w:pPr>
        <w:pStyle w:val="a5"/>
        <w:bidi w:val="0"/>
        <w:spacing w:line="360" w:lineRule="auto"/>
        <w:jc w:val="both"/>
        <w:rPr>
          <w:rFonts w:asciiTheme="majorBidi" w:hAnsiTheme="majorBidi" w:cstheme="majorBidi"/>
          <w:spacing w:val="4"/>
          <w:sz w:val="28"/>
          <w:szCs w:val="28"/>
          <w:shd w:val="clear" w:color="auto" w:fill="FFFFFF"/>
        </w:rPr>
      </w:pPr>
    </w:p>
    <w:p w:rsidR="009B636F" w:rsidRPr="00057035" w:rsidRDefault="009B636F" w:rsidP="009B636F">
      <w:pPr>
        <w:pStyle w:val="a5"/>
        <w:bidi w:val="0"/>
        <w:spacing w:line="360" w:lineRule="auto"/>
        <w:jc w:val="both"/>
        <w:rPr>
          <w:rFonts w:asciiTheme="majorBidi" w:hAnsiTheme="majorBidi" w:cstheme="majorBidi"/>
          <w:sz w:val="28"/>
          <w:szCs w:val="28"/>
          <w:shd w:val="clear" w:color="auto" w:fill="FFFFFF"/>
        </w:rPr>
      </w:pPr>
      <w:r w:rsidRPr="00057035">
        <w:rPr>
          <w:rFonts w:asciiTheme="majorBidi" w:hAnsiTheme="majorBidi" w:cstheme="majorBidi"/>
          <w:sz w:val="28"/>
          <w:szCs w:val="28"/>
          <w:shd w:val="clear" w:color="auto" w:fill="FFFFFF"/>
        </w:rPr>
        <w:t>United Nations</w:t>
      </w:r>
      <w:r w:rsidRPr="00057035">
        <w:rPr>
          <w:rStyle w:val="apple-converted-space"/>
          <w:rFonts w:asciiTheme="majorBidi" w:hAnsiTheme="majorBidi" w:cstheme="majorBidi"/>
          <w:sz w:val="28"/>
          <w:szCs w:val="28"/>
          <w:shd w:val="clear" w:color="auto" w:fill="FFFFFF"/>
        </w:rPr>
        <w:t> </w:t>
      </w:r>
      <w:r w:rsidRPr="00057035">
        <w:rPr>
          <w:rFonts w:asciiTheme="majorBidi" w:hAnsiTheme="majorBidi" w:cstheme="majorBidi"/>
          <w:sz w:val="28"/>
          <w:szCs w:val="28"/>
          <w:shd w:val="clear" w:color="auto" w:fill="FFFFFF"/>
        </w:rPr>
        <w:t>Office for the Coordination of Humanitarian Affairs - Occupied Palestinian Territory.</w:t>
      </w:r>
    </w:p>
    <w:p w:rsidR="009B636F" w:rsidRPr="00057035" w:rsidRDefault="009B636F" w:rsidP="009B636F">
      <w:pPr>
        <w:pStyle w:val="a5"/>
        <w:bidi w:val="0"/>
        <w:spacing w:line="360" w:lineRule="auto"/>
        <w:jc w:val="both"/>
        <w:rPr>
          <w:rFonts w:asciiTheme="majorBidi" w:hAnsiTheme="majorBidi" w:cstheme="majorBidi"/>
          <w:sz w:val="28"/>
          <w:szCs w:val="28"/>
          <w:shd w:val="clear" w:color="auto" w:fill="FFFFFF"/>
        </w:rPr>
      </w:pPr>
      <w:hyperlink r:id="rId134" w:history="1">
        <w:r w:rsidRPr="00057035">
          <w:rPr>
            <w:rStyle w:val="Hyperlink"/>
            <w:rFonts w:asciiTheme="majorBidi" w:hAnsiTheme="majorBidi" w:cstheme="majorBidi"/>
            <w:sz w:val="28"/>
            <w:szCs w:val="28"/>
            <w:shd w:val="clear" w:color="auto" w:fill="FFFFFF"/>
          </w:rPr>
          <w:t>http://www.ochaopt.org/index.aspx</w:t>
        </w:r>
      </w:hyperlink>
    </w:p>
    <w:p w:rsidR="009B636F" w:rsidRPr="00057035" w:rsidRDefault="009B636F" w:rsidP="009B636F">
      <w:pPr>
        <w:pStyle w:val="a5"/>
        <w:bidi w:val="0"/>
        <w:spacing w:line="360" w:lineRule="auto"/>
        <w:jc w:val="both"/>
        <w:rPr>
          <w:rFonts w:asciiTheme="majorBidi" w:hAnsiTheme="majorBidi" w:cstheme="majorBidi"/>
          <w:spacing w:val="4"/>
          <w:sz w:val="28"/>
          <w:szCs w:val="28"/>
          <w:shd w:val="clear" w:color="auto" w:fill="FFFFFF"/>
        </w:rPr>
      </w:pPr>
    </w:p>
    <w:p w:rsidR="009B636F" w:rsidRPr="00057035" w:rsidRDefault="009B636F" w:rsidP="009B636F">
      <w:pPr>
        <w:pStyle w:val="a5"/>
        <w:bidi w:val="0"/>
        <w:spacing w:line="360" w:lineRule="auto"/>
        <w:jc w:val="both"/>
        <w:rPr>
          <w:rFonts w:asciiTheme="majorBidi" w:hAnsiTheme="majorBidi" w:cstheme="majorBidi"/>
          <w:sz w:val="28"/>
          <w:szCs w:val="28"/>
        </w:rPr>
      </w:pPr>
      <w:r w:rsidRPr="00057035">
        <w:rPr>
          <w:rFonts w:asciiTheme="majorBidi" w:hAnsiTheme="majorBidi" w:cstheme="majorBidi"/>
          <w:sz w:val="28"/>
          <w:szCs w:val="28"/>
          <w:shd w:val="clear" w:color="auto" w:fill="FFFFFF"/>
        </w:rPr>
        <w:t>United Nations Relief and Works Agency for Palestine Refugees</w:t>
      </w:r>
      <w:r w:rsidRPr="00057035">
        <w:rPr>
          <w:rFonts w:asciiTheme="majorBidi" w:hAnsiTheme="majorBidi" w:cstheme="majorBidi"/>
          <w:sz w:val="28"/>
          <w:szCs w:val="28"/>
        </w:rPr>
        <w:t xml:space="preserve">. </w:t>
      </w:r>
    </w:p>
    <w:p w:rsidR="009B636F" w:rsidRPr="00057035" w:rsidRDefault="009B636F" w:rsidP="009B636F">
      <w:pPr>
        <w:pStyle w:val="a5"/>
        <w:bidi w:val="0"/>
        <w:spacing w:line="360" w:lineRule="auto"/>
        <w:jc w:val="both"/>
        <w:rPr>
          <w:rFonts w:asciiTheme="majorBidi" w:hAnsiTheme="majorBidi" w:cstheme="majorBidi"/>
          <w:sz w:val="28"/>
          <w:szCs w:val="28"/>
        </w:rPr>
      </w:pPr>
      <w:hyperlink r:id="rId135" w:history="1">
        <w:r w:rsidRPr="00057035">
          <w:rPr>
            <w:rStyle w:val="Hyperlink"/>
            <w:rFonts w:asciiTheme="majorBidi" w:hAnsiTheme="majorBidi" w:cstheme="majorBidi"/>
            <w:sz w:val="28"/>
            <w:szCs w:val="28"/>
          </w:rPr>
          <w:t>http://www.unrwa.org/</w:t>
        </w:r>
      </w:hyperlink>
    </w:p>
    <w:p w:rsidR="009B636F" w:rsidRPr="00057035" w:rsidRDefault="009B636F" w:rsidP="009B636F">
      <w:pPr>
        <w:pStyle w:val="a5"/>
        <w:bidi w:val="0"/>
        <w:spacing w:line="360" w:lineRule="auto"/>
        <w:jc w:val="both"/>
        <w:rPr>
          <w:rFonts w:asciiTheme="majorBidi" w:hAnsiTheme="majorBidi" w:cstheme="majorBidi"/>
          <w:spacing w:val="4"/>
          <w:sz w:val="28"/>
          <w:szCs w:val="28"/>
          <w:shd w:val="clear" w:color="auto" w:fill="FFFFFF"/>
        </w:rPr>
      </w:pPr>
    </w:p>
    <w:p w:rsidR="009B636F" w:rsidRPr="00057035" w:rsidRDefault="009B636F" w:rsidP="009B636F">
      <w:pPr>
        <w:pStyle w:val="a5"/>
        <w:bidi w:val="0"/>
        <w:spacing w:line="360" w:lineRule="auto"/>
        <w:jc w:val="both"/>
        <w:rPr>
          <w:rFonts w:asciiTheme="majorBidi" w:hAnsiTheme="majorBidi" w:cstheme="majorBidi"/>
          <w:spacing w:val="4"/>
          <w:sz w:val="28"/>
          <w:szCs w:val="28"/>
          <w:shd w:val="clear" w:color="auto" w:fill="FFFFFF"/>
        </w:rPr>
      </w:pPr>
      <w:r w:rsidRPr="00057035">
        <w:rPr>
          <w:rFonts w:asciiTheme="majorBidi" w:hAnsiTheme="majorBidi" w:cstheme="majorBidi"/>
          <w:spacing w:val="4"/>
          <w:sz w:val="28"/>
          <w:szCs w:val="28"/>
          <w:shd w:val="clear" w:color="auto" w:fill="FFFFFF"/>
        </w:rPr>
        <w:t>United Nations Truce Supervision Organization.</w:t>
      </w:r>
    </w:p>
    <w:p w:rsidR="009B636F" w:rsidRPr="00057035" w:rsidRDefault="009B636F" w:rsidP="009B636F">
      <w:pPr>
        <w:pStyle w:val="a5"/>
        <w:bidi w:val="0"/>
        <w:spacing w:line="360" w:lineRule="auto"/>
        <w:jc w:val="both"/>
        <w:rPr>
          <w:rFonts w:asciiTheme="majorBidi" w:hAnsiTheme="majorBidi" w:cstheme="majorBidi"/>
          <w:spacing w:val="4"/>
          <w:sz w:val="28"/>
          <w:szCs w:val="28"/>
          <w:shd w:val="clear" w:color="auto" w:fill="FFFFFF"/>
        </w:rPr>
      </w:pPr>
      <w:hyperlink r:id="rId136" w:history="1">
        <w:r w:rsidRPr="00057035">
          <w:rPr>
            <w:rStyle w:val="Hyperlink"/>
            <w:rFonts w:asciiTheme="majorBidi" w:hAnsiTheme="majorBidi" w:cstheme="majorBidi"/>
            <w:spacing w:val="4"/>
            <w:sz w:val="28"/>
            <w:szCs w:val="28"/>
            <w:shd w:val="clear" w:color="auto" w:fill="FFFFFF"/>
          </w:rPr>
          <w:t>http://untso.unmissions.org/</w:t>
        </w:r>
      </w:hyperlink>
    </w:p>
    <w:p w:rsidR="009B636F" w:rsidRPr="00057035" w:rsidRDefault="009B636F" w:rsidP="009B636F">
      <w:pPr>
        <w:spacing w:after="0" w:line="360" w:lineRule="auto"/>
        <w:jc w:val="both"/>
        <w:rPr>
          <w:rFonts w:asciiTheme="majorBidi" w:hAnsiTheme="majorBidi" w:cstheme="majorBidi"/>
          <w:sz w:val="28"/>
          <w:szCs w:val="28"/>
          <w:rtl/>
        </w:rPr>
      </w:pPr>
    </w:p>
    <w:p w:rsidR="009B636F" w:rsidRPr="00057035" w:rsidRDefault="009B636F" w:rsidP="009B636F">
      <w:pPr>
        <w:spacing w:after="0" w:line="360" w:lineRule="auto"/>
        <w:jc w:val="both"/>
        <w:rPr>
          <w:rFonts w:cs="David"/>
          <w:b/>
          <w:bCs/>
          <w:sz w:val="28"/>
          <w:szCs w:val="28"/>
          <w:rtl/>
        </w:rPr>
      </w:pPr>
      <w:r w:rsidRPr="00057035">
        <w:rPr>
          <w:rFonts w:cs="David" w:hint="cs"/>
          <w:b/>
          <w:bCs/>
          <w:sz w:val="28"/>
          <w:szCs w:val="28"/>
          <w:rtl/>
        </w:rPr>
        <w:t>אתרי מרשתת (אינטרנט)</w:t>
      </w:r>
    </w:p>
    <w:p w:rsidR="009B636F" w:rsidRPr="00057035" w:rsidRDefault="009B636F" w:rsidP="009B636F">
      <w:pPr>
        <w:spacing w:after="0" w:line="360" w:lineRule="auto"/>
        <w:jc w:val="both"/>
        <w:rPr>
          <w:rFonts w:cs="David"/>
          <w:sz w:val="28"/>
          <w:szCs w:val="28"/>
          <w:rtl/>
        </w:rPr>
      </w:pPr>
    </w:p>
    <w:p w:rsidR="009B636F" w:rsidRPr="00057035" w:rsidRDefault="009B636F" w:rsidP="009B636F">
      <w:pPr>
        <w:bidi w:val="0"/>
        <w:spacing w:after="0" w:line="360" w:lineRule="auto"/>
        <w:jc w:val="both"/>
        <w:rPr>
          <w:rFonts w:asciiTheme="majorBidi" w:hAnsiTheme="majorBidi" w:cstheme="majorBidi"/>
          <w:sz w:val="28"/>
          <w:szCs w:val="28"/>
        </w:rPr>
      </w:pPr>
      <w:hyperlink r:id="rId137" w:history="1">
        <w:r w:rsidRPr="00057035">
          <w:rPr>
            <w:rStyle w:val="Hyperlink"/>
            <w:rFonts w:asciiTheme="majorBidi" w:hAnsiTheme="majorBidi" w:cstheme="majorBidi"/>
            <w:sz w:val="28"/>
            <w:szCs w:val="28"/>
          </w:rPr>
          <w:t>https://www.ecchr.eu/en/home.html</w:t>
        </w:r>
      </w:hyperlink>
    </w:p>
    <w:p w:rsidR="009B636F" w:rsidRPr="00057035" w:rsidRDefault="009B636F" w:rsidP="009B636F">
      <w:pPr>
        <w:bidi w:val="0"/>
        <w:spacing w:after="0" w:line="360" w:lineRule="auto"/>
        <w:jc w:val="both"/>
        <w:rPr>
          <w:rFonts w:asciiTheme="majorBidi" w:hAnsiTheme="majorBidi" w:cstheme="majorBidi"/>
          <w:sz w:val="28"/>
          <w:szCs w:val="28"/>
        </w:rPr>
      </w:pPr>
    </w:p>
    <w:p w:rsidR="009B636F" w:rsidRPr="00057035" w:rsidRDefault="009B636F" w:rsidP="009B636F">
      <w:pPr>
        <w:pStyle w:val="a5"/>
        <w:bidi w:val="0"/>
        <w:spacing w:line="360" w:lineRule="auto"/>
        <w:jc w:val="both"/>
        <w:rPr>
          <w:rFonts w:asciiTheme="majorBidi" w:hAnsiTheme="majorBidi" w:cstheme="majorBidi"/>
          <w:sz w:val="28"/>
          <w:szCs w:val="28"/>
        </w:rPr>
      </w:pPr>
      <w:hyperlink r:id="rId138" w:history="1">
        <w:r w:rsidRPr="00057035">
          <w:rPr>
            <w:rStyle w:val="Hyperlink"/>
            <w:rFonts w:asciiTheme="majorBidi" w:hAnsiTheme="majorBidi" w:cstheme="majorBidi"/>
            <w:sz w:val="28"/>
            <w:szCs w:val="28"/>
          </w:rPr>
          <w:t>http://www.law.idf.il/14-en/Patzar.aspx</w:t>
        </w:r>
      </w:hyperlink>
    </w:p>
    <w:p w:rsidR="009B636F" w:rsidRPr="00057035" w:rsidRDefault="009B636F" w:rsidP="009B636F">
      <w:pPr>
        <w:pStyle w:val="a5"/>
        <w:bidi w:val="0"/>
        <w:spacing w:line="360" w:lineRule="auto"/>
        <w:jc w:val="both"/>
        <w:rPr>
          <w:rFonts w:asciiTheme="majorBidi" w:hAnsiTheme="majorBidi" w:cstheme="majorBidi"/>
          <w:sz w:val="28"/>
          <w:szCs w:val="28"/>
          <w:rtl/>
        </w:rPr>
      </w:pPr>
    </w:p>
    <w:p w:rsidR="009B636F" w:rsidRPr="00057035" w:rsidRDefault="009B636F" w:rsidP="009B636F">
      <w:pPr>
        <w:pStyle w:val="a5"/>
        <w:bidi w:val="0"/>
        <w:spacing w:line="360" w:lineRule="auto"/>
        <w:jc w:val="both"/>
        <w:rPr>
          <w:rFonts w:asciiTheme="majorBidi" w:hAnsiTheme="majorBidi" w:cstheme="majorBidi"/>
          <w:sz w:val="28"/>
          <w:szCs w:val="28"/>
        </w:rPr>
      </w:pPr>
      <w:hyperlink r:id="rId139" w:anchor="!whoiam/c75a" w:history="1">
        <w:r w:rsidRPr="00057035">
          <w:rPr>
            <w:rStyle w:val="Hyperlink"/>
            <w:rFonts w:asciiTheme="majorBidi" w:hAnsiTheme="majorBidi" w:cstheme="majorBidi"/>
            <w:sz w:val="28"/>
            <w:szCs w:val="28"/>
          </w:rPr>
          <w:t>http://www.patriciascotland.com/#!whoiam/c75a</w:t>
        </w:r>
      </w:hyperlink>
    </w:p>
    <w:p w:rsidR="009B636F" w:rsidRPr="00057035" w:rsidRDefault="009B636F" w:rsidP="009B636F">
      <w:pPr>
        <w:pStyle w:val="a5"/>
        <w:bidi w:val="0"/>
        <w:spacing w:line="360" w:lineRule="auto"/>
        <w:jc w:val="both"/>
        <w:rPr>
          <w:rFonts w:asciiTheme="majorBidi" w:hAnsiTheme="majorBidi" w:cstheme="majorBidi"/>
          <w:sz w:val="28"/>
          <w:szCs w:val="28"/>
          <w:rtl/>
        </w:rPr>
      </w:pPr>
    </w:p>
    <w:p w:rsidR="009B636F" w:rsidRPr="00057035" w:rsidRDefault="009B636F" w:rsidP="009B636F">
      <w:pPr>
        <w:pStyle w:val="a5"/>
        <w:bidi w:val="0"/>
        <w:spacing w:line="360" w:lineRule="auto"/>
        <w:jc w:val="both"/>
        <w:rPr>
          <w:rStyle w:val="Hyperlink"/>
          <w:rFonts w:asciiTheme="majorBidi" w:hAnsiTheme="majorBidi" w:cstheme="majorBidi"/>
          <w:sz w:val="28"/>
          <w:szCs w:val="28"/>
        </w:rPr>
      </w:pPr>
      <w:hyperlink r:id="rId140" w:history="1">
        <w:r w:rsidRPr="00057035">
          <w:rPr>
            <w:rStyle w:val="Hyperlink"/>
            <w:rFonts w:asciiTheme="majorBidi" w:hAnsiTheme="majorBidi" w:cstheme="majorBidi"/>
            <w:sz w:val="28"/>
            <w:szCs w:val="28"/>
          </w:rPr>
          <w:t>http://www.russelltribunalonpalestine.com/en</w:t>
        </w:r>
      </w:hyperlink>
    </w:p>
    <w:p w:rsidR="009B636F" w:rsidRPr="00057035" w:rsidRDefault="009B636F" w:rsidP="009B636F">
      <w:pPr>
        <w:pStyle w:val="a5"/>
        <w:bidi w:val="0"/>
        <w:spacing w:line="360" w:lineRule="auto"/>
        <w:jc w:val="both"/>
        <w:rPr>
          <w:rFonts w:asciiTheme="majorBidi" w:hAnsiTheme="majorBidi" w:cstheme="majorBidi"/>
          <w:sz w:val="28"/>
          <w:szCs w:val="28"/>
        </w:rPr>
      </w:pPr>
    </w:p>
    <w:p w:rsidR="009B636F" w:rsidRPr="00057035" w:rsidRDefault="009B636F" w:rsidP="009B636F">
      <w:pPr>
        <w:pStyle w:val="a5"/>
        <w:bidi w:val="0"/>
        <w:spacing w:line="360" w:lineRule="auto"/>
        <w:jc w:val="both"/>
        <w:rPr>
          <w:rFonts w:asciiTheme="majorBidi" w:hAnsiTheme="majorBidi" w:cstheme="majorBidi"/>
          <w:sz w:val="28"/>
          <w:szCs w:val="28"/>
        </w:rPr>
      </w:pPr>
      <w:hyperlink r:id="rId141" w:history="1">
        <w:r w:rsidRPr="00057035">
          <w:rPr>
            <w:rStyle w:val="Hyperlink"/>
            <w:rFonts w:asciiTheme="majorBidi" w:hAnsiTheme="majorBidi" w:cstheme="majorBidi"/>
            <w:sz w:val="28"/>
            <w:szCs w:val="28"/>
          </w:rPr>
          <w:t>http://www.unwcc.org</w:t>
        </w:r>
        <w:r w:rsidRPr="00057035">
          <w:rPr>
            <w:rStyle w:val="Hyperlink"/>
            <w:rFonts w:asciiTheme="majorBidi" w:hAnsiTheme="majorBidi" w:cstheme="majorBidi"/>
            <w:sz w:val="28"/>
            <w:szCs w:val="28"/>
            <w:rtl/>
          </w:rPr>
          <w:t>/</w:t>
        </w:r>
      </w:hyperlink>
    </w:p>
    <w:p w:rsidR="009B636F" w:rsidRPr="00057035" w:rsidRDefault="009B636F" w:rsidP="009B636F">
      <w:pPr>
        <w:pStyle w:val="a5"/>
        <w:bidi w:val="0"/>
        <w:spacing w:line="360" w:lineRule="auto"/>
        <w:jc w:val="both"/>
        <w:rPr>
          <w:rFonts w:asciiTheme="majorBidi" w:hAnsiTheme="majorBidi" w:cstheme="majorBidi"/>
          <w:sz w:val="28"/>
          <w:szCs w:val="28"/>
        </w:rPr>
      </w:pPr>
    </w:p>
    <w:p w:rsidR="009B636F" w:rsidRPr="00057035" w:rsidRDefault="009B636F" w:rsidP="009B636F">
      <w:pPr>
        <w:bidi w:val="0"/>
        <w:spacing w:after="0" w:line="360" w:lineRule="auto"/>
        <w:jc w:val="both"/>
        <w:rPr>
          <w:rFonts w:asciiTheme="majorBidi" w:hAnsiTheme="majorBidi" w:cstheme="majorBidi"/>
          <w:sz w:val="28"/>
          <w:szCs w:val="28"/>
        </w:rPr>
      </w:pPr>
    </w:p>
    <w:p w:rsidR="009B636F" w:rsidRPr="00057035" w:rsidRDefault="009B636F" w:rsidP="009B636F">
      <w:pPr>
        <w:spacing w:after="0" w:line="360" w:lineRule="auto"/>
        <w:jc w:val="both"/>
        <w:rPr>
          <w:rFonts w:cs="David"/>
          <w:b/>
          <w:bCs/>
          <w:sz w:val="28"/>
          <w:szCs w:val="28"/>
        </w:rPr>
      </w:pPr>
      <w:r w:rsidRPr="00057035">
        <w:rPr>
          <w:rFonts w:cs="David" w:hint="cs"/>
          <w:b/>
          <w:bCs/>
          <w:sz w:val="28"/>
          <w:szCs w:val="28"/>
          <w:rtl/>
        </w:rPr>
        <w:t>דיווחים וסיקורים בתקשורת</w:t>
      </w:r>
    </w:p>
    <w:p w:rsidR="009B636F" w:rsidRPr="00057035" w:rsidRDefault="009B636F" w:rsidP="009B636F">
      <w:pPr>
        <w:spacing w:after="0" w:line="360" w:lineRule="auto"/>
        <w:jc w:val="both"/>
        <w:rPr>
          <w:rFonts w:cs="David"/>
          <w:b/>
          <w:bCs/>
          <w:sz w:val="28"/>
          <w:szCs w:val="28"/>
          <w:rtl/>
        </w:rPr>
      </w:pPr>
    </w:p>
    <w:p w:rsidR="009B636F" w:rsidRPr="00057035" w:rsidRDefault="009B636F" w:rsidP="009B636F">
      <w:pPr>
        <w:pStyle w:val="a5"/>
        <w:spacing w:line="360" w:lineRule="auto"/>
        <w:jc w:val="both"/>
        <w:rPr>
          <w:rFonts w:cs="David"/>
          <w:sz w:val="28"/>
          <w:szCs w:val="28"/>
          <w:rtl/>
        </w:rPr>
      </w:pPr>
      <w:r w:rsidRPr="00057035">
        <w:rPr>
          <w:rFonts w:cs="David" w:hint="cs"/>
          <w:sz w:val="28"/>
          <w:szCs w:val="28"/>
          <w:rtl/>
        </w:rPr>
        <w:t xml:space="preserve">אייכנר איתמר ולוי אליאור (2015), </w:t>
      </w:r>
      <w:r w:rsidRPr="00057035">
        <w:rPr>
          <w:rFonts w:cs="David"/>
          <w:sz w:val="28"/>
          <w:szCs w:val="28"/>
          <w:rtl/>
        </w:rPr>
        <w:t>בית הדין בהאג: פותחים בבדיקה ראשונית על פשעי מלחמה בפלסטין</w:t>
      </w:r>
      <w:r w:rsidRPr="00057035">
        <w:rPr>
          <w:rFonts w:cs="David" w:hint="cs"/>
          <w:sz w:val="28"/>
          <w:szCs w:val="28"/>
          <w:rtl/>
        </w:rPr>
        <w:t xml:space="preserve">, </w:t>
      </w:r>
      <w:r w:rsidRPr="00057035">
        <w:rPr>
          <w:rFonts w:cs="David"/>
          <w:b/>
          <w:bCs/>
          <w:sz w:val="28"/>
          <w:szCs w:val="28"/>
        </w:rPr>
        <w:t>Ynet</w:t>
      </w:r>
      <w:r w:rsidRPr="00057035">
        <w:rPr>
          <w:rFonts w:cs="David" w:hint="cs"/>
          <w:sz w:val="28"/>
          <w:szCs w:val="28"/>
          <w:rtl/>
        </w:rPr>
        <w:t>.</w:t>
      </w:r>
    </w:p>
    <w:p w:rsidR="009B636F" w:rsidRPr="00057035" w:rsidRDefault="009B636F" w:rsidP="00057035">
      <w:pPr>
        <w:pStyle w:val="a5"/>
        <w:spacing w:line="360" w:lineRule="auto"/>
        <w:rPr>
          <w:rFonts w:asciiTheme="majorBidi" w:hAnsiTheme="majorBidi" w:cstheme="majorBidi"/>
          <w:sz w:val="28"/>
          <w:szCs w:val="28"/>
          <w:rtl/>
        </w:rPr>
      </w:pPr>
      <w:hyperlink r:id="rId142" w:history="1">
        <w:r w:rsidRPr="00057035">
          <w:rPr>
            <w:rStyle w:val="Hyperlink"/>
            <w:rFonts w:asciiTheme="majorBidi" w:hAnsiTheme="majorBidi" w:cstheme="majorBidi"/>
            <w:sz w:val="28"/>
            <w:szCs w:val="28"/>
          </w:rPr>
          <w:t>http://www.ynet.co.il/articles/0,7340,L-4615848,00.html</w:t>
        </w:r>
      </w:hyperlink>
    </w:p>
    <w:p w:rsidR="009B636F" w:rsidRPr="00057035" w:rsidRDefault="009B636F" w:rsidP="009B636F">
      <w:pPr>
        <w:pStyle w:val="a5"/>
        <w:spacing w:line="360" w:lineRule="auto"/>
        <w:jc w:val="both"/>
        <w:rPr>
          <w:rFonts w:cs="David"/>
          <w:sz w:val="28"/>
          <w:szCs w:val="28"/>
          <w:rtl/>
        </w:rPr>
      </w:pPr>
    </w:p>
    <w:p w:rsidR="009B636F" w:rsidRPr="00057035" w:rsidRDefault="009B636F" w:rsidP="009B636F">
      <w:pPr>
        <w:pStyle w:val="a5"/>
        <w:spacing w:line="360" w:lineRule="auto"/>
        <w:jc w:val="both"/>
        <w:rPr>
          <w:rFonts w:cs="David"/>
          <w:sz w:val="28"/>
          <w:szCs w:val="28"/>
          <w:rtl/>
        </w:rPr>
      </w:pPr>
      <w:r w:rsidRPr="00057035">
        <w:rPr>
          <w:rFonts w:cs="David" w:hint="cs"/>
          <w:sz w:val="28"/>
          <w:szCs w:val="28"/>
          <w:rtl/>
        </w:rPr>
        <w:t xml:space="preserve">איום בריטי: אם העימות הצבאי יימשך </w:t>
      </w:r>
      <w:r w:rsidRPr="00057035">
        <w:rPr>
          <w:rFonts w:cs="David"/>
          <w:sz w:val="28"/>
          <w:szCs w:val="28"/>
          <w:rtl/>
        </w:rPr>
        <w:t>–</w:t>
      </w:r>
      <w:r w:rsidRPr="00057035">
        <w:rPr>
          <w:rFonts w:cs="David" w:hint="cs"/>
          <w:sz w:val="28"/>
          <w:szCs w:val="28"/>
          <w:rtl/>
        </w:rPr>
        <w:t xml:space="preserve"> יצוא הנשק יושעה, </w:t>
      </w:r>
      <w:r w:rsidRPr="00057035">
        <w:rPr>
          <w:rFonts w:asciiTheme="majorBidi" w:hAnsiTheme="majorBidi" w:cstheme="majorBidi"/>
          <w:b/>
          <w:bCs/>
          <w:sz w:val="28"/>
          <w:szCs w:val="28"/>
        </w:rPr>
        <w:t>Nrg</w:t>
      </w:r>
      <w:r w:rsidRPr="00057035">
        <w:rPr>
          <w:rFonts w:cs="David" w:hint="cs"/>
          <w:sz w:val="28"/>
          <w:szCs w:val="28"/>
          <w:rtl/>
        </w:rPr>
        <w:t>, 12.08.14.</w:t>
      </w:r>
    </w:p>
    <w:p w:rsidR="009B636F" w:rsidRPr="00057035" w:rsidRDefault="009B636F" w:rsidP="00057035">
      <w:pPr>
        <w:pStyle w:val="a5"/>
        <w:bidi w:val="0"/>
        <w:spacing w:line="360" w:lineRule="auto"/>
        <w:jc w:val="right"/>
        <w:rPr>
          <w:rFonts w:asciiTheme="majorBidi" w:hAnsiTheme="majorBidi" w:cstheme="majorBidi"/>
          <w:sz w:val="28"/>
          <w:szCs w:val="28"/>
        </w:rPr>
      </w:pPr>
      <w:hyperlink r:id="rId143" w:history="1">
        <w:r w:rsidRPr="00057035">
          <w:rPr>
            <w:rStyle w:val="Hyperlink"/>
            <w:rFonts w:asciiTheme="majorBidi" w:hAnsiTheme="majorBidi" w:cstheme="majorBidi"/>
            <w:sz w:val="28"/>
            <w:szCs w:val="28"/>
          </w:rPr>
          <w:t>http://www.nrg.co.il/online/1/ART2/607/060.html</w:t>
        </w:r>
      </w:hyperlink>
    </w:p>
    <w:p w:rsidR="009B636F" w:rsidRPr="00057035" w:rsidRDefault="009B636F" w:rsidP="009B636F">
      <w:pPr>
        <w:spacing w:after="0" w:line="360" w:lineRule="auto"/>
        <w:jc w:val="both"/>
        <w:rPr>
          <w:rFonts w:asciiTheme="majorBidi" w:hAnsiTheme="majorBidi" w:cs="David"/>
          <w:sz w:val="28"/>
          <w:szCs w:val="28"/>
          <w:rtl/>
        </w:rPr>
      </w:pPr>
    </w:p>
    <w:p w:rsidR="009B636F" w:rsidRPr="00057035" w:rsidRDefault="009B636F" w:rsidP="009B636F">
      <w:pPr>
        <w:spacing w:after="0" w:line="360" w:lineRule="auto"/>
        <w:jc w:val="both"/>
        <w:rPr>
          <w:rFonts w:cs="David"/>
          <w:sz w:val="28"/>
          <w:szCs w:val="28"/>
          <w:rtl/>
        </w:rPr>
      </w:pPr>
      <w:r w:rsidRPr="00057035">
        <w:rPr>
          <w:rFonts w:cs="David" w:hint="cs"/>
          <w:sz w:val="28"/>
          <w:szCs w:val="28"/>
          <w:rtl/>
        </w:rPr>
        <w:t xml:space="preserve">בשל המבצע: ספרד עוצרת העברת נשק לישראל, </w:t>
      </w:r>
      <w:r w:rsidRPr="00057035">
        <w:rPr>
          <w:rFonts w:asciiTheme="majorBidi" w:hAnsiTheme="majorBidi" w:cstheme="majorBidi"/>
          <w:b/>
          <w:bCs/>
          <w:sz w:val="28"/>
          <w:szCs w:val="28"/>
        </w:rPr>
        <w:t>Ynet</w:t>
      </w:r>
      <w:r w:rsidRPr="00057035">
        <w:rPr>
          <w:rFonts w:cs="David" w:hint="cs"/>
          <w:sz w:val="28"/>
          <w:szCs w:val="28"/>
          <w:rtl/>
        </w:rPr>
        <w:t>.</w:t>
      </w:r>
    </w:p>
    <w:p w:rsidR="009B636F" w:rsidRPr="00057035" w:rsidRDefault="009B636F" w:rsidP="00057035">
      <w:pPr>
        <w:bidi w:val="0"/>
        <w:spacing w:after="0" w:line="360" w:lineRule="auto"/>
        <w:jc w:val="right"/>
        <w:rPr>
          <w:rFonts w:asciiTheme="majorBidi" w:hAnsiTheme="majorBidi" w:cstheme="majorBidi"/>
          <w:sz w:val="28"/>
          <w:szCs w:val="28"/>
          <w:rtl/>
        </w:rPr>
      </w:pPr>
      <w:hyperlink r:id="rId144" w:history="1">
        <w:r w:rsidRPr="00057035">
          <w:rPr>
            <w:rStyle w:val="Hyperlink"/>
            <w:rFonts w:asciiTheme="majorBidi" w:hAnsiTheme="majorBidi" w:cstheme="majorBidi"/>
            <w:sz w:val="28"/>
            <w:szCs w:val="28"/>
          </w:rPr>
          <w:t>http://www.ynet.co.il/articles/0,7340,L-4555013,00.html</w:t>
        </w:r>
      </w:hyperlink>
    </w:p>
    <w:p w:rsidR="009B636F" w:rsidRDefault="009B636F" w:rsidP="00057035">
      <w:pPr>
        <w:spacing w:after="0" w:line="360" w:lineRule="auto"/>
        <w:rPr>
          <w:rFonts w:asciiTheme="majorBidi" w:hAnsiTheme="majorBidi" w:cstheme="majorBidi"/>
          <w:sz w:val="28"/>
          <w:szCs w:val="28"/>
          <w:rtl/>
        </w:rPr>
      </w:pPr>
    </w:p>
    <w:p w:rsidR="009B636F" w:rsidRPr="00057035" w:rsidRDefault="009B636F" w:rsidP="009B636F">
      <w:pPr>
        <w:pStyle w:val="a5"/>
        <w:spacing w:line="360" w:lineRule="auto"/>
        <w:jc w:val="both"/>
        <w:rPr>
          <w:rFonts w:ascii="almoni-dl" w:hAnsi="almoni-dl" w:cs="David"/>
          <w:b/>
          <w:bCs/>
          <w:sz w:val="28"/>
          <w:szCs w:val="28"/>
          <w:rtl/>
        </w:rPr>
      </w:pPr>
      <w:r w:rsidRPr="00057035">
        <w:rPr>
          <w:rFonts w:cs="David" w:hint="cs"/>
          <w:sz w:val="28"/>
          <w:szCs w:val="28"/>
          <w:rtl/>
        </w:rPr>
        <w:t xml:space="preserve">דגוני רן (2013), </w:t>
      </w:r>
      <w:r w:rsidRPr="00057035">
        <w:rPr>
          <w:rFonts w:ascii="almoni-dl" w:hAnsi="almoni-dl" w:cs="David"/>
          <w:sz w:val="28"/>
          <w:szCs w:val="28"/>
          <w:rtl/>
        </w:rPr>
        <w:t>הניצחון הגדול של ישראל בעצרת הכללית: 141 חתמים</w:t>
      </w:r>
      <w:r w:rsidRPr="00057035">
        <w:rPr>
          <w:rFonts w:ascii="almoni-dl" w:hAnsi="almoni-dl" w:cs="David" w:hint="cs"/>
          <w:sz w:val="28"/>
          <w:szCs w:val="28"/>
          <w:rtl/>
        </w:rPr>
        <w:t>,</w:t>
      </w:r>
      <w:r w:rsidRPr="00057035">
        <w:rPr>
          <w:rFonts w:ascii="almoni-dl" w:hAnsi="almoni-dl" w:cs="David" w:hint="cs"/>
          <w:b/>
          <w:bCs/>
          <w:sz w:val="28"/>
          <w:szCs w:val="28"/>
          <w:rtl/>
        </w:rPr>
        <w:t xml:space="preserve"> גלובס.</w:t>
      </w:r>
    </w:p>
    <w:p w:rsidR="009B636F" w:rsidRPr="00057035" w:rsidRDefault="009B636F" w:rsidP="00057035">
      <w:pPr>
        <w:pStyle w:val="a5"/>
        <w:bidi w:val="0"/>
        <w:spacing w:line="360" w:lineRule="auto"/>
        <w:jc w:val="right"/>
        <w:rPr>
          <w:rFonts w:asciiTheme="majorBidi" w:hAnsiTheme="majorBidi" w:cstheme="majorBidi"/>
          <w:sz w:val="28"/>
          <w:szCs w:val="28"/>
        </w:rPr>
      </w:pPr>
      <w:hyperlink r:id="rId145" w:history="1">
        <w:r w:rsidRPr="00057035">
          <w:rPr>
            <w:rStyle w:val="Hyperlink"/>
            <w:rFonts w:asciiTheme="majorBidi" w:hAnsiTheme="majorBidi" w:cstheme="majorBidi"/>
            <w:sz w:val="28"/>
            <w:szCs w:val="28"/>
          </w:rPr>
          <w:t>http://www.globes.co.il/news/article.aspx?did=1000857561</w:t>
        </w:r>
      </w:hyperlink>
    </w:p>
    <w:p w:rsidR="009B636F" w:rsidRPr="007233FC" w:rsidRDefault="009B636F" w:rsidP="009B636F">
      <w:pPr>
        <w:pStyle w:val="a5"/>
        <w:bidi w:val="0"/>
        <w:spacing w:line="360" w:lineRule="auto"/>
        <w:jc w:val="both"/>
        <w:rPr>
          <w:sz w:val="28"/>
          <w:szCs w:val="28"/>
        </w:rPr>
      </w:pPr>
    </w:p>
    <w:p w:rsidR="009B636F" w:rsidRPr="00057035" w:rsidRDefault="009B636F" w:rsidP="009B636F">
      <w:pPr>
        <w:spacing w:after="0" w:line="360" w:lineRule="auto"/>
        <w:jc w:val="both"/>
        <w:rPr>
          <w:rFonts w:cs="David"/>
          <w:sz w:val="28"/>
          <w:szCs w:val="28"/>
          <w:rtl/>
        </w:rPr>
      </w:pPr>
      <w:r w:rsidRPr="00057035">
        <w:rPr>
          <w:rFonts w:cs="David" w:hint="cs"/>
          <w:sz w:val="28"/>
          <w:szCs w:val="28"/>
          <w:rtl/>
        </w:rPr>
        <w:t xml:space="preserve">טורקיה מגיבה לדוח: השגריר הישראלי מגורש, </w:t>
      </w:r>
      <w:r w:rsidRPr="00057035">
        <w:rPr>
          <w:rFonts w:asciiTheme="majorBidi" w:hAnsiTheme="majorBidi" w:cstheme="majorBidi"/>
          <w:b/>
          <w:bCs/>
          <w:sz w:val="28"/>
          <w:szCs w:val="28"/>
        </w:rPr>
        <w:t>Ynet</w:t>
      </w:r>
      <w:r w:rsidRPr="00057035">
        <w:rPr>
          <w:rFonts w:cs="David" w:hint="cs"/>
          <w:sz w:val="28"/>
          <w:szCs w:val="28"/>
          <w:rtl/>
        </w:rPr>
        <w:t>, 02.09.11.</w:t>
      </w:r>
    </w:p>
    <w:p w:rsidR="009B636F" w:rsidRPr="00057035" w:rsidRDefault="009B636F" w:rsidP="00057035">
      <w:pPr>
        <w:spacing w:after="0" w:line="360" w:lineRule="auto"/>
        <w:rPr>
          <w:rFonts w:asciiTheme="majorBidi" w:hAnsiTheme="majorBidi" w:cstheme="majorBidi"/>
          <w:sz w:val="28"/>
          <w:szCs w:val="28"/>
          <w:rtl/>
        </w:rPr>
      </w:pPr>
      <w:hyperlink r:id="rId146" w:history="1">
        <w:r w:rsidRPr="00057035">
          <w:rPr>
            <w:rStyle w:val="Hyperlink"/>
            <w:rFonts w:asciiTheme="majorBidi" w:hAnsiTheme="majorBidi" w:cstheme="majorBidi"/>
            <w:sz w:val="28"/>
            <w:szCs w:val="28"/>
          </w:rPr>
          <w:t>http://www.ynet.co.il/articles/0,7340,L-4117043,00.html</w:t>
        </w:r>
      </w:hyperlink>
    </w:p>
    <w:p w:rsidR="009B636F" w:rsidRPr="00057035" w:rsidRDefault="009B636F" w:rsidP="009B636F">
      <w:pPr>
        <w:spacing w:after="0" w:line="360" w:lineRule="auto"/>
        <w:jc w:val="both"/>
        <w:rPr>
          <w:rFonts w:asciiTheme="majorBidi" w:hAnsiTheme="majorBidi" w:cstheme="majorBidi"/>
          <w:sz w:val="28"/>
          <w:szCs w:val="28"/>
          <w:rtl/>
        </w:rPr>
      </w:pPr>
    </w:p>
    <w:p w:rsidR="009B636F" w:rsidRPr="00057035" w:rsidRDefault="009B636F" w:rsidP="009B636F">
      <w:pPr>
        <w:spacing w:after="0" w:line="360" w:lineRule="auto"/>
        <w:jc w:val="both"/>
        <w:rPr>
          <w:rFonts w:ascii="Helvetica" w:hAnsi="Helvetica" w:cs="David"/>
          <w:sz w:val="28"/>
          <w:szCs w:val="28"/>
          <w:rtl/>
        </w:rPr>
      </w:pPr>
      <w:r w:rsidRPr="00057035">
        <w:rPr>
          <w:rFonts w:cs="David" w:hint="cs"/>
          <w:sz w:val="28"/>
          <w:szCs w:val="28"/>
          <w:rtl/>
        </w:rPr>
        <w:t xml:space="preserve">ליס יהונתן, חורי ג'קי, כהן גילי (2015), </w:t>
      </w:r>
      <w:r w:rsidRPr="00057035">
        <w:rPr>
          <w:rFonts w:ascii="Helvetica" w:hAnsi="Helvetica" w:cs="David"/>
          <w:sz w:val="28"/>
          <w:szCs w:val="28"/>
          <w:rtl/>
        </w:rPr>
        <w:t>נתניהו על בדיקת בית הדין בהאג: "החלטה שערורייתית, אין אבסורד גדולמז</w:t>
      </w:r>
      <w:r w:rsidRPr="00057035">
        <w:rPr>
          <w:rFonts w:ascii="Helvetica" w:hAnsi="Helvetica" w:cs="David" w:hint="cs"/>
          <w:sz w:val="28"/>
          <w:szCs w:val="28"/>
          <w:rtl/>
        </w:rPr>
        <w:t xml:space="preserve">ה", </w:t>
      </w:r>
      <w:r w:rsidRPr="00057035">
        <w:rPr>
          <w:rFonts w:ascii="Helvetica" w:hAnsi="Helvetica" w:cs="David" w:hint="cs"/>
          <w:b/>
          <w:bCs/>
          <w:sz w:val="28"/>
          <w:szCs w:val="28"/>
          <w:rtl/>
        </w:rPr>
        <w:t>הארץ</w:t>
      </w:r>
      <w:r w:rsidRPr="00057035">
        <w:rPr>
          <w:rFonts w:ascii="Helvetica" w:hAnsi="Helvetica" w:cs="David" w:hint="cs"/>
          <w:sz w:val="28"/>
          <w:szCs w:val="28"/>
          <w:rtl/>
        </w:rPr>
        <w:t>.</w:t>
      </w:r>
    </w:p>
    <w:p w:rsidR="009B636F" w:rsidRPr="00BF50EE" w:rsidRDefault="009B636F" w:rsidP="00057035">
      <w:pPr>
        <w:spacing w:after="0" w:line="360" w:lineRule="auto"/>
        <w:rPr>
          <w:rFonts w:asciiTheme="majorBidi" w:hAnsiTheme="majorBidi" w:cstheme="majorBidi"/>
          <w:sz w:val="28"/>
          <w:szCs w:val="28"/>
        </w:rPr>
      </w:pPr>
      <w:hyperlink r:id="rId147" w:history="1">
        <w:r w:rsidRPr="00BF50EE">
          <w:rPr>
            <w:rFonts w:asciiTheme="majorBidi" w:hAnsiTheme="majorBidi" w:cstheme="majorBidi"/>
            <w:color w:val="0000FF" w:themeColor="hyperlink"/>
            <w:sz w:val="28"/>
            <w:szCs w:val="28"/>
            <w:u w:val="single"/>
          </w:rPr>
          <w:t>http://www.haaretz.co.il/news/politics/1.2541531</w:t>
        </w:r>
      </w:hyperlink>
    </w:p>
    <w:p w:rsidR="009B636F" w:rsidRPr="00BF50EE" w:rsidRDefault="009B636F" w:rsidP="009B636F">
      <w:pPr>
        <w:spacing w:after="0" w:line="360" w:lineRule="auto"/>
        <w:jc w:val="both"/>
        <w:rPr>
          <w:sz w:val="28"/>
          <w:szCs w:val="28"/>
          <w:rtl/>
        </w:rPr>
      </w:pPr>
    </w:p>
    <w:p w:rsidR="009B636F" w:rsidRPr="00057035" w:rsidRDefault="009B636F" w:rsidP="009B636F">
      <w:pPr>
        <w:spacing w:after="0" w:line="360" w:lineRule="auto"/>
        <w:jc w:val="both"/>
        <w:rPr>
          <w:rFonts w:cs="David"/>
          <w:sz w:val="28"/>
          <w:szCs w:val="28"/>
          <w:rtl/>
        </w:rPr>
      </w:pPr>
      <w:r w:rsidRPr="00057035">
        <w:rPr>
          <w:rFonts w:cs="David" w:hint="cs"/>
          <w:sz w:val="28"/>
          <w:szCs w:val="28"/>
          <w:rtl/>
        </w:rPr>
        <w:t xml:space="preserve">מדזיני רונן (2011), בירושלים מודים: אין סיכוי להפוך החלטת גולדסטון, </w:t>
      </w:r>
      <w:r w:rsidRPr="00057035">
        <w:rPr>
          <w:rFonts w:asciiTheme="majorBidi" w:hAnsiTheme="majorBidi" w:cs="David"/>
          <w:b/>
          <w:bCs/>
          <w:sz w:val="28"/>
          <w:szCs w:val="28"/>
        </w:rPr>
        <w:t>Ynet</w:t>
      </w:r>
      <w:r w:rsidRPr="00057035">
        <w:rPr>
          <w:rFonts w:cs="David" w:hint="cs"/>
          <w:sz w:val="28"/>
          <w:szCs w:val="28"/>
          <w:rtl/>
        </w:rPr>
        <w:t>.</w:t>
      </w:r>
    </w:p>
    <w:p w:rsidR="009B636F" w:rsidRPr="00A82D32" w:rsidRDefault="009B636F" w:rsidP="00057035">
      <w:pPr>
        <w:spacing w:after="0" w:line="360" w:lineRule="auto"/>
        <w:jc w:val="both"/>
        <w:rPr>
          <w:rFonts w:asciiTheme="majorBidi" w:hAnsiTheme="majorBidi" w:cstheme="majorBidi"/>
          <w:sz w:val="28"/>
          <w:szCs w:val="28"/>
        </w:rPr>
      </w:pPr>
      <w:hyperlink r:id="rId148" w:history="1">
        <w:r w:rsidRPr="00A82D32">
          <w:rPr>
            <w:rFonts w:asciiTheme="majorBidi" w:hAnsiTheme="majorBidi" w:cstheme="majorBidi"/>
            <w:color w:val="0000FF" w:themeColor="hyperlink"/>
            <w:sz w:val="28"/>
            <w:szCs w:val="28"/>
            <w:u w:val="single"/>
          </w:rPr>
          <w:t>http://www.ynet.co.il/articles/0,7340,L-4051559,00.html</w:t>
        </w:r>
      </w:hyperlink>
    </w:p>
    <w:p w:rsidR="009B636F" w:rsidRPr="00A82D32" w:rsidRDefault="009B636F" w:rsidP="009B636F">
      <w:pPr>
        <w:spacing w:after="0" w:line="360" w:lineRule="auto"/>
        <w:jc w:val="both"/>
        <w:rPr>
          <w:sz w:val="28"/>
          <w:szCs w:val="28"/>
          <w:rtl/>
        </w:rPr>
      </w:pPr>
    </w:p>
    <w:p w:rsidR="009B636F" w:rsidRPr="00057035" w:rsidRDefault="009B636F" w:rsidP="009B636F">
      <w:pPr>
        <w:pStyle w:val="a5"/>
        <w:spacing w:line="360" w:lineRule="auto"/>
        <w:jc w:val="both"/>
        <w:rPr>
          <w:rFonts w:ascii="fbspoilerenbold" w:eastAsia="Times New Roman" w:hAnsi="fbspoilerenbold" w:cs="David"/>
          <w:b/>
          <w:bCs/>
          <w:kern w:val="36"/>
          <w:sz w:val="28"/>
          <w:szCs w:val="28"/>
          <w:rtl/>
        </w:rPr>
      </w:pPr>
      <w:r w:rsidRPr="00057035">
        <w:rPr>
          <w:rFonts w:cs="David" w:hint="cs"/>
          <w:sz w:val="28"/>
          <w:szCs w:val="28"/>
          <w:rtl/>
        </w:rPr>
        <w:t xml:space="preserve">סומברג דנה, אמיר נועם, עוקבי יאסר (2015), </w:t>
      </w:r>
      <w:r w:rsidRPr="00057035">
        <w:rPr>
          <w:rFonts w:ascii="fbspoilerenbold" w:eastAsia="Times New Roman" w:hAnsi="fbspoilerenbold" w:cs="David"/>
          <w:kern w:val="36"/>
          <w:sz w:val="28"/>
          <w:szCs w:val="28"/>
          <w:rtl/>
        </w:rPr>
        <w:t>נתניהו: "ישראל דוחה את</w:t>
      </w:r>
      <w:r w:rsidRPr="001D743B">
        <w:rPr>
          <w:rFonts w:ascii="fbspoilerenbold" w:eastAsia="Times New Roman" w:hAnsi="fbspoilerenbold"/>
          <w:kern w:val="36"/>
          <w:sz w:val="28"/>
          <w:szCs w:val="28"/>
          <w:rtl/>
        </w:rPr>
        <w:t xml:space="preserve"> </w:t>
      </w:r>
      <w:r w:rsidRPr="00057035">
        <w:rPr>
          <w:rFonts w:ascii="fbspoilerenbold" w:eastAsia="Times New Roman" w:hAnsi="fbspoilerenbold" w:cs="David"/>
          <w:kern w:val="36"/>
          <w:sz w:val="28"/>
          <w:szCs w:val="28"/>
          <w:rtl/>
        </w:rPr>
        <w:t>ההחלטה השערורייתית של בית הדין בהאג</w:t>
      </w:r>
      <w:r w:rsidRPr="00057035">
        <w:rPr>
          <w:rFonts w:ascii="fbspoilerenbold" w:eastAsia="Times New Roman" w:hAnsi="fbspoilerenbold" w:cs="David"/>
          <w:kern w:val="36"/>
          <w:sz w:val="28"/>
          <w:szCs w:val="28"/>
        </w:rPr>
        <w:t>"</w:t>
      </w:r>
      <w:r w:rsidRPr="00057035">
        <w:rPr>
          <w:rFonts w:ascii="fbspoilerenbold" w:eastAsia="Times New Roman" w:hAnsi="fbspoilerenbold" w:cs="David" w:hint="cs"/>
          <w:kern w:val="36"/>
          <w:sz w:val="28"/>
          <w:szCs w:val="28"/>
          <w:rtl/>
        </w:rPr>
        <w:t xml:space="preserve">, </w:t>
      </w:r>
      <w:r w:rsidRPr="00057035">
        <w:rPr>
          <w:rFonts w:ascii="fbspoilerenbold" w:eastAsia="Times New Roman" w:hAnsi="fbspoilerenbold" w:cs="David" w:hint="cs"/>
          <w:b/>
          <w:bCs/>
          <w:kern w:val="36"/>
          <w:sz w:val="28"/>
          <w:szCs w:val="28"/>
          <w:rtl/>
        </w:rPr>
        <w:t>מעריב.</w:t>
      </w:r>
    </w:p>
    <w:p w:rsidR="009B636F" w:rsidRPr="00057035" w:rsidRDefault="009B636F" w:rsidP="00057035">
      <w:pPr>
        <w:pStyle w:val="a5"/>
        <w:spacing w:line="360" w:lineRule="auto"/>
        <w:jc w:val="both"/>
        <w:rPr>
          <w:rFonts w:asciiTheme="majorBidi" w:eastAsia="Times New Roman" w:hAnsiTheme="majorBidi" w:cstheme="majorBidi"/>
          <w:kern w:val="36"/>
          <w:sz w:val="28"/>
          <w:szCs w:val="28"/>
          <w:rtl/>
        </w:rPr>
      </w:pPr>
      <w:hyperlink r:id="rId149" w:history="1">
        <w:r w:rsidRPr="00057035">
          <w:rPr>
            <w:rStyle w:val="Hyperlink"/>
            <w:rFonts w:asciiTheme="majorBidi" w:eastAsia="Times New Roman" w:hAnsiTheme="majorBidi" w:cstheme="majorBidi"/>
            <w:kern w:val="36"/>
            <w:sz w:val="28"/>
            <w:szCs w:val="28"/>
          </w:rPr>
          <w:t>http://www.maariv.co.il/news/politics/Article-460131</w:t>
        </w:r>
      </w:hyperlink>
    </w:p>
    <w:p w:rsidR="009B636F" w:rsidRPr="00057035" w:rsidRDefault="009B636F" w:rsidP="00057035">
      <w:pPr>
        <w:pStyle w:val="a5"/>
        <w:spacing w:line="360" w:lineRule="auto"/>
        <w:jc w:val="right"/>
        <w:rPr>
          <w:rFonts w:asciiTheme="majorBidi" w:hAnsiTheme="majorBidi" w:cstheme="majorBidi"/>
          <w:sz w:val="28"/>
          <w:szCs w:val="28"/>
          <w:rtl/>
        </w:rPr>
      </w:pPr>
    </w:p>
    <w:p w:rsidR="009B636F" w:rsidRPr="00057035" w:rsidRDefault="009B636F" w:rsidP="009B636F">
      <w:pPr>
        <w:spacing w:after="0" w:line="360" w:lineRule="auto"/>
        <w:jc w:val="both"/>
        <w:rPr>
          <w:rFonts w:asciiTheme="majorBidi" w:hAnsiTheme="majorBidi" w:cs="David"/>
          <w:sz w:val="28"/>
          <w:szCs w:val="28"/>
          <w:rtl/>
        </w:rPr>
      </w:pPr>
      <w:r w:rsidRPr="00057035">
        <w:rPr>
          <w:rFonts w:cs="David" w:hint="cs"/>
          <w:sz w:val="28"/>
          <w:szCs w:val="28"/>
          <w:rtl/>
        </w:rPr>
        <w:lastRenderedPageBreak/>
        <w:t xml:space="preserve">סופר רוני (2009), </w:t>
      </w:r>
      <w:r w:rsidRPr="00057035">
        <w:rPr>
          <w:rFonts w:ascii="Arial" w:hAnsi="Arial" w:cs="David"/>
          <w:sz w:val="28"/>
          <w:szCs w:val="28"/>
          <w:rtl/>
        </w:rPr>
        <w:t>נתניהו: דוח גולדסטון - בית דין שדה ופרס לטרור</w:t>
      </w:r>
      <w:r w:rsidRPr="00057035">
        <w:rPr>
          <w:rFonts w:cs="David" w:hint="cs"/>
          <w:sz w:val="28"/>
          <w:szCs w:val="28"/>
          <w:rtl/>
        </w:rPr>
        <w:t xml:space="preserve">, </w:t>
      </w:r>
      <w:r w:rsidRPr="00057035">
        <w:rPr>
          <w:rFonts w:asciiTheme="majorBidi" w:hAnsiTheme="majorBidi" w:cs="David"/>
          <w:b/>
          <w:bCs/>
          <w:sz w:val="28"/>
          <w:szCs w:val="28"/>
        </w:rPr>
        <w:t>Ynet</w:t>
      </w:r>
      <w:r w:rsidRPr="00057035">
        <w:rPr>
          <w:rFonts w:asciiTheme="majorBidi" w:hAnsiTheme="majorBidi" w:cs="David" w:hint="cs"/>
          <w:sz w:val="28"/>
          <w:szCs w:val="28"/>
          <w:rtl/>
        </w:rPr>
        <w:t>.</w:t>
      </w:r>
    </w:p>
    <w:p w:rsidR="009B636F" w:rsidRPr="00A54390" w:rsidRDefault="009B636F" w:rsidP="009B636F">
      <w:pPr>
        <w:spacing w:after="0" w:line="360" w:lineRule="auto"/>
        <w:jc w:val="both"/>
        <w:rPr>
          <w:rFonts w:asciiTheme="majorBidi" w:hAnsiTheme="majorBidi" w:cstheme="majorBidi"/>
          <w:sz w:val="28"/>
          <w:szCs w:val="28"/>
        </w:rPr>
      </w:pPr>
      <w:hyperlink r:id="rId150" w:history="1">
        <w:r w:rsidRPr="00A54390">
          <w:rPr>
            <w:rFonts w:asciiTheme="majorBidi" w:hAnsiTheme="majorBidi" w:cstheme="majorBidi"/>
            <w:color w:val="0000FF" w:themeColor="hyperlink"/>
            <w:sz w:val="28"/>
            <w:szCs w:val="28"/>
            <w:u w:val="single"/>
          </w:rPr>
          <w:t>http://www.ynet.co.il/articles/0,7340,L-3778069,00.html</w:t>
        </w:r>
      </w:hyperlink>
    </w:p>
    <w:p w:rsidR="009B636F" w:rsidRDefault="009B636F" w:rsidP="009B636F">
      <w:pPr>
        <w:pStyle w:val="a5"/>
        <w:spacing w:line="360" w:lineRule="auto"/>
        <w:jc w:val="both"/>
        <w:rPr>
          <w:sz w:val="28"/>
          <w:szCs w:val="28"/>
          <w:rtl/>
        </w:rPr>
      </w:pPr>
    </w:p>
    <w:p w:rsidR="009B636F" w:rsidRPr="00057035" w:rsidRDefault="009B636F" w:rsidP="009B636F">
      <w:pPr>
        <w:pStyle w:val="a5"/>
        <w:spacing w:line="360" w:lineRule="auto"/>
        <w:jc w:val="both"/>
        <w:rPr>
          <w:rFonts w:ascii="Arial" w:hAnsi="Arial" w:cs="David"/>
          <w:sz w:val="28"/>
          <w:szCs w:val="28"/>
          <w:rtl/>
        </w:rPr>
      </w:pPr>
      <w:r w:rsidRPr="00057035">
        <w:rPr>
          <w:rFonts w:cs="David" w:hint="cs"/>
          <w:sz w:val="28"/>
          <w:szCs w:val="28"/>
          <w:rtl/>
        </w:rPr>
        <w:t xml:space="preserve">סופר רוני וגליקמן אביעד (2009), </w:t>
      </w:r>
      <w:r w:rsidRPr="00057035">
        <w:rPr>
          <w:rFonts w:ascii="Arial" w:hAnsi="Arial" w:cs="David"/>
          <w:sz w:val="28"/>
          <w:szCs w:val="28"/>
          <w:rtl/>
        </w:rPr>
        <w:t>פרס על דוח גולדסטון: עושה צחוק</w:t>
      </w:r>
      <w:r w:rsidRPr="001D743B">
        <w:rPr>
          <w:rFonts w:ascii="Arial" w:hAnsi="Arial"/>
          <w:sz w:val="28"/>
          <w:szCs w:val="28"/>
          <w:rtl/>
        </w:rPr>
        <w:t xml:space="preserve"> </w:t>
      </w:r>
      <w:r w:rsidRPr="00057035">
        <w:rPr>
          <w:rFonts w:ascii="Arial" w:hAnsi="Arial" w:cs="David"/>
          <w:sz w:val="28"/>
          <w:szCs w:val="28"/>
          <w:rtl/>
        </w:rPr>
        <w:t>מההיסטוריה</w:t>
      </w:r>
      <w:r w:rsidRPr="00057035">
        <w:rPr>
          <w:rFonts w:ascii="Arial" w:hAnsi="Arial" w:cs="David" w:hint="cs"/>
          <w:sz w:val="28"/>
          <w:szCs w:val="28"/>
          <w:rtl/>
        </w:rPr>
        <w:t xml:space="preserve">, </w:t>
      </w:r>
      <w:r w:rsidRPr="00057035">
        <w:rPr>
          <w:rFonts w:asciiTheme="majorBidi" w:hAnsiTheme="majorBidi" w:cs="David"/>
          <w:b/>
          <w:bCs/>
          <w:sz w:val="28"/>
          <w:szCs w:val="28"/>
        </w:rPr>
        <w:t>Ynet</w:t>
      </w:r>
      <w:r w:rsidRPr="00057035">
        <w:rPr>
          <w:rFonts w:ascii="Arial" w:hAnsi="Arial" w:cs="David" w:hint="cs"/>
          <w:sz w:val="28"/>
          <w:szCs w:val="28"/>
          <w:rtl/>
        </w:rPr>
        <w:t>.</w:t>
      </w:r>
    </w:p>
    <w:p w:rsidR="009B636F" w:rsidRDefault="009B636F" w:rsidP="009B636F">
      <w:pPr>
        <w:pStyle w:val="a5"/>
        <w:spacing w:line="360" w:lineRule="auto"/>
        <w:jc w:val="both"/>
        <w:rPr>
          <w:rFonts w:asciiTheme="majorBidi" w:hAnsiTheme="majorBidi" w:cstheme="majorBidi"/>
          <w:sz w:val="28"/>
          <w:szCs w:val="28"/>
          <w:rtl/>
        </w:rPr>
      </w:pPr>
      <w:hyperlink r:id="rId151" w:history="1">
        <w:r w:rsidRPr="0007412A">
          <w:rPr>
            <w:rStyle w:val="Hyperlink"/>
            <w:rFonts w:asciiTheme="majorBidi" w:hAnsiTheme="majorBidi" w:cstheme="majorBidi"/>
            <w:sz w:val="28"/>
            <w:szCs w:val="28"/>
          </w:rPr>
          <w:t>http://www.ynet.co.il/articles/0,7340,L-3777769,00.html</w:t>
        </w:r>
      </w:hyperlink>
    </w:p>
    <w:p w:rsidR="009B636F" w:rsidRDefault="009B636F" w:rsidP="009B636F">
      <w:pPr>
        <w:pStyle w:val="a5"/>
        <w:spacing w:line="360" w:lineRule="auto"/>
        <w:jc w:val="both"/>
        <w:rPr>
          <w:sz w:val="28"/>
          <w:szCs w:val="28"/>
          <w:rtl/>
        </w:rPr>
      </w:pPr>
    </w:p>
    <w:p w:rsidR="009B636F" w:rsidRPr="00057035" w:rsidRDefault="009B636F" w:rsidP="009B636F">
      <w:pPr>
        <w:pStyle w:val="a5"/>
        <w:spacing w:line="360" w:lineRule="auto"/>
        <w:jc w:val="both"/>
        <w:rPr>
          <w:rFonts w:asciiTheme="majorBidi" w:hAnsiTheme="majorBidi" w:cs="David"/>
          <w:b/>
          <w:bCs/>
          <w:sz w:val="28"/>
          <w:szCs w:val="28"/>
          <w:rtl/>
        </w:rPr>
      </w:pPr>
      <w:r w:rsidRPr="00057035">
        <w:rPr>
          <w:rFonts w:cs="David" w:hint="cs"/>
          <w:sz w:val="28"/>
          <w:szCs w:val="28"/>
          <w:rtl/>
        </w:rPr>
        <w:t>ערד ניר וסגל אודי (2011), בצה"ל מעריכים: קטן הסיכוי להעמדת קצינים לדין</w:t>
      </w:r>
      <w:r w:rsidRPr="001D743B">
        <w:rPr>
          <w:rFonts w:hint="cs"/>
          <w:sz w:val="28"/>
          <w:szCs w:val="28"/>
          <w:rtl/>
        </w:rPr>
        <w:t xml:space="preserve"> </w:t>
      </w:r>
      <w:r w:rsidRPr="00057035">
        <w:rPr>
          <w:rFonts w:cs="David" w:hint="cs"/>
          <w:sz w:val="28"/>
          <w:szCs w:val="28"/>
          <w:rtl/>
        </w:rPr>
        <w:t xml:space="preserve">בחו"ל, </w:t>
      </w:r>
      <w:r w:rsidRPr="00057035">
        <w:rPr>
          <w:rFonts w:asciiTheme="majorBidi" w:hAnsiTheme="majorBidi" w:cs="David" w:hint="cs"/>
          <w:b/>
          <w:bCs/>
          <w:sz w:val="28"/>
          <w:szCs w:val="28"/>
        </w:rPr>
        <w:t>M</w:t>
      </w:r>
      <w:r w:rsidRPr="00057035">
        <w:rPr>
          <w:rFonts w:asciiTheme="majorBidi" w:hAnsiTheme="majorBidi" w:cs="David"/>
          <w:b/>
          <w:bCs/>
          <w:sz w:val="28"/>
          <w:szCs w:val="28"/>
        </w:rPr>
        <w:t>ako</w:t>
      </w:r>
      <w:r w:rsidRPr="00057035">
        <w:rPr>
          <w:rFonts w:asciiTheme="majorBidi" w:hAnsiTheme="majorBidi" w:cs="David" w:hint="cs"/>
          <w:sz w:val="28"/>
          <w:szCs w:val="28"/>
          <w:rtl/>
        </w:rPr>
        <w:t>.</w:t>
      </w:r>
    </w:p>
    <w:p w:rsidR="009B636F" w:rsidRPr="00A82D32" w:rsidRDefault="009B636F" w:rsidP="009B636F">
      <w:pPr>
        <w:spacing w:after="0" w:line="360" w:lineRule="auto"/>
        <w:jc w:val="both"/>
        <w:rPr>
          <w:rFonts w:asciiTheme="majorBidi" w:hAnsiTheme="majorBidi" w:cstheme="majorBidi"/>
          <w:sz w:val="28"/>
          <w:szCs w:val="28"/>
        </w:rPr>
      </w:pPr>
      <w:hyperlink r:id="rId152" w:history="1">
        <w:r w:rsidRPr="00A82D32">
          <w:rPr>
            <w:rFonts w:asciiTheme="majorBidi" w:hAnsiTheme="majorBidi" w:cstheme="majorBidi"/>
            <w:color w:val="0000FF" w:themeColor="hyperlink"/>
            <w:sz w:val="28"/>
            <w:szCs w:val="28"/>
            <w:u w:val="single"/>
          </w:rPr>
          <w:t>http://www.mako.co.il/news-military/israel/Article</w:t>
        </w:r>
        <w:r w:rsidRPr="00A82D32">
          <w:rPr>
            <w:color w:val="0000FF" w:themeColor="hyperlink"/>
            <w:sz w:val="28"/>
            <w:szCs w:val="28"/>
            <w:u w:val="single"/>
          </w:rPr>
          <w:t>-</w:t>
        </w:r>
        <w:r w:rsidRPr="00A82D32">
          <w:rPr>
            <w:rFonts w:asciiTheme="majorBidi" w:hAnsiTheme="majorBidi" w:cstheme="majorBidi"/>
            <w:color w:val="0000FF" w:themeColor="hyperlink"/>
            <w:sz w:val="28"/>
            <w:szCs w:val="28"/>
            <w:u w:val="single"/>
          </w:rPr>
          <w:t>89f59b4453c1f21004.htm</w:t>
        </w:r>
      </w:hyperlink>
    </w:p>
    <w:p w:rsidR="009B636F" w:rsidRPr="00A54390" w:rsidRDefault="009B636F" w:rsidP="009B636F">
      <w:pPr>
        <w:spacing w:after="0" w:line="360" w:lineRule="auto"/>
        <w:jc w:val="both"/>
        <w:rPr>
          <w:rFonts w:asciiTheme="majorBidi" w:hAnsiTheme="majorBidi" w:cstheme="majorBidi"/>
          <w:sz w:val="28"/>
          <w:szCs w:val="28"/>
          <w:rtl/>
        </w:rPr>
      </w:pPr>
    </w:p>
    <w:p w:rsidR="009B636F" w:rsidRPr="00057035" w:rsidRDefault="009B636F" w:rsidP="009B636F">
      <w:pPr>
        <w:spacing w:after="0" w:line="360" w:lineRule="auto"/>
        <w:jc w:val="both"/>
        <w:rPr>
          <w:rFonts w:cs="David"/>
          <w:sz w:val="28"/>
          <w:szCs w:val="28"/>
          <w:rtl/>
        </w:rPr>
      </w:pPr>
      <w:r w:rsidRPr="00057035">
        <w:rPr>
          <w:rFonts w:cs="David" w:hint="cs"/>
          <w:sz w:val="28"/>
          <w:szCs w:val="28"/>
          <w:rtl/>
        </w:rPr>
        <w:t>רביד ברק, בוקר משה, חורי ג'קי (2015), הפלסטינים משכו את בקשתם</w:t>
      </w:r>
      <w:r w:rsidRPr="00873E97">
        <w:rPr>
          <w:rFonts w:hint="cs"/>
          <w:sz w:val="28"/>
          <w:szCs w:val="28"/>
          <w:rtl/>
        </w:rPr>
        <w:t xml:space="preserve"> </w:t>
      </w:r>
      <w:r w:rsidRPr="00057035">
        <w:rPr>
          <w:rFonts w:cs="David" w:hint="cs"/>
          <w:sz w:val="28"/>
          <w:szCs w:val="28"/>
          <w:rtl/>
        </w:rPr>
        <w:t xml:space="preserve">להשעות את ישראל מפיפ"א, </w:t>
      </w:r>
      <w:r w:rsidRPr="00057035">
        <w:rPr>
          <w:rFonts w:cs="David" w:hint="cs"/>
          <w:b/>
          <w:bCs/>
          <w:sz w:val="28"/>
          <w:szCs w:val="28"/>
          <w:rtl/>
        </w:rPr>
        <w:t>הארץ</w:t>
      </w:r>
      <w:r w:rsidRPr="00057035">
        <w:rPr>
          <w:rFonts w:cs="David" w:hint="cs"/>
          <w:sz w:val="28"/>
          <w:szCs w:val="28"/>
          <w:rtl/>
        </w:rPr>
        <w:t>, 29.5.2015.</w:t>
      </w:r>
    </w:p>
    <w:p w:rsidR="009B636F" w:rsidRDefault="009B636F" w:rsidP="009B636F">
      <w:pPr>
        <w:spacing w:after="0" w:line="360" w:lineRule="auto"/>
        <w:jc w:val="both"/>
        <w:rPr>
          <w:rFonts w:asciiTheme="majorBidi" w:hAnsiTheme="majorBidi" w:cstheme="majorBidi"/>
          <w:sz w:val="28"/>
          <w:szCs w:val="28"/>
          <w:rtl/>
        </w:rPr>
      </w:pPr>
      <w:hyperlink r:id="rId153" w:history="1">
        <w:r w:rsidRPr="00873E97">
          <w:rPr>
            <w:rFonts w:asciiTheme="majorBidi" w:hAnsiTheme="majorBidi" w:cstheme="majorBidi"/>
            <w:color w:val="0000FF" w:themeColor="hyperlink"/>
            <w:sz w:val="28"/>
            <w:szCs w:val="28"/>
            <w:u w:val="single"/>
          </w:rPr>
          <w:t>http://www.haaretz.co.il/news/politics/1.2647412</w:t>
        </w:r>
      </w:hyperlink>
    </w:p>
    <w:p w:rsidR="009B636F" w:rsidRPr="00873E97" w:rsidRDefault="009B636F" w:rsidP="009B636F">
      <w:pPr>
        <w:spacing w:after="0" w:line="360" w:lineRule="auto"/>
        <w:jc w:val="both"/>
        <w:rPr>
          <w:rFonts w:asciiTheme="majorBidi" w:hAnsiTheme="majorBidi" w:cstheme="majorBidi"/>
          <w:sz w:val="28"/>
          <w:szCs w:val="28"/>
        </w:rPr>
      </w:pPr>
    </w:p>
    <w:p w:rsidR="009B636F" w:rsidRPr="00057035" w:rsidRDefault="009B636F" w:rsidP="009B636F">
      <w:pPr>
        <w:spacing w:after="0" w:line="360" w:lineRule="auto"/>
        <w:jc w:val="both"/>
        <w:rPr>
          <w:rFonts w:ascii="Helvetica" w:hAnsi="Helvetica" w:cs="David"/>
          <w:sz w:val="28"/>
          <w:szCs w:val="28"/>
          <w:rtl/>
        </w:rPr>
      </w:pPr>
      <w:r w:rsidRPr="00057035">
        <w:rPr>
          <w:rFonts w:cs="David" w:hint="cs"/>
          <w:sz w:val="28"/>
          <w:szCs w:val="28"/>
          <w:rtl/>
        </w:rPr>
        <w:t xml:space="preserve">רביד ברק (2015), </w:t>
      </w:r>
      <w:r w:rsidRPr="00057035">
        <w:rPr>
          <w:rFonts w:ascii="Helvetica" w:hAnsi="Helvetica" w:cs="David"/>
          <w:sz w:val="28"/>
          <w:szCs w:val="28"/>
          <w:rtl/>
        </w:rPr>
        <w:t>ישראל החליטה לשנות מדיניות ולפתוח בשיחות עם בית</w:t>
      </w:r>
      <w:r w:rsidRPr="0023003E">
        <w:rPr>
          <w:rFonts w:ascii="Helvetica" w:hAnsi="Helvetica"/>
          <w:sz w:val="28"/>
          <w:szCs w:val="28"/>
          <w:rtl/>
        </w:rPr>
        <w:t xml:space="preserve"> </w:t>
      </w:r>
      <w:r w:rsidRPr="00057035">
        <w:rPr>
          <w:rFonts w:ascii="Helvetica" w:hAnsi="Helvetica" w:cs="David"/>
          <w:sz w:val="28"/>
          <w:szCs w:val="28"/>
          <w:rtl/>
        </w:rPr>
        <w:t>הדין בהאג</w:t>
      </w:r>
      <w:r w:rsidRPr="00057035">
        <w:rPr>
          <w:rFonts w:ascii="Helvetica" w:hAnsi="Helvetica" w:cs="David" w:hint="cs"/>
          <w:sz w:val="28"/>
          <w:szCs w:val="28"/>
          <w:rtl/>
        </w:rPr>
        <w:t xml:space="preserve">, </w:t>
      </w:r>
      <w:r w:rsidRPr="00057035">
        <w:rPr>
          <w:rFonts w:ascii="Helvetica" w:hAnsi="Helvetica" w:cs="David" w:hint="cs"/>
          <w:b/>
          <w:bCs/>
          <w:sz w:val="28"/>
          <w:szCs w:val="28"/>
          <w:rtl/>
        </w:rPr>
        <w:t>הארץ</w:t>
      </w:r>
      <w:r w:rsidRPr="00057035">
        <w:rPr>
          <w:rFonts w:ascii="Helvetica" w:hAnsi="Helvetica" w:cs="David" w:hint="cs"/>
          <w:sz w:val="28"/>
          <w:szCs w:val="28"/>
          <w:rtl/>
        </w:rPr>
        <w:t>, 9.7.2015.</w:t>
      </w:r>
    </w:p>
    <w:p w:rsidR="009B636F" w:rsidRPr="0023003E" w:rsidRDefault="009B636F" w:rsidP="009B636F">
      <w:pPr>
        <w:spacing w:after="0" w:line="360" w:lineRule="auto"/>
        <w:jc w:val="both"/>
        <w:rPr>
          <w:rFonts w:asciiTheme="majorBidi" w:hAnsiTheme="majorBidi" w:cstheme="majorBidi"/>
          <w:sz w:val="28"/>
          <w:szCs w:val="28"/>
        </w:rPr>
      </w:pPr>
      <w:hyperlink r:id="rId154" w:history="1">
        <w:r w:rsidRPr="0023003E">
          <w:rPr>
            <w:rFonts w:asciiTheme="majorBidi" w:hAnsiTheme="majorBidi" w:cstheme="majorBidi"/>
            <w:color w:val="0000FF" w:themeColor="hyperlink"/>
            <w:sz w:val="28"/>
            <w:szCs w:val="28"/>
            <w:u w:val="single"/>
          </w:rPr>
          <w:t>http://www.haaretz.co.il/news/politics/.premium-1.2680076</w:t>
        </w:r>
      </w:hyperlink>
    </w:p>
    <w:p w:rsidR="009B636F" w:rsidRDefault="009B636F" w:rsidP="009B636F">
      <w:pPr>
        <w:spacing w:after="0" w:line="360" w:lineRule="auto"/>
        <w:jc w:val="both"/>
        <w:rPr>
          <w:sz w:val="28"/>
          <w:szCs w:val="28"/>
          <w:rtl/>
        </w:rPr>
      </w:pPr>
    </w:p>
    <w:p w:rsidR="009B636F" w:rsidRPr="00057035" w:rsidRDefault="009B636F" w:rsidP="009B636F">
      <w:pPr>
        <w:spacing w:after="0" w:line="360" w:lineRule="auto"/>
        <w:jc w:val="both"/>
        <w:rPr>
          <w:rFonts w:cs="David"/>
          <w:sz w:val="28"/>
          <w:szCs w:val="28"/>
          <w:rtl/>
        </w:rPr>
      </w:pPr>
      <w:r w:rsidRPr="00057035">
        <w:rPr>
          <w:rFonts w:cs="David" w:hint="cs"/>
          <w:sz w:val="28"/>
          <w:szCs w:val="28"/>
          <w:rtl/>
        </w:rPr>
        <w:t xml:space="preserve">רביד ברק (2013), </w:t>
      </w:r>
      <w:r w:rsidRPr="00057035">
        <w:rPr>
          <w:rFonts w:cs="David"/>
          <w:sz w:val="28"/>
          <w:szCs w:val="28"/>
          <w:rtl/>
        </w:rPr>
        <w:t>נתניהו שוחרר מליברמן, ארדואן נלחץ מאסד</w:t>
      </w:r>
      <w:r w:rsidRPr="00057035">
        <w:rPr>
          <w:rFonts w:cs="David" w:hint="cs"/>
          <w:sz w:val="28"/>
          <w:szCs w:val="28"/>
          <w:rtl/>
        </w:rPr>
        <w:t xml:space="preserve">, </w:t>
      </w:r>
      <w:r w:rsidRPr="00057035">
        <w:rPr>
          <w:rFonts w:cs="David" w:hint="cs"/>
          <w:b/>
          <w:bCs/>
          <w:sz w:val="28"/>
          <w:szCs w:val="28"/>
          <w:rtl/>
        </w:rPr>
        <w:t>הארץ</w:t>
      </w:r>
      <w:r w:rsidRPr="00057035">
        <w:rPr>
          <w:rFonts w:cs="David" w:hint="cs"/>
          <w:sz w:val="28"/>
          <w:szCs w:val="28"/>
          <w:rtl/>
        </w:rPr>
        <w:t xml:space="preserve">. </w:t>
      </w:r>
    </w:p>
    <w:p w:rsidR="009B636F" w:rsidRPr="00057035" w:rsidRDefault="009B636F" w:rsidP="009B636F">
      <w:pPr>
        <w:spacing w:after="0" w:line="360" w:lineRule="auto"/>
        <w:jc w:val="both"/>
        <w:rPr>
          <w:rFonts w:asciiTheme="majorBidi" w:hAnsiTheme="majorBidi" w:cstheme="majorBidi"/>
          <w:sz w:val="28"/>
          <w:szCs w:val="28"/>
          <w:rtl/>
        </w:rPr>
      </w:pPr>
      <w:hyperlink r:id="rId155" w:history="1">
        <w:r w:rsidRPr="00057035">
          <w:rPr>
            <w:rStyle w:val="Hyperlink"/>
            <w:rFonts w:asciiTheme="majorBidi" w:hAnsiTheme="majorBidi" w:cstheme="majorBidi"/>
            <w:sz w:val="28"/>
            <w:szCs w:val="28"/>
          </w:rPr>
          <w:t>http://www.haaretz.co.il/.premium-1.1974166</w:t>
        </w:r>
      </w:hyperlink>
    </w:p>
    <w:p w:rsidR="009B636F" w:rsidRPr="0023003E" w:rsidRDefault="009B636F" w:rsidP="009B636F">
      <w:pPr>
        <w:spacing w:after="0" w:line="360" w:lineRule="auto"/>
        <w:jc w:val="both"/>
        <w:rPr>
          <w:sz w:val="28"/>
          <w:szCs w:val="28"/>
        </w:rPr>
      </w:pPr>
    </w:p>
    <w:p w:rsidR="009B636F" w:rsidRPr="00057035" w:rsidRDefault="009B636F" w:rsidP="009B636F">
      <w:pPr>
        <w:pStyle w:val="a5"/>
        <w:spacing w:line="360" w:lineRule="auto"/>
        <w:jc w:val="both"/>
        <w:rPr>
          <w:rFonts w:cs="David"/>
          <w:sz w:val="28"/>
          <w:szCs w:val="28"/>
          <w:rtl/>
        </w:rPr>
      </w:pPr>
      <w:r w:rsidRPr="00057035">
        <w:rPr>
          <w:rFonts w:cs="David" w:hint="cs"/>
          <w:sz w:val="28"/>
          <w:szCs w:val="28"/>
          <w:rtl/>
        </w:rPr>
        <w:t xml:space="preserve">רוחקס דומבה עמי (2014), נשק ישראלי וצביעות אירופאית, </w:t>
      </w:r>
      <w:r w:rsidRPr="00057035">
        <w:rPr>
          <w:rFonts w:asciiTheme="majorBidi" w:hAnsiTheme="majorBidi" w:cstheme="majorBidi"/>
          <w:b/>
          <w:bCs/>
          <w:sz w:val="28"/>
          <w:szCs w:val="28"/>
        </w:rPr>
        <w:t>Israel Defense</w:t>
      </w:r>
      <w:r w:rsidRPr="00057035">
        <w:rPr>
          <w:rFonts w:cs="David" w:hint="cs"/>
          <w:sz w:val="28"/>
          <w:szCs w:val="28"/>
          <w:rtl/>
        </w:rPr>
        <w:t>.</w:t>
      </w:r>
    </w:p>
    <w:p w:rsidR="009B636F" w:rsidRPr="00057035" w:rsidRDefault="009B636F" w:rsidP="009B636F">
      <w:pPr>
        <w:pStyle w:val="a5"/>
        <w:bidi w:val="0"/>
        <w:spacing w:line="360" w:lineRule="auto"/>
        <w:jc w:val="both"/>
        <w:rPr>
          <w:rFonts w:asciiTheme="majorBidi" w:hAnsiTheme="majorBidi" w:cstheme="majorBidi"/>
          <w:sz w:val="28"/>
          <w:szCs w:val="28"/>
        </w:rPr>
      </w:pPr>
      <w:hyperlink r:id="rId156" w:history="1">
        <w:r w:rsidRPr="00057035">
          <w:rPr>
            <w:rStyle w:val="Hyperlink"/>
            <w:rFonts w:asciiTheme="majorBidi" w:hAnsiTheme="majorBidi" w:cstheme="majorBidi"/>
            <w:sz w:val="28"/>
            <w:szCs w:val="28"/>
          </w:rPr>
          <w:t>http://www.israeldefense.co.il/he/content/%D7%A0%D7%A9%D7%A7-%D7%99%D7%A9%D7%A8%D7%90%D7%9C%D7%99-%D7%95%D7%A6%D7%91%D7%99%D7%A2%D7%95%D7%AA-%D7%90%D7%99%D7%A8%D7%95%D7%A4%D7%90%D7%99%D7%AA</w:t>
        </w:r>
      </w:hyperlink>
    </w:p>
    <w:p w:rsidR="009B636F" w:rsidRPr="00057035" w:rsidRDefault="009B636F" w:rsidP="009B636F">
      <w:pPr>
        <w:spacing w:after="0" w:line="360" w:lineRule="auto"/>
        <w:jc w:val="both"/>
        <w:rPr>
          <w:rFonts w:asciiTheme="majorBidi" w:hAnsiTheme="majorBidi" w:cstheme="majorBidi"/>
          <w:sz w:val="28"/>
          <w:szCs w:val="28"/>
          <w:rtl/>
        </w:rPr>
      </w:pPr>
    </w:p>
    <w:p w:rsidR="009B636F" w:rsidRPr="00057035" w:rsidRDefault="009B636F" w:rsidP="009B636F">
      <w:pPr>
        <w:spacing w:after="0" w:line="360" w:lineRule="auto"/>
        <w:jc w:val="both"/>
        <w:rPr>
          <w:rFonts w:asciiTheme="majorBidi" w:hAnsiTheme="majorBidi" w:cs="David"/>
          <w:b/>
          <w:bCs/>
          <w:sz w:val="28"/>
          <w:szCs w:val="28"/>
          <w:rtl/>
        </w:rPr>
      </w:pPr>
      <w:r w:rsidRPr="00057035">
        <w:rPr>
          <w:rFonts w:cs="David" w:hint="cs"/>
          <w:sz w:val="28"/>
          <w:szCs w:val="28"/>
          <w:rtl/>
        </w:rPr>
        <w:t>שומפלבי אטילה (2011), נתניהו על מהפך גולדסטון: לזרוק את ה</w:t>
      </w:r>
      <w:r w:rsidRPr="00057035" w:rsidDel="00692192">
        <w:rPr>
          <w:rFonts w:cs="David" w:hint="cs"/>
          <w:sz w:val="28"/>
          <w:szCs w:val="28"/>
          <w:rtl/>
        </w:rPr>
        <w:t>דו"ח</w:t>
      </w:r>
      <w:r w:rsidRPr="00057035">
        <w:rPr>
          <w:rFonts w:cs="David" w:hint="cs"/>
          <w:sz w:val="28"/>
          <w:szCs w:val="28"/>
          <w:rtl/>
        </w:rPr>
        <w:t xml:space="preserve"> לפח,</w:t>
      </w:r>
      <w:r w:rsidRPr="00A54390">
        <w:rPr>
          <w:rFonts w:hint="cs"/>
          <w:sz w:val="28"/>
          <w:szCs w:val="28"/>
          <w:rtl/>
        </w:rPr>
        <w:t xml:space="preserve"> </w:t>
      </w:r>
      <w:r w:rsidRPr="00057035">
        <w:rPr>
          <w:rFonts w:asciiTheme="majorBidi" w:hAnsiTheme="majorBidi" w:cs="David"/>
          <w:b/>
          <w:bCs/>
          <w:sz w:val="28"/>
          <w:szCs w:val="28"/>
        </w:rPr>
        <w:t>Ynet</w:t>
      </w:r>
      <w:r w:rsidRPr="00057035">
        <w:rPr>
          <w:rFonts w:asciiTheme="majorBidi" w:hAnsiTheme="majorBidi" w:cs="David" w:hint="cs"/>
          <w:sz w:val="28"/>
          <w:szCs w:val="28"/>
          <w:rtl/>
        </w:rPr>
        <w:t>.</w:t>
      </w:r>
    </w:p>
    <w:p w:rsidR="009B636F" w:rsidRDefault="009B636F" w:rsidP="009B636F">
      <w:pPr>
        <w:spacing w:after="0" w:line="360" w:lineRule="auto"/>
        <w:jc w:val="both"/>
        <w:rPr>
          <w:sz w:val="28"/>
          <w:szCs w:val="28"/>
          <w:rtl/>
        </w:rPr>
      </w:pPr>
      <w:hyperlink r:id="rId157" w:history="1">
        <w:r w:rsidRPr="00A54390">
          <w:rPr>
            <w:rFonts w:asciiTheme="majorBidi" w:hAnsiTheme="majorBidi" w:cstheme="majorBidi"/>
            <w:color w:val="0000FF" w:themeColor="hyperlink"/>
            <w:sz w:val="28"/>
            <w:szCs w:val="28"/>
            <w:u w:val="single"/>
          </w:rPr>
          <w:t>http://www.ynet.co.il/articles/0,7340,L-4051035,00.html</w:t>
        </w:r>
      </w:hyperlink>
    </w:p>
    <w:p w:rsidR="009B636F" w:rsidRPr="00A54390" w:rsidRDefault="009B636F" w:rsidP="009B636F">
      <w:pPr>
        <w:spacing w:after="0" w:line="360" w:lineRule="auto"/>
        <w:jc w:val="both"/>
        <w:rPr>
          <w:sz w:val="28"/>
          <w:szCs w:val="28"/>
          <w:rtl/>
        </w:rPr>
      </w:pPr>
    </w:p>
    <w:p w:rsidR="009B636F" w:rsidRPr="001D743B" w:rsidRDefault="009B636F" w:rsidP="009B636F">
      <w:pPr>
        <w:pStyle w:val="a5"/>
        <w:spacing w:line="360" w:lineRule="auto"/>
        <w:jc w:val="both"/>
        <w:rPr>
          <w:sz w:val="28"/>
          <w:szCs w:val="28"/>
        </w:rPr>
      </w:pPr>
      <w:r w:rsidRPr="00057035">
        <w:rPr>
          <w:rFonts w:cs="David" w:hint="cs"/>
          <w:sz w:val="28"/>
          <w:szCs w:val="28"/>
          <w:rtl/>
        </w:rPr>
        <w:t xml:space="preserve">שניר אביחי (2014), באירופה שוקלים מחדש את אספקת הנשק לישראל, </w:t>
      </w:r>
      <w:r w:rsidRPr="00057035">
        <w:rPr>
          <w:rFonts w:cs="David" w:hint="cs"/>
          <w:b/>
          <w:bCs/>
          <w:sz w:val="28"/>
          <w:szCs w:val="28"/>
          <w:rtl/>
        </w:rPr>
        <w:t>גלובס</w:t>
      </w:r>
      <w:r w:rsidRPr="00057035">
        <w:rPr>
          <w:rFonts w:cs="David" w:hint="cs"/>
          <w:sz w:val="28"/>
          <w:szCs w:val="28"/>
          <w:rtl/>
        </w:rPr>
        <w:t>.</w:t>
      </w:r>
      <w:r w:rsidRPr="00670AA9">
        <w:rPr>
          <w:rFonts w:hint="cs"/>
          <w:sz w:val="28"/>
          <w:szCs w:val="28"/>
          <w:rtl/>
        </w:rPr>
        <w:t xml:space="preserve"> </w:t>
      </w:r>
      <w:hyperlink r:id="rId158" w:history="1">
        <w:r w:rsidRPr="00670AA9">
          <w:rPr>
            <w:rFonts w:asciiTheme="majorBidi" w:hAnsiTheme="majorBidi" w:cstheme="majorBidi"/>
            <w:color w:val="0000FF" w:themeColor="hyperlink"/>
            <w:sz w:val="28"/>
            <w:szCs w:val="28"/>
            <w:u w:val="single"/>
          </w:rPr>
          <w:t>http://www.globes.co.il/news/article.aspx?did=1000971868</w:t>
        </w:r>
      </w:hyperlink>
    </w:p>
    <w:p w:rsidR="009B636F" w:rsidRPr="00B726E5" w:rsidRDefault="009B636F" w:rsidP="009B636F">
      <w:pPr>
        <w:spacing w:after="0" w:line="360" w:lineRule="auto"/>
        <w:jc w:val="both"/>
        <w:rPr>
          <w:rFonts w:asciiTheme="majorBidi" w:hAnsiTheme="majorBidi" w:cstheme="majorBidi"/>
          <w:sz w:val="28"/>
          <w:szCs w:val="28"/>
          <w:rtl/>
        </w:rPr>
      </w:pPr>
    </w:p>
    <w:p w:rsidR="009B636F" w:rsidRPr="00B726E5" w:rsidRDefault="009B636F" w:rsidP="009B636F">
      <w:pPr>
        <w:pStyle w:val="a5"/>
        <w:bidi w:val="0"/>
        <w:spacing w:line="360" w:lineRule="auto"/>
        <w:jc w:val="both"/>
        <w:rPr>
          <w:rFonts w:asciiTheme="majorBidi" w:eastAsia="Times New Roman" w:hAnsiTheme="majorBidi" w:cstheme="majorBidi"/>
          <w:spacing w:val="-8"/>
          <w:kern w:val="36"/>
          <w:sz w:val="28"/>
          <w:szCs w:val="28"/>
        </w:rPr>
      </w:pPr>
      <w:r w:rsidRPr="00B726E5">
        <w:rPr>
          <w:rFonts w:asciiTheme="majorBidi" w:hAnsiTheme="majorBidi" w:cstheme="majorBidi"/>
          <w:sz w:val="28"/>
          <w:szCs w:val="28"/>
          <w:shd w:val="clear" w:color="auto" w:fill="FFFFFF"/>
        </w:rPr>
        <w:t>Alfarra</w:t>
      </w:r>
      <w:r>
        <w:rPr>
          <w:rFonts w:asciiTheme="majorBidi" w:hAnsiTheme="majorBidi" w:cstheme="majorBidi"/>
          <w:sz w:val="28"/>
          <w:szCs w:val="28"/>
          <w:shd w:val="clear" w:color="auto" w:fill="FFFFFF"/>
        </w:rPr>
        <w:t xml:space="preserve"> </w:t>
      </w:r>
      <w:r w:rsidRPr="00B726E5">
        <w:rPr>
          <w:rFonts w:asciiTheme="majorBidi" w:hAnsiTheme="majorBidi" w:cstheme="majorBidi"/>
          <w:sz w:val="28"/>
          <w:szCs w:val="28"/>
          <w:shd w:val="clear" w:color="auto" w:fill="FFFFFF"/>
        </w:rPr>
        <w:t>Jehan,</w:t>
      </w:r>
      <w:r w:rsidRPr="00B726E5">
        <w:rPr>
          <w:rFonts w:asciiTheme="majorBidi" w:eastAsia="Times New Roman" w:hAnsiTheme="majorBidi" w:cstheme="majorBidi"/>
          <w:spacing w:val="-8"/>
          <w:kern w:val="36"/>
          <w:sz w:val="28"/>
          <w:szCs w:val="28"/>
        </w:rPr>
        <w:t xml:space="preserve"> UK MPs speak out about Israeli detention of Palestinian children, </w:t>
      </w:r>
      <w:r w:rsidRPr="00B726E5">
        <w:rPr>
          <w:rFonts w:asciiTheme="majorBidi" w:eastAsia="Times New Roman" w:hAnsiTheme="majorBidi" w:cstheme="majorBidi"/>
          <w:b/>
          <w:bCs/>
          <w:spacing w:val="-8"/>
          <w:kern w:val="36"/>
          <w:sz w:val="28"/>
          <w:szCs w:val="28"/>
        </w:rPr>
        <w:t>Middle East Monitor</w:t>
      </w:r>
      <w:r>
        <w:rPr>
          <w:rFonts w:asciiTheme="majorBidi" w:eastAsia="Times New Roman" w:hAnsiTheme="majorBidi" w:cstheme="majorBidi"/>
          <w:spacing w:val="-8"/>
          <w:kern w:val="36"/>
          <w:sz w:val="28"/>
          <w:szCs w:val="28"/>
        </w:rPr>
        <w:t>.</w:t>
      </w:r>
    </w:p>
    <w:p w:rsidR="009B636F" w:rsidRPr="00B726E5" w:rsidRDefault="009B636F" w:rsidP="009B636F">
      <w:pPr>
        <w:pStyle w:val="a5"/>
        <w:bidi w:val="0"/>
        <w:spacing w:line="360" w:lineRule="auto"/>
        <w:jc w:val="both"/>
        <w:rPr>
          <w:rFonts w:asciiTheme="majorBidi" w:eastAsia="Times New Roman" w:hAnsiTheme="majorBidi" w:cstheme="majorBidi"/>
          <w:spacing w:val="-8"/>
          <w:kern w:val="36"/>
          <w:sz w:val="28"/>
          <w:szCs w:val="28"/>
        </w:rPr>
      </w:pPr>
      <w:hyperlink r:id="rId159" w:history="1">
        <w:r w:rsidRPr="00B726E5">
          <w:rPr>
            <w:rStyle w:val="Hyperlink"/>
            <w:rFonts w:asciiTheme="majorBidi" w:eastAsia="Times New Roman" w:hAnsiTheme="majorBidi" w:cstheme="majorBidi"/>
            <w:spacing w:val="-8"/>
            <w:kern w:val="36"/>
            <w:sz w:val="28"/>
            <w:szCs w:val="28"/>
          </w:rPr>
          <w:t>https://www.middleeastmonitor.com/20160107-uk-mps-speak-out-about-israeli-detention-of-palestinian-children/</w:t>
        </w:r>
      </w:hyperlink>
    </w:p>
    <w:p w:rsidR="009B636F" w:rsidRPr="00B726E5" w:rsidRDefault="009B636F" w:rsidP="009B636F">
      <w:pPr>
        <w:pStyle w:val="a5"/>
        <w:bidi w:val="0"/>
        <w:spacing w:line="360" w:lineRule="auto"/>
        <w:jc w:val="both"/>
        <w:rPr>
          <w:rFonts w:asciiTheme="majorBidi" w:hAnsiTheme="majorBidi" w:cstheme="majorBidi"/>
          <w:sz w:val="28"/>
          <w:szCs w:val="28"/>
          <w:rtl/>
        </w:rPr>
      </w:pPr>
    </w:p>
    <w:p w:rsidR="009B636F" w:rsidRPr="00B726E5" w:rsidRDefault="009B636F" w:rsidP="009B636F">
      <w:pPr>
        <w:pStyle w:val="a5"/>
        <w:bidi w:val="0"/>
        <w:spacing w:line="360" w:lineRule="auto"/>
        <w:jc w:val="both"/>
        <w:rPr>
          <w:rFonts w:asciiTheme="majorBidi" w:hAnsiTheme="majorBidi" w:cstheme="majorBidi"/>
          <w:sz w:val="28"/>
          <w:szCs w:val="28"/>
        </w:rPr>
      </w:pPr>
      <w:r w:rsidRPr="00B726E5">
        <w:rPr>
          <w:rFonts w:asciiTheme="majorBidi" w:hAnsiTheme="majorBidi" w:cstheme="majorBidi"/>
          <w:sz w:val="28"/>
          <w:szCs w:val="28"/>
          <w:shd w:val="clear" w:color="auto" w:fill="FFFFFF"/>
        </w:rPr>
        <w:t xml:space="preserve">Bayefsky Anne (2002), </w:t>
      </w:r>
      <w:r w:rsidRPr="00B726E5">
        <w:rPr>
          <w:rFonts w:asciiTheme="majorBidi" w:hAnsiTheme="majorBidi" w:cstheme="majorBidi"/>
          <w:sz w:val="28"/>
          <w:szCs w:val="28"/>
        </w:rPr>
        <w:t xml:space="preserve">Ending Bias in the Human Rights System, </w:t>
      </w:r>
      <w:r w:rsidRPr="00B726E5">
        <w:rPr>
          <w:rFonts w:asciiTheme="majorBidi" w:hAnsiTheme="majorBidi" w:cstheme="majorBidi"/>
          <w:b/>
          <w:bCs/>
          <w:sz w:val="28"/>
          <w:szCs w:val="28"/>
        </w:rPr>
        <w:t>The New York Times</w:t>
      </w:r>
      <w:r>
        <w:rPr>
          <w:rFonts w:asciiTheme="majorBidi" w:hAnsiTheme="majorBidi" w:cstheme="majorBidi"/>
          <w:sz w:val="28"/>
          <w:szCs w:val="28"/>
        </w:rPr>
        <w:t>.</w:t>
      </w:r>
    </w:p>
    <w:p w:rsidR="009B636F" w:rsidRPr="00B726E5" w:rsidRDefault="009B636F" w:rsidP="009B636F">
      <w:pPr>
        <w:pStyle w:val="a5"/>
        <w:bidi w:val="0"/>
        <w:spacing w:line="360" w:lineRule="auto"/>
        <w:jc w:val="both"/>
        <w:rPr>
          <w:rFonts w:asciiTheme="majorBidi" w:hAnsiTheme="majorBidi" w:cstheme="majorBidi"/>
          <w:sz w:val="28"/>
          <w:szCs w:val="28"/>
        </w:rPr>
      </w:pPr>
      <w:hyperlink r:id="rId160" w:history="1">
        <w:r w:rsidRPr="00B726E5">
          <w:rPr>
            <w:rStyle w:val="Hyperlink"/>
            <w:rFonts w:asciiTheme="majorBidi" w:hAnsiTheme="majorBidi" w:cstheme="majorBidi"/>
            <w:sz w:val="28"/>
            <w:szCs w:val="28"/>
          </w:rPr>
          <w:t>http://www.nytimes.com/2002/05/22/opinion/ending-bias-in-the-human-rights-system.html?scp=1&amp;sq=%22Anne+Bayefsky%22&amp;st=nyt</w:t>
        </w:r>
      </w:hyperlink>
    </w:p>
    <w:p w:rsidR="009B636F" w:rsidRPr="00B726E5" w:rsidRDefault="009B636F" w:rsidP="009B636F">
      <w:pPr>
        <w:pStyle w:val="a5"/>
        <w:bidi w:val="0"/>
        <w:spacing w:line="360" w:lineRule="auto"/>
        <w:jc w:val="both"/>
        <w:rPr>
          <w:rFonts w:asciiTheme="majorBidi" w:hAnsiTheme="majorBidi" w:cstheme="majorBidi"/>
          <w:sz w:val="28"/>
          <w:szCs w:val="28"/>
        </w:rPr>
      </w:pPr>
    </w:p>
    <w:p w:rsidR="009B636F" w:rsidRPr="00B726E5" w:rsidRDefault="009B636F" w:rsidP="009B636F">
      <w:pPr>
        <w:pStyle w:val="a5"/>
        <w:bidi w:val="0"/>
        <w:spacing w:line="360" w:lineRule="auto"/>
        <w:jc w:val="both"/>
        <w:rPr>
          <w:rStyle w:val="apple-converted-space"/>
          <w:rFonts w:asciiTheme="majorBidi" w:hAnsiTheme="majorBidi" w:cstheme="majorBidi"/>
          <w:sz w:val="28"/>
          <w:szCs w:val="28"/>
          <w:shd w:val="clear" w:color="auto" w:fill="FFFFFF"/>
        </w:rPr>
      </w:pPr>
      <w:hyperlink r:id="rId161" w:tgtFrame="_blank" w:history="1">
        <w:r w:rsidRPr="00B726E5">
          <w:rPr>
            <w:rFonts w:asciiTheme="majorBidi" w:eastAsia="Times New Roman" w:hAnsiTheme="majorBidi" w:cstheme="majorBidi"/>
            <w:sz w:val="28"/>
            <w:szCs w:val="28"/>
          </w:rPr>
          <w:t>Bob</w:t>
        </w:r>
      </w:hyperlink>
      <w:r>
        <w:rPr>
          <w:rFonts w:asciiTheme="majorBidi" w:eastAsia="Times New Roman" w:hAnsiTheme="majorBidi" w:cstheme="majorBidi"/>
          <w:sz w:val="28"/>
          <w:szCs w:val="28"/>
        </w:rPr>
        <w:t xml:space="preserve"> </w:t>
      </w:r>
      <w:r w:rsidRPr="00B726E5">
        <w:rPr>
          <w:rFonts w:asciiTheme="majorBidi" w:eastAsia="Times New Roman" w:hAnsiTheme="majorBidi" w:cstheme="majorBidi"/>
          <w:sz w:val="28"/>
          <w:szCs w:val="28"/>
        </w:rPr>
        <w:t>Yonah Jeremy,</w:t>
      </w:r>
      <w:r>
        <w:rPr>
          <w:rFonts w:asciiTheme="majorBidi" w:eastAsia="Times New Roman" w:hAnsiTheme="majorBidi" w:cstheme="majorBidi"/>
          <w:sz w:val="28"/>
          <w:szCs w:val="28"/>
        </w:rPr>
        <w:t xml:space="preserve"> </w:t>
      </w:r>
      <w:r w:rsidRPr="00B726E5">
        <w:rPr>
          <w:rFonts w:asciiTheme="majorBidi" w:hAnsiTheme="majorBidi" w:cstheme="majorBidi"/>
          <w:sz w:val="28"/>
          <w:szCs w:val="28"/>
        </w:rPr>
        <w:t xml:space="preserve">Exclusive: JPost speaks to ICC Prosecutor Bensouda about Israel's fate on war crimes, </w:t>
      </w:r>
      <w:r w:rsidRPr="00057035">
        <w:rPr>
          <w:rStyle w:val="ab"/>
          <w:rFonts w:asciiTheme="majorBidi" w:hAnsiTheme="majorBidi" w:cstheme="majorBidi"/>
          <w:b/>
          <w:bCs/>
          <w:i w:val="0"/>
          <w:iCs w:val="0"/>
          <w:sz w:val="28"/>
          <w:szCs w:val="28"/>
          <w:shd w:val="clear" w:color="auto" w:fill="FFFFFF"/>
        </w:rPr>
        <w:t>The Jerusalem Post</w:t>
      </w:r>
      <w:r>
        <w:rPr>
          <w:rStyle w:val="apple-converted-space"/>
          <w:rFonts w:asciiTheme="majorBidi" w:hAnsiTheme="majorBidi" w:cstheme="majorBidi"/>
          <w:sz w:val="28"/>
          <w:szCs w:val="28"/>
          <w:shd w:val="clear" w:color="auto" w:fill="FFFFFF"/>
        </w:rPr>
        <w:t>.</w:t>
      </w:r>
    </w:p>
    <w:p w:rsidR="009B636F" w:rsidRPr="00B726E5" w:rsidRDefault="009B636F" w:rsidP="009B636F">
      <w:pPr>
        <w:pStyle w:val="a5"/>
        <w:bidi w:val="0"/>
        <w:spacing w:line="360" w:lineRule="auto"/>
        <w:jc w:val="both"/>
        <w:rPr>
          <w:rFonts w:asciiTheme="majorBidi" w:hAnsiTheme="majorBidi" w:cstheme="majorBidi"/>
          <w:sz w:val="28"/>
          <w:szCs w:val="28"/>
        </w:rPr>
      </w:pPr>
      <w:hyperlink r:id="rId162" w:history="1">
        <w:r w:rsidRPr="00B726E5">
          <w:rPr>
            <w:rStyle w:val="Hyperlink"/>
            <w:rFonts w:asciiTheme="majorBidi" w:hAnsiTheme="majorBidi" w:cstheme="majorBidi"/>
            <w:sz w:val="28"/>
            <w:szCs w:val="28"/>
            <w:shd w:val="clear" w:color="auto" w:fill="FFFFFF"/>
          </w:rPr>
          <w:t>http://www.jpost.com/Israel-News/Politics-And-Diplomacy/Exclusive-JPost-speaks-to-ICC-Prosecutor-Bensouda-about-Israels-fate-on-war-crimes-445806</w:t>
        </w:r>
      </w:hyperlink>
    </w:p>
    <w:p w:rsidR="009B636F" w:rsidRPr="00B726E5" w:rsidRDefault="009B636F" w:rsidP="009B636F">
      <w:pPr>
        <w:pStyle w:val="a5"/>
        <w:bidi w:val="0"/>
        <w:spacing w:line="360" w:lineRule="auto"/>
        <w:jc w:val="both"/>
        <w:rPr>
          <w:rFonts w:asciiTheme="majorBidi" w:hAnsiTheme="majorBidi" w:cstheme="majorBidi"/>
          <w:sz w:val="28"/>
          <w:szCs w:val="28"/>
        </w:rPr>
      </w:pPr>
    </w:p>
    <w:p w:rsidR="009B636F" w:rsidRPr="00B726E5" w:rsidRDefault="009B636F" w:rsidP="009B636F">
      <w:pPr>
        <w:pStyle w:val="a5"/>
        <w:bidi w:val="0"/>
        <w:spacing w:line="360" w:lineRule="auto"/>
        <w:jc w:val="both"/>
        <w:rPr>
          <w:rFonts w:asciiTheme="majorBidi" w:hAnsiTheme="majorBidi" w:cstheme="majorBidi"/>
          <w:sz w:val="28"/>
          <w:szCs w:val="28"/>
        </w:rPr>
      </w:pPr>
      <w:r w:rsidRPr="00B726E5">
        <w:rPr>
          <w:rFonts w:asciiTheme="majorBidi" w:hAnsiTheme="majorBidi" w:cstheme="majorBidi"/>
          <w:sz w:val="28"/>
          <w:szCs w:val="28"/>
        </w:rPr>
        <w:t>Cole Juan (2009), Israel’s bombardment of Gaza is not self-defence – it’s a war crime</w:t>
      </w:r>
      <w:r>
        <w:rPr>
          <w:rFonts w:asciiTheme="majorBidi" w:hAnsiTheme="majorBidi" w:cstheme="majorBidi"/>
          <w:sz w:val="28"/>
          <w:szCs w:val="28"/>
        </w:rPr>
        <w:t>.</w:t>
      </w:r>
    </w:p>
    <w:p w:rsidR="009B636F" w:rsidRPr="00B726E5" w:rsidRDefault="009B636F" w:rsidP="009B636F">
      <w:pPr>
        <w:pStyle w:val="a5"/>
        <w:bidi w:val="0"/>
        <w:spacing w:line="360" w:lineRule="auto"/>
        <w:jc w:val="both"/>
        <w:rPr>
          <w:rFonts w:asciiTheme="majorBidi" w:hAnsiTheme="majorBidi" w:cstheme="majorBidi"/>
          <w:sz w:val="28"/>
          <w:szCs w:val="28"/>
        </w:rPr>
      </w:pPr>
      <w:hyperlink r:id="rId163" w:history="1">
        <w:r w:rsidRPr="00B726E5">
          <w:rPr>
            <w:rStyle w:val="Hyperlink"/>
            <w:rFonts w:asciiTheme="majorBidi" w:hAnsiTheme="majorBidi" w:cstheme="majorBidi"/>
            <w:sz w:val="28"/>
            <w:szCs w:val="28"/>
          </w:rPr>
          <w:t>http://www.juancole.com/2009/01/this-letter-of-attorneys-and-academics.html</w:t>
        </w:r>
      </w:hyperlink>
    </w:p>
    <w:p w:rsidR="009B636F" w:rsidRPr="00B726E5" w:rsidRDefault="009B636F" w:rsidP="009B636F">
      <w:pPr>
        <w:pStyle w:val="a5"/>
        <w:bidi w:val="0"/>
        <w:spacing w:line="360" w:lineRule="auto"/>
        <w:jc w:val="both"/>
        <w:rPr>
          <w:rFonts w:asciiTheme="majorBidi" w:hAnsiTheme="majorBidi" w:cstheme="majorBidi"/>
          <w:sz w:val="28"/>
          <w:szCs w:val="28"/>
        </w:rPr>
      </w:pPr>
    </w:p>
    <w:p w:rsidR="009B636F" w:rsidRPr="00B726E5" w:rsidRDefault="009B636F" w:rsidP="009B636F">
      <w:pPr>
        <w:pStyle w:val="a5"/>
        <w:bidi w:val="0"/>
        <w:spacing w:line="360" w:lineRule="auto"/>
        <w:jc w:val="both"/>
        <w:rPr>
          <w:rFonts w:asciiTheme="majorBidi" w:hAnsiTheme="majorBidi" w:cstheme="majorBidi"/>
          <w:sz w:val="28"/>
          <w:szCs w:val="28"/>
        </w:rPr>
      </w:pPr>
      <w:r w:rsidRPr="00B726E5">
        <w:rPr>
          <w:rFonts w:asciiTheme="majorBidi" w:hAnsiTheme="majorBidi" w:cstheme="majorBidi"/>
          <w:sz w:val="28"/>
          <w:szCs w:val="28"/>
        </w:rPr>
        <w:lastRenderedPageBreak/>
        <w:t xml:space="preserve">Cowell Alan (1989), Tutu Urges Israelis to Pray for and Forgive Nazis, </w:t>
      </w:r>
      <w:r w:rsidRPr="00B726E5">
        <w:rPr>
          <w:rFonts w:asciiTheme="majorBidi" w:hAnsiTheme="majorBidi" w:cstheme="majorBidi"/>
          <w:b/>
          <w:bCs/>
          <w:sz w:val="28"/>
          <w:szCs w:val="28"/>
        </w:rPr>
        <w:t>The New York Times</w:t>
      </w:r>
      <w:r>
        <w:rPr>
          <w:rFonts w:asciiTheme="majorBidi" w:hAnsiTheme="majorBidi" w:cstheme="majorBidi"/>
          <w:sz w:val="28"/>
          <w:szCs w:val="28"/>
        </w:rPr>
        <w:t>.</w:t>
      </w:r>
    </w:p>
    <w:p w:rsidR="009B636F" w:rsidRPr="00B726E5" w:rsidRDefault="009B636F" w:rsidP="009B636F">
      <w:pPr>
        <w:pStyle w:val="a5"/>
        <w:bidi w:val="0"/>
        <w:spacing w:line="360" w:lineRule="auto"/>
        <w:jc w:val="both"/>
        <w:rPr>
          <w:rFonts w:asciiTheme="majorBidi" w:hAnsiTheme="majorBidi" w:cstheme="majorBidi"/>
          <w:sz w:val="28"/>
          <w:szCs w:val="28"/>
        </w:rPr>
      </w:pPr>
      <w:hyperlink r:id="rId164" w:history="1">
        <w:r w:rsidRPr="00B726E5">
          <w:rPr>
            <w:rStyle w:val="Hyperlink"/>
            <w:rFonts w:asciiTheme="majorBidi" w:hAnsiTheme="majorBidi" w:cstheme="majorBidi"/>
            <w:sz w:val="28"/>
            <w:szCs w:val="28"/>
          </w:rPr>
          <w:t>http://www.nytimes.com/1989/12/27/world/tutu-urges-israelis-to-pray-for-and-forgive-nazis.html</w:t>
        </w:r>
      </w:hyperlink>
    </w:p>
    <w:p w:rsidR="009B636F" w:rsidRPr="00B726E5" w:rsidRDefault="009B636F" w:rsidP="009B636F">
      <w:pPr>
        <w:pStyle w:val="a5"/>
        <w:bidi w:val="0"/>
        <w:spacing w:line="360" w:lineRule="auto"/>
        <w:jc w:val="both"/>
        <w:rPr>
          <w:rFonts w:asciiTheme="majorBidi" w:hAnsiTheme="majorBidi" w:cstheme="majorBidi"/>
          <w:sz w:val="28"/>
          <w:szCs w:val="28"/>
          <w:rtl/>
        </w:rPr>
      </w:pPr>
    </w:p>
    <w:p w:rsidR="009B636F" w:rsidRPr="00B726E5" w:rsidRDefault="009B636F" w:rsidP="009B636F">
      <w:pPr>
        <w:pStyle w:val="a5"/>
        <w:bidi w:val="0"/>
        <w:spacing w:line="360" w:lineRule="auto"/>
        <w:jc w:val="both"/>
        <w:rPr>
          <w:rFonts w:asciiTheme="majorBidi" w:hAnsiTheme="majorBidi" w:cstheme="majorBidi"/>
          <w:sz w:val="28"/>
          <w:szCs w:val="28"/>
        </w:rPr>
      </w:pPr>
      <w:r w:rsidRPr="00B726E5">
        <w:rPr>
          <w:rFonts w:asciiTheme="majorBidi" w:hAnsiTheme="majorBidi" w:cstheme="majorBidi"/>
          <w:sz w:val="28"/>
          <w:szCs w:val="28"/>
        </w:rPr>
        <w:t xml:space="preserve">Gladstone Rick (2016), U.N. Peacekeeping Hit by New Allegations of 'Sickening' Sex Abuse, </w:t>
      </w:r>
      <w:r w:rsidRPr="00B726E5">
        <w:rPr>
          <w:rFonts w:asciiTheme="majorBidi" w:hAnsiTheme="majorBidi" w:cstheme="majorBidi"/>
          <w:b/>
          <w:bCs/>
          <w:sz w:val="28"/>
          <w:szCs w:val="28"/>
        </w:rPr>
        <w:t>The New York Times</w:t>
      </w:r>
      <w:r>
        <w:rPr>
          <w:rFonts w:asciiTheme="majorBidi" w:hAnsiTheme="majorBidi" w:cstheme="majorBidi"/>
          <w:sz w:val="28"/>
          <w:szCs w:val="28"/>
        </w:rPr>
        <w:t>.</w:t>
      </w:r>
    </w:p>
    <w:p w:rsidR="009B636F" w:rsidRPr="00B726E5" w:rsidRDefault="009B636F" w:rsidP="009B636F">
      <w:pPr>
        <w:pStyle w:val="a5"/>
        <w:bidi w:val="0"/>
        <w:spacing w:line="360" w:lineRule="auto"/>
        <w:jc w:val="both"/>
        <w:rPr>
          <w:rFonts w:asciiTheme="majorBidi" w:hAnsiTheme="majorBidi" w:cstheme="majorBidi"/>
          <w:sz w:val="28"/>
          <w:szCs w:val="28"/>
        </w:rPr>
      </w:pPr>
      <w:hyperlink r:id="rId165" w:history="1">
        <w:r w:rsidRPr="00B726E5">
          <w:rPr>
            <w:rStyle w:val="Hyperlink"/>
            <w:rFonts w:asciiTheme="majorBidi" w:hAnsiTheme="majorBidi" w:cstheme="majorBidi"/>
            <w:sz w:val="28"/>
            <w:szCs w:val="28"/>
          </w:rPr>
          <w:t>http://www.nytimes.com/2016/04/01/world/africa/un-peacekeeping-hit-by-new-allegations-of-sickening-sex-abuse.html?_r=1</w:t>
        </w:r>
      </w:hyperlink>
    </w:p>
    <w:p w:rsidR="009B636F" w:rsidRPr="00B726E5" w:rsidRDefault="009B636F" w:rsidP="009B636F">
      <w:pPr>
        <w:pStyle w:val="a5"/>
        <w:bidi w:val="0"/>
        <w:spacing w:line="360" w:lineRule="auto"/>
        <w:jc w:val="both"/>
        <w:rPr>
          <w:rFonts w:asciiTheme="majorBidi" w:hAnsiTheme="majorBidi" w:cstheme="majorBidi"/>
          <w:sz w:val="28"/>
          <w:szCs w:val="28"/>
        </w:rPr>
      </w:pPr>
    </w:p>
    <w:p w:rsidR="009B636F" w:rsidRPr="00B726E5" w:rsidRDefault="009B636F" w:rsidP="009B636F">
      <w:pPr>
        <w:pStyle w:val="a5"/>
        <w:bidi w:val="0"/>
        <w:spacing w:line="360" w:lineRule="auto"/>
        <w:jc w:val="both"/>
        <w:rPr>
          <w:rFonts w:asciiTheme="majorBidi" w:hAnsiTheme="majorBidi" w:cstheme="majorBidi"/>
          <w:sz w:val="28"/>
          <w:szCs w:val="28"/>
        </w:rPr>
      </w:pPr>
      <w:r w:rsidRPr="00B726E5">
        <w:rPr>
          <w:rFonts w:asciiTheme="majorBidi" w:hAnsiTheme="majorBidi" w:cstheme="majorBidi"/>
          <w:sz w:val="28"/>
          <w:szCs w:val="28"/>
        </w:rPr>
        <w:t xml:space="preserve">Goldstone Richard (2011), Israel and the Apartheid Slander, </w:t>
      </w:r>
      <w:r w:rsidRPr="00B726E5">
        <w:rPr>
          <w:rFonts w:asciiTheme="majorBidi" w:hAnsiTheme="majorBidi" w:cstheme="majorBidi"/>
          <w:b/>
          <w:bCs/>
          <w:sz w:val="28"/>
          <w:szCs w:val="28"/>
        </w:rPr>
        <w:t>New York Times</w:t>
      </w:r>
      <w:r>
        <w:rPr>
          <w:rFonts w:asciiTheme="majorBidi" w:hAnsiTheme="majorBidi" w:cstheme="majorBidi"/>
          <w:sz w:val="28"/>
          <w:szCs w:val="28"/>
        </w:rPr>
        <w:t>.</w:t>
      </w:r>
      <w:r w:rsidRPr="00B726E5">
        <w:rPr>
          <w:rFonts w:asciiTheme="majorBidi" w:hAnsiTheme="majorBidi" w:cstheme="majorBidi"/>
          <w:sz w:val="28"/>
          <w:szCs w:val="28"/>
        </w:rPr>
        <w:t xml:space="preserve"> </w:t>
      </w:r>
    </w:p>
    <w:p w:rsidR="009B636F" w:rsidRPr="00B726E5" w:rsidRDefault="009B636F" w:rsidP="009B636F">
      <w:pPr>
        <w:pStyle w:val="a5"/>
        <w:bidi w:val="0"/>
        <w:spacing w:line="360" w:lineRule="auto"/>
        <w:jc w:val="both"/>
        <w:rPr>
          <w:rFonts w:asciiTheme="majorBidi" w:hAnsiTheme="majorBidi" w:cstheme="majorBidi"/>
          <w:sz w:val="28"/>
          <w:szCs w:val="28"/>
        </w:rPr>
      </w:pPr>
      <w:hyperlink r:id="rId166" w:history="1">
        <w:r w:rsidRPr="00B726E5">
          <w:rPr>
            <w:rStyle w:val="Hyperlink"/>
            <w:rFonts w:asciiTheme="majorBidi" w:hAnsiTheme="majorBidi" w:cstheme="majorBidi"/>
            <w:sz w:val="28"/>
            <w:szCs w:val="28"/>
          </w:rPr>
          <w:t>http://www.nytimes.com/2011/11/01/opinion/israel-and-the-apartheid-slander.html?_r=0</w:t>
        </w:r>
      </w:hyperlink>
    </w:p>
    <w:p w:rsidR="009B636F" w:rsidRPr="00B726E5" w:rsidRDefault="009B636F" w:rsidP="009B636F">
      <w:pPr>
        <w:pStyle w:val="a5"/>
        <w:bidi w:val="0"/>
        <w:spacing w:line="360" w:lineRule="auto"/>
        <w:jc w:val="both"/>
        <w:rPr>
          <w:rFonts w:asciiTheme="majorBidi" w:hAnsiTheme="majorBidi" w:cstheme="majorBidi"/>
          <w:sz w:val="28"/>
          <w:szCs w:val="28"/>
          <w:rtl/>
        </w:rPr>
      </w:pPr>
    </w:p>
    <w:p w:rsidR="009B636F" w:rsidRPr="00B726E5" w:rsidRDefault="009B636F" w:rsidP="009B636F">
      <w:pPr>
        <w:pStyle w:val="a5"/>
        <w:bidi w:val="0"/>
        <w:spacing w:line="360" w:lineRule="auto"/>
        <w:jc w:val="both"/>
        <w:rPr>
          <w:rFonts w:asciiTheme="majorBidi" w:hAnsiTheme="majorBidi" w:cstheme="majorBidi"/>
          <w:sz w:val="28"/>
          <w:szCs w:val="28"/>
        </w:rPr>
      </w:pPr>
      <w:r w:rsidRPr="00B726E5">
        <w:rPr>
          <w:rFonts w:asciiTheme="majorBidi" w:hAnsiTheme="majorBidi" w:cstheme="majorBidi"/>
          <w:sz w:val="28"/>
          <w:szCs w:val="28"/>
        </w:rPr>
        <w:t xml:space="preserve">Goldstone Richard (2011), Reconsidering the Goldstone Report on Israel and War Crimes, </w:t>
      </w:r>
      <w:r w:rsidRPr="00B726E5">
        <w:rPr>
          <w:rFonts w:asciiTheme="majorBidi" w:hAnsiTheme="majorBidi" w:cstheme="majorBidi"/>
          <w:b/>
          <w:bCs/>
          <w:sz w:val="28"/>
          <w:szCs w:val="28"/>
        </w:rPr>
        <w:t>The Washington Post</w:t>
      </w:r>
      <w:r>
        <w:rPr>
          <w:rFonts w:asciiTheme="majorBidi" w:hAnsiTheme="majorBidi" w:cstheme="majorBidi"/>
          <w:sz w:val="28"/>
          <w:szCs w:val="28"/>
        </w:rPr>
        <w:t>.</w:t>
      </w:r>
      <w:r w:rsidRPr="00B726E5">
        <w:rPr>
          <w:rFonts w:asciiTheme="majorBidi" w:hAnsiTheme="majorBidi" w:cstheme="majorBidi"/>
          <w:sz w:val="28"/>
          <w:szCs w:val="28"/>
        </w:rPr>
        <w:t xml:space="preserve"> </w:t>
      </w:r>
    </w:p>
    <w:p w:rsidR="009B636F" w:rsidRPr="00B726E5" w:rsidRDefault="009B636F" w:rsidP="009B636F">
      <w:pPr>
        <w:pStyle w:val="a5"/>
        <w:bidi w:val="0"/>
        <w:spacing w:line="360" w:lineRule="auto"/>
        <w:jc w:val="both"/>
        <w:rPr>
          <w:rFonts w:asciiTheme="majorBidi" w:hAnsiTheme="majorBidi" w:cstheme="majorBidi"/>
          <w:sz w:val="28"/>
          <w:szCs w:val="28"/>
        </w:rPr>
      </w:pPr>
      <w:hyperlink r:id="rId167" w:history="1">
        <w:r w:rsidRPr="00B726E5">
          <w:rPr>
            <w:rStyle w:val="Hyperlink"/>
            <w:rFonts w:asciiTheme="majorBidi" w:hAnsiTheme="majorBidi" w:cstheme="majorBidi"/>
            <w:sz w:val="28"/>
            <w:szCs w:val="28"/>
          </w:rPr>
          <w:t>https://www.washingtonpost.com/opinions/reconsidering-the-goldstone-report-on-israel-and-war-crimes/2011/04/01/AFg111JC_story.html</w:t>
        </w:r>
      </w:hyperlink>
    </w:p>
    <w:p w:rsidR="009B636F" w:rsidRPr="00B726E5" w:rsidRDefault="009B636F" w:rsidP="009B636F">
      <w:pPr>
        <w:pStyle w:val="a5"/>
        <w:bidi w:val="0"/>
        <w:spacing w:line="360" w:lineRule="auto"/>
        <w:jc w:val="both"/>
        <w:rPr>
          <w:rFonts w:asciiTheme="majorBidi" w:hAnsiTheme="majorBidi" w:cstheme="majorBidi"/>
          <w:sz w:val="28"/>
          <w:szCs w:val="28"/>
        </w:rPr>
      </w:pPr>
    </w:p>
    <w:p w:rsidR="009B636F" w:rsidRPr="00B726E5" w:rsidRDefault="009B636F" w:rsidP="009B636F">
      <w:pPr>
        <w:pStyle w:val="a5"/>
        <w:bidi w:val="0"/>
        <w:spacing w:line="360" w:lineRule="auto"/>
        <w:jc w:val="both"/>
        <w:rPr>
          <w:rFonts w:asciiTheme="majorBidi" w:eastAsia="Times New Roman" w:hAnsiTheme="majorBidi" w:cstheme="majorBidi"/>
          <w:kern w:val="36"/>
          <w:sz w:val="28"/>
          <w:szCs w:val="28"/>
        </w:rPr>
      </w:pPr>
      <w:r w:rsidRPr="00B726E5">
        <w:rPr>
          <w:rFonts w:asciiTheme="majorBidi" w:eastAsia="Times New Roman" w:hAnsiTheme="majorBidi" w:cstheme="majorBidi"/>
          <w:kern w:val="36"/>
          <w:sz w:val="28"/>
          <w:szCs w:val="28"/>
        </w:rPr>
        <w:t xml:space="preserve">Goldstone Report: Statement issued by members of the UN fact-finding mission to Gaza, May-September 2009 (2011), </w:t>
      </w:r>
      <w:r w:rsidRPr="00B726E5">
        <w:rPr>
          <w:rFonts w:asciiTheme="majorBidi" w:eastAsia="Times New Roman" w:hAnsiTheme="majorBidi" w:cstheme="majorBidi"/>
          <w:b/>
          <w:bCs/>
          <w:kern w:val="36"/>
          <w:sz w:val="28"/>
          <w:szCs w:val="28"/>
        </w:rPr>
        <w:t>The Guardian</w:t>
      </w:r>
      <w:r>
        <w:rPr>
          <w:rFonts w:asciiTheme="majorBidi" w:eastAsia="Times New Roman" w:hAnsiTheme="majorBidi" w:cstheme="majorBidi"/>
          <w:kern w:val="36"/>
          <w:sz w:val="28"/>
          <w:szCs w:val="28"/>
        </w:rPr>
        <w:t>.</w:t>
      </w:r>
      <w:r w:rsidRPr="00B726E5">
        <w:rPr>
          <w:rFonts w:asciiTheme="majorBidi" w:eastAsia="Times New Roman" w:hAnsiTheme="majorBidi" w:cstheme="majorBidi"/>
          <w:kern w:val="36"/>
          <w:sz w:val="28"/>
          <w:szCs w:val="28"/>
        </w:rPr>
        <w:t xml:space="preserve"> </w:t>
      </w:r>
    </w:p>
    <w:p w:rsidR="009B636F" w:rsidRPr="00B726E5" w:rsidRDefault="009B636F" w:rsidP="009B636F">
      <w:pPr>
        <w:pStyle w:val="a5"/>
        <w:bidi w:val="0"/>
        <w:spacing w:line="360" w:lineRule="auto"/>
        <w:jc w:val="both"/>
        <w:rPr>
          <w:rFonts w:asciiTheme="majorBidi" w:eastAsia="Times New Roman" w:hAnsiTheme="majorBidi" w:cstheme="majorBidi"/>
          <w:kern w:val="36"/>
          <w:sz w:val="28"/>
          <w:szCs w:val="28"/>
        </w:rPr>
      </w:pPr>
      <w:hyperlink r:id="rId168" w:history="1">
        <w:r w:rsidRPr="00B726E5">
          <w:rPr>
            <w:rStyle w:val="Hyperlink"/>
            <w:rFonts w:asciiTheme="majorBidi" w:eastAsia="Times New Roman" w:hAnsiTheme="majorBidi" w:cstheme="majorBidi"/>
            <w:kern w:val="36"/>
            <w:sz w:val="28"/>
            <w:szCs w:val="28"/>
          </w:rPr>
          <w:t>http://www.theguardian.com/commentisfree/2011/apr/14/goldstone-report-statement-un-gaza</w:t>
        </w:r>
      </w:hyperlink>
    </w:p>
    <w:p w:rsidR="009B636F" w:rsidRPr="00B726E5" w:rsidRDefault="009B636F" w:rsidP="009B636F">
      <w:pPr>
        <w:pStyle w:val="a5"/>
        <w:bidi w:val="0"/>
        <w:spacing w:line="360" w:lineRule="auto"/>
        <w:jc w:val="both"/>
        <w:rPr>
          <w:rFonts w:asciiTheme="majorBidi" w:eastAsia="Times New Roman" w:hAnsiTheme="majorBidi" w:cstheme="majorBidi"/>
          <w:kern w:val="36"/>
          <w:sz w:val="28"/>
          <w:szCs w:val="28"/>
        </w:rPr>
      </w:pPr>
    </w:p>
    <w:p w:rsidR="009B636F" w:rsidRDefault="009B636F" w:rsidP="009B636F">
      <w:pPr>
        <w:pStyle w:val="a5"/>
        <w:bidi w:val="0"/>
        <w:spacing w:line="360" w:lineRule="auto"/>
        <w:jc w:val="both"/>
        <w:rPr>
          <w:rFonts w:asciiTheme="majorBidi" w:hAnsiTheme="majorBidi" w:cstheme="majorBidi"/>
          <w:sz w:val="28"/>
          <w:szCs w:val="28"/>
        </w:rPr>
      </w:pPr>
      <w:r w:rsidRPr="00B726E5">
        <w:rPr>
          <w:rFonts w:asciiTheme="majorBidi" w:hAnsiTheme="majorBidi" w:cstheme="majorBidi"/>
          <w:sz w:val="28"/>
          <w:szCs w:val="28"/>
        </w:rPr>
        <w:t xml:space="preserve">Harel Amos (2004), UN challenges Israel on UNRWA terror link claim, </w:t>
      </w:r>
      <w:r w:rsidRPr="00B726E5">
        <w:rPr>
          <w:rFonts w:asciiTheme="majorBidi" w:hAnsiTheme="majorBidi" w:cstheme="majorBidi"/>
          <w:b/>
          <w:bCs/>
          <w:sz w:val="28"/>
          <w:szCs w:val="28"/>
        </w:rPr>
        <w:t>Haaretz</w:t>
      </w:r>
      <w:r>
        <w:rPr>
          <w:rFonts w:asciiTheme="majorBidi" w:hAnsiTheme="majorBidi" w:cstheme="majorBidi"/>
          <w:sz w:val="28"/>
          <w:szCs w:val="28"/>
        </w:rPr>
        <w:t>.</w:t>
      </w:r>
    </w:p>
    <w:p w:rsidR="009B636F" w:rsidRPr="00057035" w:rsidRDefault="009B636F" w:rsidP="009B636F">
      <w:pPr>
        <w:pStyle w:val="a5"/>
        <w:bidi w:val="0"/>
        <w:spacing w:line="360" w:lineRule="auto"/>
        <w:jc w:val="both"/>
        <w:rPr>
          <w:rStyle w:val="Hyperlink"/>
          <w:rFonts w:asciiTheme="majorBidi" w:eastAsia="Times New Roman" w:hAnsiTheme="majorBidi" w:cstheme="majorBidi"/>
          <w:kern w:val="36"/>
          <w:sz w:val="28"/>
          <w:szCs w:val="28"/>
        </w:rPr>
      </w:pPr>
      <w:hyperlink r:id="rId169" w:history="1">
        <w:r w:rsidRPr="00057035">
          <w:rPr>
            <w:rStyle w:val="Hyperlink"/>
            <w:rFonts w:asciiTheme="majorBidi" w:eastAsia="Times New Roman" w:hAnsiTheme="majorBidi" w:cstheme="majorBidi"/>
            <w:kern w:val="36"/>
            <w:sz w:val="28"/>
            <w:szCs w:val="28"/>
          </w:rPr>
          <w:t>http://list2.mcgill.ca/scripts/wa.exe?A2=ind0410a&amp;L=fofognet&amp;T=0&amp;F=&amp;S=&amp;P=4988</w:t>
        </w:r>
      </w:hyperlink>
    </w:p>
    <w:p w:rsidR="009B636F" w:rsidRPr="00057035" w:rsidRDefault="009B636F" w:rsidP="009B636F">
      <w:pPr>
        <w:pStyle w:val="a5"/>
        <w:bidi w:val="0"/>
        <w:spacing w:line="360" w:lineRule="auto"/>
        <w:jc w:val="both"/>
        <w:rPr>
          <w:rFonts w:asciiTheme="majorBidi" w:eastAsia="Times New Roman" w:hAnsiTheme="majorBidi" w:cstheme="majorBidi"/>
          <w:kern w:val="36"/>
          <w:sz w:val="28"/>
          <w:szCs w:val="28"/>
        </w:rPr>
      </w:pPr>
    </w:p>
    <w:p w:rsidR="009B636F" w:rsidRPr="00B726E5" w:rsidRDefault="009B636F" w:rsidP="009B636F">
      <w:pPr>
        <w:pStyle w:val="a5"/>
        <w:bidi w:val="0"/>
        <w:spacing w:line="360" w:lineRule="auto"/>
        <w:jc w:val="both"/>
        <w:rPr>
          <w:rFonts w:asciiTheme="majorBidi" w:hAnsiTheme="majorBidi" w:cstheme="majorBidi"/>
          <w:sz w:val="28"/>
          <w:szCs w:val="28"/>
        </w:rPr>
      </w:pPr>
      <w:r w:rsidRPr="00B726E5">
        <w:rPr>
          <w:rFonts w:asciiTheme="majorBidi" w:hAnsiTheme="majorBidi" w:cstheme="majorBidi"/>
          <w:sz w:val="28"/>
          <w:szCs w:val="28"/>
        </w:rPr>
        <w:t>Keinon Herb (2011), UN 'Marmara' Report Held to Allow More J'lem-Ankara Talks,</w:t>
      </w:r>
      <w:r>
        <w:rPr>
          <w:rFonts w:asciiTheme="majorBidi" w:hAnsiTheme="majorBidi" w:cstheme="majorBidi"/>
          <w:b/>
          <w:bCs/>
          <w:sz w:val="28"/>
          <w:szCs w:val="28"/>
        </w:rPr>
        <w:t xml:space="preserve"> </w:t>
      </w:r>
      <w:r w:rsidRPr="00B726E5">
        <w:rPr>
          <w:rFonts w:asciiTheme="majorBidi" w:hAnsiTheme="majorBidi" w:cstheme="majorBidi"/>
          <w:b/>
          <w:bCs/>
          <w:sz w:val="28"/>
          <w:szCs w:val="28"/>
        </w:rPr>
        <w:t>The Jerusalem Post</w:t>
      </w:r>
      <w:r>
        <w:rPr>
          <w:rFonts w:asciiTheme="majorBidi" w:hAnsiTheme="majorBidi" w:cstheme="majorBidi"/>
          <w:sz w:val="28"/>
          <w:szCs w:val="28"/>
        </w:rPr>
        <w:t>.</w:t>
      </w:r>
    </w:p>
    <w:p w:rsidR="009B636F" w:rsidRPr="00B726E5" w:rsidRDefault="009B636F" w:rsidP="009B636F">
      <w:pPr>
        <w:pStyle w:val="a5"/>
        <w:bidi w:val="0"/>
        <w:spacing w:line="360" w:lineRule="auto"/>
        <w:jc w:val="both"/>
        <w:rPr>
          <w:rFonts w:asciiTheme="majorBidi" w:hAnsiTheme="majorBidi" w:cstheme="majorBidi"/>
          <w:sz w:val="28"/>
          <w:szCs w:val="28"/>
        </w:rPr>
      </w:pPr>
      <w:hyperlink r:id="rId170" w:history="1">
        <w:r w:rsidRPr="00B726E5">
          <w:rPr>
            <w:rStyle w:val="Hyperlink"/>
            <w:rFonts w:asciiTheme="majorBidi" w:hAnsiTheme="majorBidi" w:cstheme="majorBidi"/>
            <w:sz w:val="28"/>
            <w:szCs w:val="28"/>
          </w:rPr>
          <w:t>http://www.jpost.com/Diplomacy-and-Politics/UN-Marmara-report-held-to-allow-more-Jlem-Ankara-talks</w:t>
        </w:r>
      </w:hyperlink>
    </w:p>
    <w:p w:rsidR="009B636F" w:rsidRPr="00B726E5" w:rsidRDefault="009B636F" w:rsidP="009B636F">
      <w:pPr>
        <w:pStyle w:val="a5"/>
        <w:bidi w:val="0"/>
        <w:spacing w:line="360" w:lineRule="auto"/>
        <w:jc w:val="both"/>
        <w:rPr>
          <w:rFonts w:asciiTheme="majorBidi" w:hAnsiTheme="majorBidi" w:cstheme="majorBidi"/>
          <w:sz w:val="28"/>
          <w:szCs w:val="28"/>
          <w:rtl/>
        </w:rPr>
      </w:pPr>
    </w:p>
    <w:p w:rsidR="009B636F" w:rsidRPr="00B726E5" w:rsidRDefault="009B636F" w:rsidP="009B636F">
      <w:pPr>
        <w:pStyle w:val="a5"/>
        <w:bidi w:val="0"/>
        <w:spacing w:line="360" w:lineRule="auto"/>
        <w:jc w:val="both"/>
        <w:rPr>
          <w:rFonts w:asciiTheme="majorBidi" w:hAnsiTheme="majorBidi" w:cstheme="majorBidi"/>
          <w:sz w:val="28"/>
          <w:szCs w:val="28"/>
        </w:rPr>
      </w:pPr>
      <w:r w:rsidRPr="00B726E5">
        <w:rPr>
          <w:rFonts w:asciiTheme="majorBidi" w:hAnsiTheme="majorBidi" w:cstheme="majorBidi"/>
          <w:sz w:val="28"/>
          <w:szCs w:val="28"/>
        </w:rPr>
        <w:t xml:space="preserve">Kunduz Hospital Bombing: 16 US forces 'disciplined', </w:t>
      </w:r>
      <w:r w:rsidRPr="00B726E5">
        <w:rPr>
          <w:rFonts w:asciiTheme="majorBidi" w:hAnsiTheme="majorBidi" w:cstheme="majorBidi"/>
          <w:b/>
          <w:bCs/>
          <w:sz w:val="28"/>
          <w:szCs w:val="28"/>
        </w:rPr>
        <w:t>BBC News</w:t>
      </w:r>
      <w:r w:rsidRPr="00B726E5">
        <w:rPr>
          <w:rFonts w:asciiTheme="majorBidi" w:hAnsiTheme="majorBidi" w:cstheme="majorBidi"/>
          <w:sz w:val="28"/>
          <w:szCs w:val="28"/>
        </w:rPr>
        <w:t>, 28 April 2016</w:t>
      </w:r>
      <w:r>
        <w:rPr>
          <w:rFonts w:asciiTheme="majorBidi" w:hAnsiTheme="majorBidi" w:cstheme="majorBidi"/>
          <w:sz w:val="28"/>
          <w:szCs w:val="28"/>
        </w:rPr>
        <w:t>.</w:t>
      </w:r>
      <w:r w:rsidRPr="00B726E5">
        <w:rPr>
          <w:rFonts w:asciiTheme="majorBidi" w:hAnsiTheme="majorBidi" w:cstheme="majorBidi"/>
          <w:sz w:val="28"/>
          <w:szCs w:val="28"/>
        </w:rPr>
        <w:t xml:space="preserve"> </w:t>
      </w:r>
    </w:p>
    <w:p w:rsidR="009B636F" w:rsidRPr="00B726E5" w:rsidRDefault="009B636F" w:rsidP="009B636F">
      <w:pPr>
        <w:pStyle w:val="a5"/>
        <w:bidi w:val="0"/>
        <w:spacing w:line="360" w:lineRule="auto"/>
        <w:jc w:val="both"/>
        <w:rPr>
          <w:rFonts w:asciiTheme="majorBidi" w:hAnsiTheme="majorBidi" w:cstheme="majorBidi"/>
          <w:sz w:val="28"/>
          <w:szCs w:val="28"/>
        </w:rPr>
      </w:pPr>
      <w:hyperlink r:id="rId171" w:history="1">
        <w:r w:rsidRPr="00B726E5">
          <w:rPr>
            <w:rStyle w:val="Hyperlink"/>
            <w:rFonts w:asciiTheme="majorBidi" w:hAnsiTheme="majorBidi" w:cstheme="majorBidi"/>
            <w:sz w:val="28"/>
            <w:szCs w:val="28"/>
          </w:rPr>
          <w:t>http://www.bbc.com/news/world-us-canada-36164595</w:t>
        </w:r>
      </w:hyperlink>
    </w:p>
    <w:p w:rsidR="009B636F" w:rsidRPr="00B726E5" w:rsidRDefault="009B636F" w:rsidP="009B636F">
      <w:pPr>
        <w:pStyle w:val="a5"/>
        <w:bidi w:val="0"/>
        <w:spacing w:line="360" w:lineRule="auto"/>
        <w:jc w:val="both"/>
        <w:rPr>
          <w:rFonts w:asciiTheme="majorBidi" w:hAnsiTheme="majorBidi" w:cstheme="majorBidi"/>
          <w:sz w:val="28"/>
          <w:szCs w:val="28"/>
        </w:rPr>
      </w:pPr>
    </w:p>
    <w:p w:rsidR="009B636F" w:rsidRPr="00B726E5" w:rsidRDefault="009B636F" w:rsidP="009B636F">
      <w:pPr>
        <w:pStyle w:val="a5"/>
        <w:bidi w:val="0"/>
        <w:spacing w:line="360" w:lineRule="auto"/>
        <w:jc w:val="both"/>
        <w:rPr>
          <w:rFonts w:asciiTheme="majorBidi" w:hAnsiTheme="majorBidi" w:cstheme="majorBidi"/>
          <w:sz w:val="28"/>
          <w:szCs w:val="28"/>
        </w:rPr>
      </w:pPr>
      <w:r w:rsidRPr="00B726E5">
        <w:rPr>
          <w:rFonts w:asciiTheme="majorBidi" w:hAnsiTheme="majorBidi" w:cstheme="majorBidi"/>
          <w:sz w:val="28"/>
          <w:szCs w:val="28"/>
        </w:rPr>
        <w:t xml:space="preserve">Miller Elhanan (2015), EU official who negotiated on UN Gaza resolution is married to UN inquiry team member, </w:t>
      </w:r>
      <w:hyperlink r:id="rId172" w:history="1">
        <w:r w:rsidRPr="00B726E5">
          <w:rPr>
            <w:rFonts w:asciiTheme="majorBidi" w:hAnsiTheme="majorBidi" w:cstheme="majorBidi"/>
            <w:b/>
            <w:bCs/>
            <w:sz w:val="28"/>
            <w:szCs w:val="28"/>
          </w:rPr>
          <w:t>The Times of Israel</w:t>
        </w:r>
      </w:hyperlink>
      <w:r>
        <w:rPr>
          <w:rFonts w:asciiTheme="majorBidi" w:hAnsiTheme="majorBidi" w:cstheme="majorBidi"/>
          <w:sz w:val="28"/>
          <w:szCs w:val="28"/>
        </w:rPr>
        <w:t>.</w:t>
      </w:r>
    </w:p>
    <w:p w:rsidR="009B636F" w:rsidRPr="00B726E5" w:rsidRDefault="009B636F" w:rsidP="009B636F">
      <w:pPr>
        <w:pStyle w:val="a5"/>
        <w:bidi w:val="0"/>
        <w:spacing w:line="360" w:lineRule="auto"/>
        <w:jc w:val="both"/>
        <w:rPr>
          <w:rFonts w:asciiTheme="majorBidi" w:hAnsiTheme="majorBidi" w:cstheme="majorBidi"/>
          <w:sz w:val="28"/>
          <w:szCs w:val="28"/>
        </w:rPr>
      </w:pPr>
      <w:hyperlink r:id="rId173" w:history="1">
        <w:r w:rsidRPr="00B726E5">
          <w:rPr>
            <w:rStyle w:val="Hyperlink"/>
            <w:rFonts w:asciiTheme="majorBidi" w:hAnsiTheme="majorBidi" w:cstheme="majorBidi"/>
            <w:sz w:val="28"/>
            <w:szCs w:val="28"/>
          </w:rPr>
          <w:t>http://www.timesofisrael.com/eu-official-who-negotiated-uns-gaza-resolution-married-to-un-inquiry-team-member/</w:t>
        </w:r>
      </w:hyperlink>
    </w:p>
    <w:p w:rsidR="009B636F" w:rsidRPr="00B726E5" w:rsidRDefault="009B636F" w:rsidP="009B636F">
      <w:pPr>
        <w:pStyle w:val="a5"/>
        <w:bidi w:val="0"/>
        <w:spacing w:line="360" w:lineRule="auto"/>
        <w:jc w:val="both"/>
        <w:rPr>
          <w:rFonts w:asciiTheme="majorBidi" w:hAnsiTheme="majorBidi" w:cstheme="majorBidi"/>
          <w:sz w:val="28"/>
          <w:szCs w:val="28"/>
        </w:rPr>
      </w:pPr>
    </w:p>
    <w:p w:rsidR="009B636F" w:rsidRPr="00B726E5" w:rsidRDefault="009B636F" w:rsidP="009B636F">
      <w:pPr>
        <w:pStyle w:val="a5"/>
        <w:bidi w:val="0"/>
        <w:spacing w:line="360" w:lineRule="auto"/>
        <w:jc w:val="both"/>
        <w:rPr>
          <w:rFonts w:asciiTheme="majorBidi" w:hAnsiTheme="majorBidi" w:cstheme="majorBidi"/>
          <w:sz w:val="28"/>
          <w:szCs w:val="28"/>
        </w:rPr>
      </w:pPr>
      <w:r w:rsidRPr="00B726E5">
        <w:rPr>
          <w:rFonts w:asciiTheme="majorBidi" w:hAnsiTheme="majorBidi" w:cstheme="majorBidi"/>
          <w:sz w:val="28"/>
          <w:szCs w:val="28"/>
        </w:rPr>
        <w:t xml:space="preserve">Neuer Hillel (2015), Why the Schabas Report Will Be Every Bit as Biased as the Goldstone Report, </w:t>
      </w:r>
      <w:r w:rsidRPr="00B726E5">
        <w:rPr>
          <w:rFonts w:asciiTheme="majorBidi" w:hAnsiTheme="majorBidi" w:cstheme="majorBidi"/>
          <w:b/>
          <w:bCs/>
          <w:sz w:val="28"/>
          <w:szCs w:val="28"/>
        </w:rPr>
        <w:t>The Tower</w:t>
      </w:r>
      <w:r>
        <w:rPr>
          <w:rFonts w:asciiTheme="majorBidi" w:hAnsiTheme="majorBidi" w:cstheme="majorBidi"/>
          <w:sz w:val="28"/>
          <w:szCs w:val="28"/>
        </w:rPr>
        <w:t>.</w:t>
      </w:r>
    </w:p>
    <w:p w:rsidR="009B636F" w:rsidRPr="00B726E5" w:rsidRDefault="009B636F" w:rsidP="009B636F">
      <w:pPr>
        <w:pStyle w:val="a5"/>
        <w:bidi w:val="0"/>
        <w:spacing w:line="360" w:lineRule="auto"/>
        <w:jc w:val="both"/>
        <w:rPr>
          <w:rFonts w:asciiTheme="majorBidi" w:hAnsiTheme="majorBidi" w:cstheme="majorBidi"/>
          <w:sz w:val="28"/>
          <w:szCs w:val="28"/>
        </w:rPr>
      </w:pPr>
      <w:hyperlink r:id="rId174" w:history="1">
        <w:r w:rsidRPr="00B726E5">
          <w:rPr>
            <w:rStyle w:val="Hyperlink"/>
            <w:rFonts w:asciiTheme="majorBidi" w:hAnsiTheme="majorBidi" w:cstheme="majorBidi"/>
            <w:sz w:val="28"/>
            <w:szCs w:val="28"/>
          </w:rPr>
          <w:t>http://www.thetower.org/article/why-the-schabas-report-will-be-every-bit-as-biased-as-the-goldstone-report/</w:t>
        </w:r>
      </w:hyperlink>
    </w:p>
    <w:p w:rsidR="009B636F" w:rsidRPr="00B726E5" w:rsidRDefault="009B636F" w:rsidP="009B636F">
      <w:pPr>
        <w:pStyle w:val="a5"/>
        <w:bidi w:val="0"/>
        <w:spacing w:line="360" w:lineRule="auto"/>
        <w:jc w:val="both"/>
        <w:rPr>
          <w:rFonts w:asciiTheme="majorBidi" w:hAnsiTheme="majorBidi" w:cstheme="majorBidi"/>
          <w:sz w:val="28"/>
          <w:szCs w:val="28"/>
        </w:rPr>
      </w:pPr>
    </w:p>
    <w:p w:rsidR="009B636F" w:rsidRPr="00B726E5" w:rsidRDefault="009B636F" w:rsidP="009B636F">
      <w:pPr>
        <w:pStyle w:val="a5"/>
        <w:bidi w:val="0"/>
        <w:spacing w:line="360" w:lineRule="auto"/>
        <w:jc w:val="both"/>
        <w:rPr>
          <w:rFonts w:asciiTheme="majorBidi" w:hAnsiTheme="majorBidi" w:cstheme="majorBidi"/>
          <w:sz w:val="28"/>
          <w:szCs w:val="28"/>
        </w:rPr>
      </w:pPr>
      <w:r w:rsidRPr="00B726E5">
        <w:rPr>
          <w:rFonts w:asciiTheme="majorBidi" w:hAnsiTheme="majorBidi" w:cstheme="majorBidi"/>
          <w:sz w:val="28"/>
          <w:szCs w:val="28"/>
        </w:rPr>
        <w:t>Plushnik</w:t>
      </w:r>
      <w:r w:rsidR="00057035">
        <w:rPr>
          <w:rFonts w:asciiTheme="majorBidi" w:hAnsiTheme="majorBidi" w:cstheme="majorBidi"/>
          <w:sz w:val="28"/>
          <w:szCs w:val="28"/>
        </w:rPr>
        <w:t xml:space="preserve"> </w:t>
      </w:r>
      <w:r w:rsidRPr="00B726E5">
        <w:rPr>
          <w:rFonts w:asciiTheme="majorBidi" w:hAnsiTheme="majorBidi" w:cstheme="majorBidi"/>
          <w:sz w:val="28"/>
          <w:szCs w:val="28"/>
        </w:rPr>
        <w:t>Masti</w:t>
      </w:r>
      <w:r w:rsidR="00057035">
        <w:rPr>
          <w:rFonts w:asciiTheme="majorBidi" w:hAnsiTheme="majorBidi" w:cstheme="majorBidi"/>
          <w:sz w:val="28"/>
          <w:szCs w:val="28"/>
        </w:rPr>
        <w:t xml:space="preserve"> </w:t>
      </w:r>
      <w:r w:rsidRPr="00B726E5">
        <w:rPr>
          <w:rFonts w:asciiTheme="majorBidi" w:hAnsiTheme="majorBidi" w:cstheme="majorBidi"/>
          <w:sz w:val="28"/>
          <w:szCs w:val="28"/>
        </w:rPr>
        <w:t xml:space="preserve">Ramit (2004) </w:t>
      </w:r>
      <w:hyperlink r:id="rId175" w:tgtFrame="_self" w:history="1">
        <w:r w:rsidRPr="00B726E5">
          <w:rPr>
            <w:rFonts w:asciiTheme="majorBidi" w:hAnsiTheme="majorBidi" w:cstheme="majorBidi"/>
            <w:sz w:val="28"/>
            <w:szCs w:val="28"/>
          </w:rPr>
          <w:t>Israel to decry U.N. Hamas hirings</w:t>
        </w:r>
      </w:hyperlink>
      <w:r w:rsidRPr="00B726E5">
        <w:rPr>
          <w:rFonts w:asciiTheme="majorBidi" w:hAnsiTheme="majorBidi" w:cstheme="majorBidi"/>
          <w:sz w:val="28"/>
          <w:szCs w:val="28"/>
        </w:rPr>
        <w:t xml:space="preserve">, </w:t>
      </w:r>
      <w:r w:rsidRPr="00B726E5">
        <w:rPr>
          <w:rFonts w:asciiTheme="majorBidi" w:hAnsiTheme="majorBidi" w:cstheme="majorBidi"/>
          <w:b/>
          <w:bCs/>
          <w:sz w:val="28"/>
          <w:szCs w:val="28"/>
        </w:rPr>
        <w:t>Free Republic</w:t>
      </w:r>
      <w:r w:rsidRPr="00B726E5">
        <w:rPr>
          <w:rFonts w:asciiTheme="majorBidi" w:hAnsiTheme="majorBidi" w:cstheme="majorBidi"/>
          <w:sz w:val="28"/>
          <w:szCs w:val="28"/>
        </w:rPr>
        <w:t xml:space="preserve">, </w:t>
      </w:r>
      <w:hyperlink r:id="rId176" w:history="1">
        <w:r w:rsidRPr="00B726E5">
          <w:rPr>
            <w:rFonts w:asciiTheme="majorBidi" w:hAnsiTheme="majorBidi" w:cstheme="majorBidi"/>
            <w:sz w:val="28"/>
            <w:szCs w:val="28"/>
          </w:rPr>
          <w:t>http://www.freerepublic.com/focus/f-news/1237295/posts</w:t>
        </w:r>
      </w:hyperlink>
    </w:p>
    <w:p w:rsidR="009B636F" w:rsidRPr="00B726E5" w:rsidRDefault="009B636F" w:rsidP="009B636F">
      <w:pPr>
        <w:pStyle w:val="a5"/>
        <w:bidi w:val="0"/>
        <w:spacing w:line="360" w:lineRule="auto"/>
        <w:jc w:val="both"/>
        <w:rPr>
          <w:rFonts w:asciiTheme="majorBidi" w:hAnsiTheme="majorBidi" w:cstheme="majorBidi"/>
          <w:sz w:val="28"/>
          <w:szCs w:val="28"/>
        </w:rPr>
      </w:pPr>
      <w:r w:rsidRPr="00B726E5">
        <w:rPr>
          <w:rFonts w:asciiTheme="majorBidi" w:hAnsiTheme="majorBidi" w:cstheme="majorBidi"/>
          <w:sz w:val="28"/>
          <w:szCs w:val="28"/>
        </w:rPr>
        <w:t xml:space="preserve">Israel softens UN ambulance claim (2004), </w:t>
      </w:r>
      <w:r w:rsidRPr="00B726E5">
        <w:rPr>
          <w:rFonts w:asciiTheme="majorBidi" w:hAnsiTheme="majorBidi" w:cstheme="majorBidi"/>
          <w:b/>
          <w:bCs/>
          <w:sz w:val="28"/>
          <w:szCs w:val="28"/>
        </w:rPr>
        <w:t>BBC News</w:t>
      </w:r>
      <w:r>
        <w:rPr>
          <w:rFonts w:asciiTheme="majorBidi" w:hAnsiTheme="majorBidi" w:cstheme="majorBidi"/>
          <w:sz w:val="28"/>
          <w:szCs w:val="28"/>
        </w:rPr>
        <w:t>.</w:t>
      </w:r>
    </w:p>
    <w:p w:rsidR="009B636F" w:rsidRPr="00B726E5" w:rsidRDefault="009B636F" w:rsidP="009B636F">
      <w:pPr>
        <w:pStyle w:val="a5"/>
        <w:bidi w:val="0"/>
        <w:spacing w:line="360" w:lineRule="auto"/>
        <w:jc w:val="both"/>
        <w:rPr>
          <w:rFonts w:asciiTheme="majorBidi" w:hAnsiTheme="majorBidi" w:cstheme="majorBidi"/>
          <w:sz w:val="28"/>
          <w:szCs w:val="28"/>
          <w:rtl/>
        </w:rPr>
      </w:pPr>
      <w:hyperlink r:id="rId177" w:history="1">
        <w:r w:rsidRPr="00B726E5">
          <w:rPr>
            <w:rStyle w:val="Hyperlink"/>
            <w:rFonts w:asciiTheme="majorBidi" w:hAnsiTheme="majorBidi" w:cstheme="majorBidi"/>
            <w:sz w:val="28"/>
            <w:szCs w:val="28"/>
          </w:rPr>
          <w:t>http://news.bbc.co.uk/2/hi/middle_east/3716930.stm</w:t>
        </w:r>
      </w:hyperlink>
    </w:p>
    <w:p w:rsidR="009B636F" w:rsidRPr="00B726E5" w:rsidRDefault="009B636F" w:rsidP="009B636F">
      <w:pPr>
        <w:pStyle w:val="a5"/>
        <w:bidi w:val="0"/>
        <w:spacing w:line="360" w:lineRule="auto"/>
        <w:jc w:val="both"/>
        <w:rPr>
          <w:rFonts w:asciiTheme="majorBidi" w:eastAsia="Times New Roman" w:hAnsiTheme="majorBidi" w:cstheme="majorBidi"/>
          <w:kern w:val="36"/>
          <w:sz w:val="28"/>
          <w:szCs w:val="28"/>
        </w:rPr>
      </w:pPr>
    </w:p>
    <w:p w:rsidR="009B636F" w:rsidRPr="00B726E5" w:rsidRDefault="009B636F" w:rsidP="009B636F">
      <w:pPr>
        <w:pStyle w:val="a5"/>
        <w:bidi w:val="0"/>
        <w:spacing w:line="360" w:lineRule="auto"/>
        <w:jc w:val="both"/>
        <w:rPr>
          <w:rFonts w:asciiTheme="majorBidi" w:hAnsiTheme="majorBidi" w:cstheme="majorBidi"/>
          <w:sz w:val="28"/>
          <w:szCs w:val="28"/>
        </w:rPr>
      </w:pPr>
      <w:r w:rsidRPr="00B726E5">
        <w:rPr>
          <w:rFonts w:asciiTheme="majorBidi" w:hAnsiTheme="majorBidi" w:cstheme="majorBidi"/>
          <w:sz w:val="28"/>
          <w:szCs w:val="28"/>
        </w:rPr>
        <w:t xml:space="preserve">PM Netanyahu addresses the foreign press in Israel, </w:t>
      </w:r>
      <w:hyperlink r:id="rId178" w:history="1">
        <w:r w:rsidRPr="00B726E5">
          <w:rPr>
            <w:rStyle w:val="headertextshort"/>
            <w:rFonts w:asciiTheme="majorBidi" w:hAnsiTheme="majorBidi" w:cstheme="majorBidi"/>
            <w:sz w:val="28"/>
            <w:szCs w:val="28"/>
            <w:bdr w:val="none" w:sz="0" w:space="0" w:color="auto" w:frame="1"/>
            <w:shd w:val="clear" w:color="auto" w:fill="FFFFFF"/>
          </w:rPr>
          <w:t>Israel Ministry of Foreign Affairs</w:t>
        </w:r>
      </w:hyperlink>
      <w:r w:rsidRPr="00B726E5">
        <w:rPr>
          <w:rFonts w:asciiTheme="majorBidi" w:hAnsiTheme="majorBidi" w:cstheme="majorBidi"/>
          <w:sz w:val="28"/>
          <w:szCs w:val="28"/>
        </w:rPr>
        <w:t>, 14 Jan 2016</w:t>
      </w:r>
      <w:r>
        <w:rPr>
          <w:rFonts w:asciiTheme="majorBidi" w:hAnsiTheme="majorBidi" w:cstheme="majorBidi"/>
          <w:sz w:val="28"/>
          <w:szCs w:val="28"/>
        </w:rPr>
        <w:t>.</w:t>
      </w:r>
    </w:p>
    <w:p w:rsidR="009B636F" w:rsidRPr="00B726E5" w:rsidRDefault="009B636F" w:rsidP="009B636F">
      <w:pPr>
        <w:pStyle w:val="a5"/>
        <w:bidi w:val="0"/>
        <w:spacing w:line="360" w:lineRule="auto"/>
        <w:jc w:val="both"/>
        <w:rPr>
          <w:rFonts w:asciiTheme="majorBidi" w:hAnsiTheme="majorBidi" w:cstheme="majorBidi"/>
          <w:sz w:val="28"/>
          <w:szCs w:val="28"/>
        </w:rPr>
      </w:pPr>
      <w:hyperlink r:id="rId179" w:history="1">
        <w:r w:rsidRPr="00B726E5">
          <w:rPr>
            <w:rStyle w:val="Hyperlink"/>
            <w:rFonts w:asciiTheme="majorBidi" w:hAnsiTheme="majorBidi" w:cstheme="majorBidi"/>
            <w:sz w:val="28"/>
            <w:szCs w:val="28"/>
          </w:rPr>
          <w:t>http://mfa.gov.il/MFA/PressRoom/2016/Pages/PM-Netanyahu-addresses-the-foreign-press-in-Israel-14-Jan-2016.aspx</w:t>
        </w:r>
      </w:hyperlink>
    </w:p>
    <w:p w:rsidR="009B636F" w:rsidRPr="00B726E5" w:rsidRDefault="009B636F" w:rsidP="009B636F">
      <w:pPr>
        <w:pStyle w:val="a5"/>
        <w:bidi w:val="0"/>
        <w:spacing w:line="360" w:lineRule="auto"/>
        <w:jc w:val="both"/>
        <w:rPr>
          <w:rFonts w:asciiTheme="majorBidi" w:hAnsiTheme="majorBidi" w:cstheme="majorBidi"/>
          <w:sz w:val="28"/>
          <w:szCs w:val="28"/>
        </w:rPr>
      </w:pPr>
    </w:p>
    <w:p w:rsidR="009B636F" w:rsidRPr="00B726E5" w:rsidRDefault="009B636F" w:rsidP="009B636F">
      <w:pPr>
        <w:pStyle w:val="a5"/>
        <w:bidi w:val="0"/>
        <w:spacing w:line="360" w:lineRule="auto"/>
        <w:jc w:val="both"/>
        <w:rPr>
          <w:rFonts w:asciiTheme="majorBidi" w:hAnsiTheme="majorBidi" w:cstheme="majorBidi"/>
          <w:sz w:val="28"/>
          <w:szCs w:val="28"/>
        </w:rPr>
      </w:pPr>
      <w:r w:rsidRPr="00B726E5">
        <w:rPr>
          <w:rFonts w:asciiTheme="majorBidi" w:hAnsiTheme="majorBidi" w:cstheme="majorBidi"/>
          <w:sz w:val="28"/>
          <w:szCs w:val="28"/>
        </w:rPr>
        <w:t xml:space="preserve">Rees Matt (2002), Untangling Jenin's Tale, </w:t>
      </w:r>
      <w:r w:rsidRPr="00B726E5">
        <w:rPr>
          <w:rFonts w:asciiTheme="majorBidi" w:hAnsiTheme="majorBidi" w:cstheme="majorBidi"/>
          <w:b/>
          <w:bCs/>
          <w:sz w:val="28"/>
          <w:szCs w:val="28"/>
        </w:rPr>
        <w:t>Time</w:t>
      </w:r>
      <w:r>
        <w:rPr>
          <w:rFonts w:asciiTheme="majorBidi" w:hAnsiTheme="majorBidi" w:cstheme="majorBidi"/>
          <w:sz w:val="28"/>
          <w:szCs w:val="28"/>
        </w:rPr>
        <w:t>.</w:t>
      </w:r>
    </w:p>
    <w:p w:rsidR="009B636F" w:rsidRPr="00B726E5" w:rsidRDefault="009B636F" w:rsidP="009B636F">
      <w:pPr>
        <w:pStyle w:val="a5"/>
        <w:bidi w:val="0"/>
        <w:spacing w:line="360" w:lineRule="auto"/>
        <w:jc w:val="both"/>
        <w:rPr>
          <w:rFonts w:asciiTheme="majorBidi" w:hAnsiTheme="majorBidi" w:cstheme="majorBidi"/>
          <w:sz w:val="28"/>
          <w:szCs w:val="28"/>
        </w:rPr>
      </w:pPr>
      <w:hyperlink r:id="rId180" w:history="1">
        <w:r w:rsidRPr="00B726E5">
          <w:rPr>
            <w:rStyle w:val="Hyperlink"/>
            <w:rFonts w:asciiTheme="majorBidi" w:hAnsiTheme="majorBidi" w:cstheme="majorBidi"/>
            <w:sz w:val="28"/>
            <w:szCs w:val="28"/>
          </w:rPr>
          <w:t>http://content.time.com/time/magazine/article/0,9171,1002406,00.html</w:t>
        </w:r>
      </w:hyperlink>
    </w:p>
    <w:p w:rsidR="009B636F" w:rsidRPr="00B726E5" w:rsidRDefault="009B636F" w:rsidP="009B636F">
      <w:pPr>
        <w:pStyle w:val="a5"/>
        <w:bidi w:val="0"/>
        <w:spacing w:line="360" w:lineRule="auto"/>
        <w:jc w:val="both"/>
        <w:rPr>
          <w:rFonts w:asciiTheme="majorBidi" w:hAnsiTheme="majorBidi" w:cstheme="majorBidi"/>
          <w:sz w:val="28"/>
          <w:szCs w:val="28"/>
          <w:shd w:val="clear" w:color="auto" w:fill="FFFFFF"/>
        </w:rPr>
      </w:pPr>
    </w:p>
    <w:p w:rsidR="009B636F" w:rsidRPr="00B726E5" w:rsidRDefault="009B636F" w:rsidP="009B636F">
      <w:pPr>
        <w:pStyle w:val="a5"/>
        <w:bidi w:val="0"/>
        <w:spacing w:line="360" w:lineRule="auto"/>
        <w:jc w:val="both"/>
        <w:rPr>
          <w:rFonts w:asciiTheme="majorBidi" w:hAnsiTheme="majorBidi" w:cstheme="majorBidi"/>
          <w:sz w:val="28"/>
          <w:szCs w:val="28"/>
        </w:rPr>
      </w:pPr>
      <w:r w:rsidRPr="00B726E5">
        <w:rPr>
          <w:rFonts w:asciiTheme="majorBidi" w:hAnsiTheme="majorBidi" w:cstheme="majorBidi"/>
          <w:sz w:val="28"/>
          <w:szCs w:val="28"/>
        </w:rPr>
        <w:t xml:space="preserve">Roggio Bill (2007), Al Qaeda hits UN offices, courts, police station in Algiers, </w:t>
      </w:r>
      <w:r w:rsidRPr="00B726E5">
        <w:rPr>
          <w:rFonts w:asciiTheme="majorBidi" w:hAnsiTheme="majorBidi" w:cstheme="majorBidi"/>
          <w:b/>
          <w:bCs/>
          <w:sz w:val="28"/>
          <w:szCs w:val="28"/>
        </w:rPr>
        <w:t xml:space="preserve">The Long War </w:t>
      </w:r>
      <w:r w:rsidRPr="00B726E5">
        <w:rPr>
          <w:rFonts w:asciiTheme="majorBidi" w:hAnsiTheme="majorBidi" w:cstheme="majorBidi"/>
          <w:sz w:val="28"/>
          <w:szCs w:val="28"/>
        </w:rPr>
        <w:t>Journal</w:t>
      </w:r>
      <w:r>
        <w:rPr>
          <w:rFonts w:asciiTheme="majorBidi" w:hAnsiTheme="majorBidi" w:cstheme="majorBidi"/>
          <w:sz w:val="28"/>
          <w:szCs w:val="28"/>
        </w:rPr>
        <w:t>.</w:t>
      </w:r>
    </w:p>
    <w:p w:rsidR="009B636F" w:rsidRPr="00B726E5" w:rsidRDefault="009B636F" w:rsidP="009B636F">
      <w:pPr>
        <w:pStyle w:val="a5"/>
        <w:bidi w:val="0"/>
        <w:spacing w:line="360" w:lineRule="auto"/>
        <w:jc w:val="both"/>
        <w:rPr>
          <w:rFonts w:asciiTheme="majorBidi" w:hAnsiTheme="majorBidi" w:cstheme="majorBidi"/>
          <w:sz w:val="28"/>
          <w:szCs w:val="28"/>
        </w:rPr>
      </w:pPr>
      <w:hyperlink r:id="rId181" w:history="1">
        <w:r w:rsidRPr="00B726E5">
          <w:rPr>
            <w:rStyle w:val="Hyperlink"/>
            <w:rFonts w:asciiTheme="majorBidi" w:hAnsiTheme="majorBidi" w:cstheme="majorBidi"/>
            <w:sz w:val="28"/>
            <w:szCs w:val="28"/>
          </w:rPr>
          <w:t>http://www.longwarjournal.org/archives/2007/12/al_qaeda_hits_un_off.php</w:t>
        </w:r>
      </w:hyperlink>
    </w:p>
    <w:p w:rsidR="009B636F" w:rsidRPr="00B726E5" w:rsidRDefault="009B636F" w:rsidP="009B636F">
      <w:pPr>
        <w:pStyle w:val="a5"/>
        <w:bidi w:val="0"/>
        <w:spacing w:line="360" w:lineRule="auto"/>
        <w:jc w:val="both"/>
        <w:rPr>
          <w:rFonts w:asciiTheme="majorBidi" w:hAnsiTheme="majorBidi" w:cstheme="majorBidi"/>
          <w:sz w:val="28"/>
          <w:szCs w:val="28"/>
        </w:rPr>
      </w:pPr>
    </w:p>
    <w:p w:rsidR="009B636F" w:rsidRPr="00B726E5" w:rsidRDefault="009B636F" w:rsidP="009B636F">
      <w:pPr>
        <w:pStyle w:val="a5"/>
        <w:bidi w:val="0"/>
        <w:spacing w:line="360" w:lineRule="auto"/>
        <w:jc w:val="both"/>
        <w:rPr>
          <w:rFonts w:asciiTheme="majorBidi" w:hAnsiTheme="majorBidi" w:cstheme="majorBidi"/>
          <w:sz w:val="28"/>
          <w:szCs w:val="28"/>
        </w:rPr>
      </w:pPr>
      <w:r w:rsidRPr="00B726E5">
        <w:rPr>
          <w:rFonts w:asciiTheme="majorBidi" w:hAnsiTheme="majorBidi" w:cstheme="majorBidi"/>
          <w:sz w:val="28"/>
          <w:szCs w:val="28"/>
        </w:rPr>
        <w:t xml:space="preserve">Samantha Power Blasts UN for Anti-Israel Bias, </w:t>
      </w:r>
      <w:r w:rsidRPr="00B726E5">
        <w:rPr>
          <w:rFonts w:asciiTheme="majorBidi" w:hAnsiTheme="majorBidi" w:cstheme="majorBidi"/>
          <w:b/>
          <w:bCs/>
          <w:sz w:val="28"/>
          <w:szCs w:val="28"/>
        </w:rPr>
        <w:t>The Tower</w:t>
      </w:r>
      <w:r w:rsidRPr="00B726E5">
        <w:rPr>
          <w:rFonts w:asciiTheme="majorBidi" w:hAnsiTheme="majorBidi" w:cstheme="majorBidi"/>
          <w:sz w:val="28"/>
          <w:szCs w:val="28"/>
        </w:rPr>
        <w:t>, 02.16.16</w:t>
      </w:r>
      <w:r>
        <w:rPr>
          <w:rFonts w:asciiTheme="majorBidi" w:hAnsiTheme="majorBidi" w:cstheme="majorBidi"/>
          <w:sz w:val="28"/>
          <w:szCs w:val="28"/>
        </w:rPr>
        <w:t>.</w:t>
      </w:r>
    </w:p>
    <w:p w:rsidR="009B636F" w:rsidRPr="00B726E5" w:rsidRDefault="009B636F" w:rsidP="009B636F">
      <w:pPr>
        <w:pStyle w:val="a5"/>
        <w:bidi w:val="0"/>
        <w:spacing w:line="360" w:lineRule="auto"/>
        <w:jc w:val="both"/>
        <w:rPr>
          <w:rFonts w:asciiTheme="majorBidi" w:hAnsiTheme="majorBidi" w:cstheme="majorBidi"/>
          <w:sz w:val="28"/>
          <w:szCs w:val="28"/>
        </w:rPr>
      </w:pPr>
      <w:hyperlink r:id="rId182" w:history="1">
        <w:r w:rsidRPr="00B726E5">
          <w:rPr>
            <w:rStyle w:val="Hyperlink"/>
            <w:rFonts w:asciiTheme="majorBidi" w:hAnsiTheme="majorBidi" w:cstheme="majorBidi"/>
            <w:sz w:val="28"/>
            <w:szCs w:val="28"/>
          </w:rPr>
          <w:t>http://www.thetower.org/2965-samantha-power-blasts-un-for-anti-israel-bias/</w:t>
        </w:r>
      </w:hyperlink>
    </w:p>
    <w:p w:rsidR="009B636F" w:rsidRPr="00B726E5" w:rsidRDefault="009B636F" w:rsidP="009B636F">
      <w:pPr>
        <w:pStyle w:val="a5"/>
        <w:bidi w:val="0"/>
        <w:spacing w:line="360" w:lineRule="auto"/>
        <w:jc w:val="both"/>
        <w:rPr>
          <w:rFonts w:asciiTheme="majorBidi" w:hAnsiTheme="majorBidi" w:cstheme="majorBidi"/>
          <w:sz w:val="28"/>
          <w:szCs w:val="28"/>
          <w:rtl/>
        </w:rPr>
      </w:pPr>
    </w:p>
    <w:p w:rsidR="009B636F" w:rsidRPr="00B726E5" w:rsidRDefault="009B636F" w:rsidP="009B636F">
      <w:pPr>
        <w:pStyle w:val="a5"/>
        <w:bidi w:val="0"/>
        <w:spacing w:line="360" w:lineRule="auto"/>
        <w:jc w:val="both"/>
        <w:rPr>
          <w:rFonts w:asciiTheme="majorBidi" w:hAnsiTheme="majorBidi" w:cstheme="majorBidi"/>
          <w:sz w:val="28"/>
          <w:szCs w:val="28"/>
        </w:rPr>
      </w:pPr>
      <w:r w:rsidRPr="00B726E5">
        <w:rPr>
          <w:rFonts w:asciiTheme="majorBidi" w:hAnsiTheme="majorBidi" w:cstheme="majorBidi"/>
          <w:sz w:val="28"/>
          <w:szCs w:val="28"/>
        </w:rPr>
        <w:t xml:space="preserve">Shamir Shlomo (2010), Israel Pays 10.5 Million Dollars for Damage to UN Gaza Premises, </w:t>
      </w:r>
      <w:r w:rsidRPr="00B726E5">
        <w:rPr>
          <w:rFonts w:asciiTheme="majorBidi" w:hAnsiTheme="majorBidi" w:cstheme="majorBidi"/>
          <w:b/>
          <w:bCs/>
          <w:sz w:val="28"/>
          <w:szCs w:val="28"/>
        </w:rPr>
        <w:t>Haaretz</w:t>
      </w:r>
      <w:r>
        <w:rPr>
          <w:rFonts w:asciiTheme="majorBidi" w:hAnsiTheme="majorBidi" w:cstheme="majorBidi"/>
          <w:sz w:val="28"/>
          <w:szCs w:val="28"/>
        </w:rPr>
        <w:t>.</w:t>
      </w:r>
      <w:r w:rsidRPr="00B726E5">
        <w:rPr>
          <w:rFonts w:asciiTheme="majorBidi" w:hAnsiTheme="majorBidi" w:cstheme="majorBidi"/>
          <w:sz w:val="28"/>
          <w:szCs w:val="28"/>
        </w:rPr>
        <w:t xml:space="preserve"> </w:t>
      </w:r>
    </w:p>
    <w:p w:rsidR="009B636F" w:rsidRPr="00B726E5" w:rsidRDefault="009B636F" w:rsidP="009B636F">
      <w:pPr>
        <w:pStyle w:val="a5"/>
        <w:bidi w:val="0"/>
        <w:spacing w:line="360" w:lineRule="auto"/>
        <w:jc w:val="both"/>
        <w:rPr>
          <w:rFonts w:asciiTheme="majorBidi" w:hAnsiTheme="majorBidi" w:cstheme="majorBidi"/>
          <w:sz w:val="28"/>
          <w:szCs w:val="28"/>
        </w:rPr>
      </w:pPr>
      <w:hyperlink r:id="rId183" w:history="1">
        <w:r w:rsidRPr="00B726E5">
          <w:rPr>
            <w:rStyle w:val="Hyperlink"/>
            <w:rFonts w:asciiTheme="majorBidi" w:hAnsiTheme="majorBidi" w:cstheme="majorBidi"/>
            <w:sz w:val="28"/>
            <w:szCs w:val="28"/>
          </w:rPr>
          <w:t>http://www.haaretz.com/israel-pays-10-5-million-dollars-for-damage-to-un-gaza-premises-1.261937</w:t>
        </w:r>
      </w:hyperlink>
    </w:p>
    <w:p w:rsidR="009B636F" w:rsidRPr="00B726E5" w:rsidRDefault="009B636F" w:rsidP="009B636F">
      <w:pPr>
        <w:pStyle w:val="a5"/>
        <w:bidi w:val="0"/>
        <w:spacing w:line="360" w:lineRule="auto"/>
        <w:jc w:val="both"/>
        <w:rPr>
          <w:rFonts w:asciiTheme="majorBidi" w:hAnsiTheme="majorBidi" w:cstheme="majorBidi"/>
          <w:sz w:val="28"/>
          <w:szCs w:val="28"/>
        </w:rPr>
      </w:pPr>
    </w:p>
    <w:p w:rsidR="009B636F" w:rsidRPr="00B726E5" w:rsidRDefault="009B636F" w:rsidP="009B636F">
      <w:pPr>
        <w:pStyle w:val="a5"/>
        <w:bidi w:val="0"/>
        <w:spacing w:line="360" w:lineRule="auto"/>
        <w:jc w:val="both"/>
        <w:rPr>
          <w:rFonts w:asciiTheme="majorBidi" w:hAnsiTheme="majorBidi" w:cstheme="majorBidi"/>
          <w:sz w:val="28"/>
          <w:szCs w:val="28"/>
        </w:rPr>
      </w:pPr>
      <w:r w:rsidRPr="00B726E5">
        <w:rPr>
          <w:rFonts w:asciiTheme="majorBidi" w:hAnsiTheme="majorBidi" w:cstheme="majorBidi"/>
          <w:sz w:val="28"/>
          <w:szCs w:val="28"/>
        </w:rPr>
        <w:t xml:space="preserve">Shamir Shlomo and Benn Aluf (2002), Ben-Eliezer, Peres to Annan: Israel Unhappy With Jenin Delegation, </w:t>
      </w:r>
      <w:r w:rsidRPr="00B726E5">
        <w:rPr>
          <w:rFonts w:asciiTheme="majorBidi" w:hAnsiTheme="majorBidi" w:cstheme="majorBidi"/>
          <w:b/>
          <w:bCs/>
          <w:sz w:val="28"/>
          <w:szCs w:val="28"/>
        </w:rPr>
        <w:t>Haaretz</w:t>
      </w:r>
      <w:r>
        <w:rPr>
          <w:rFonts w:asciiTheme="majorBidi" w:hAnsiTheme="majorBidi" w:cstheme="majorBidi"/>
          <w:sz w:val="28"/>
          <w:szCs w:val="28"/>
        </w:rPr>
        <w:t>.</w:t>
      </w:r>
      <w:r w:rsidRPr="00B726E5">
        <w:rPr>
          <w:rFonts w:asciiTheme="majorBidi" w:hAnsiTheme="majorBidi" w:cstheme="majorBidi"/>
          <w:sz w:val="28"/>
          <w:szCs w:val="28"/>
        </w:rPr>
        <w:t xml:space="preserve"> </w:t>
      </w:r>
    </w:p>
    <w:p w:rsidR="009B636F" w:rsidRPr="00B726E5" w:rsidRDefault="009B636F" w:rsidP="009B636F">
      <w:pPr>
        <w:pStyle w:val="a5"/>
        <w:bidi w:val="0"/>
        <w:spacing w:line="360" w:lineRule="auto"/>
        <w:jc w:val="both"/>
        <w:rPr>
          <w:rFonts w:asciiTheme="majorBidi" w:hAnsiTheme="majorBidi" w:cstheme="majorBidi"/>
          <w:sz w:val="28"/>
          <w:szCs w:val="28"/>
        </w:rPr>
      </w:pPr>
      <w:hyperlink r:id="rId184" w:history="1">
        <w:r w:rsidRPr="00B726E5">
          <w:rPr>
            <w:rStyle w:val="Hyperlink"/>
            <w:rFonts w:asciiTheme="majorBidi" w:hAnsiTheme="majorBidi" w:cstheme="majorBidi"/>
            <w:sz w:val="28"/>
            <w:szCs w:val="28"/>
          </w:rPr>
          <w:t>http://www.haaretz.com/news/ben-eliezer-peres-to-annan-israel-unhappy-with-jenin-delegation-1.47169</w:t>
        </w:r>
      </w:hyperlink>
    </w:p>
    <w:p w:rsidR="009B636F" w:rsidRPr="00B726E5" w:rsidRDefault="009B636F" w:rsidP="009B636F">
      <w:pPr>
        <w:pStyle w:val="a5"/>
        <w:bidi w:val="0"/>
        <w:spacing w:line="360" w:lineRule="auto"/>
        <w:jc w:val="both"/>
        <w:rPr>
          <w:rFonts w:asciiTheme="majorBidi" w:hAnsiTheme="majorBidi" w:cstheme="majorBidi"/>
          <w:sz w:val="28"/>
          <w:szCs w:val="28"/>
          <w:rtl/>
        </w:rPr>
      </w:pPr>
    </w:p>
    <w:p w:rsidR="009B636F" w:rsidRPr="00B726E5" w:rsidRDefault="009B636F" w:rsidP="009B636F">
      <w:pPr>
        <w:pStyle w:val="a5"/>
        <w:bidi w:val="0"/>
        <w:spacing w:line="360" w:lineRule="auto"/>
        <w:jc w:val="both"/>
        <w:rPr>
          <w:rFonts w:asciiTheme="majorBidi" w:hAnsiTheme="majorBidi" w:cstheme="majorBidi"/>
          <w:sz w:val="28"/>
          <w:szCs w:val="28"/>
          <w:shd w:val="clear" w:color="auto" w:fill="FFFFFF"/>
        </w:rPr>
      </w:pPr>
      <w:r w:rsidRPr="00B726E5">
        <w:rPr>
          <w:rFonts w:asciiTheme="majorBidi" w:hAnsiTheme="majorBidi" w:cstheme="majorBidi"/>
          <w:sz w:val="28"/>
          <w:szCs w:val="28"/>
          <w:shd w:val="clear" w:color="auto" w:fill="FFFFFF"/>
        </w:rPr>
        <w:t xml:space="preserve">Sherwood Harriet, Israel subjecting Palestinian children to 'spiral of injustice', </w:t>
      </w:r>
      <w:r>
        <w:rPr>
          <w:rFonts w:asciiTheme="majorBidi" w:hAnsiTheme="majorBidi" w:cstheme="majorBidi"/>
          <w:b/>
          <w:bCs/>
          <w:sz w:val="28"/>
          <w:szCs w:val="28"/>
          <w:shd w:val="clear" w:color="auto" w:fill="FFFFFF"/>
        </w:rPr>
        <w:t>T</w:t>
      </w:r>
      <w:r w:rsidRPr="00B726E5">
        <w:rPr>
          <w:rFonts w:asciiTheme="majorBidi" w:hAnsiTheme="majorBidi" w:cstheme="majorBidi"/>
          <w:b/>
          <w:bCs/>
          <w:sz w:val="28"/>
          <w:szCs w:val="28"/>
          <w:shd w:val="clear" w:color="auto" w:fill="FFFFFF"/>
        </w:rPr>
        <w:t xml:space="preserve">he </w:t>
      </w:r>
      <w:r>
        <w:rPr>
          <w:rFonts w:asciiTheme="majorBidi" w:hAnsiTheme="majorBidi" w:cstheme="majorBidi"/>
          <w:b/>
          <w:bCs/>
          <w:sz w:val="28"/>
          <w:szCs w:val="28"/>
          <w:shd w:val="clear" w:color="auto" w:fill="FFFFFF"/>
        </w:rPr>
        <w:t>G</w:t>
      </w:r>
      <w:r w:rsidRPr="00B726E5">
        <w:rPr>
          <w:rFonts w:asciiTheme="majorBidi" w:hAnsiTheme="majorBidi" w:cstheme="majorBidi"/>
          <w:b/>
          <w:bCs/>
          <w:sz w:val="28"/>
          <w:szCs w:val="28"/>
          <w:shd w:val="clear" w:color="auto" w:fill="FFFFFF"/>
        </w:rPr>
        <w:t>uardian</w:t>
      </w:r>
      <w:r>
        <w:rPr>
          <w:rFonts w:asciiTheme="majorBidi" w:hAnsiTheme="majorBidi" w:cstheme="majorBidi"/>
          <w:sz w:val="28"/>
          <w:szCs w:val="28"/>
          <w:shd w:val="clear" w:color="auto" w:fill="FFFFFF"/>
        </w:rPr>
        <w:t>.</w:t>
      </w:r>
    </w:p>
    <w:p w:rsidR="009B636F" w:rsidRPr="00B726E5" w:rsidRDefault="009B636F" w:rsidP="009B636F">
      <w:pPr>
        <w:pStyle w:val="a5"/>
        <w:bidi w:val="0"/>
        <w:spacing w:line="360" w:lineRule="auto"/>
        <w:jc w:val="both"/>
        <w:rPr>
          <w:rFonts w:asciiTheme="majorBidi" w:hAnsiTheme="majorBidi" w:cstheme="majorBidi"/>
          <w:sz w:val="28"/>
          <w:szCs w:val="28"/>
          <w:shd w:val="clear" w:color="auto" w:fill="FFFFFF"/>
        </w:rPr>
      </w:pPr>
      <w:hyperlink r:id="rId185" w:history="1">
        <w:r w:rsidRPr="00B726E5">
          <w:rPr>
            <w:rStyle w:val="Hyperlink"/>
            <w:rFonts w:asciiTheme="majorBidi" w:hAnsiTheme="majorBidi" w:cstheme="majorBidi"/>
            <w:sz w:val="28"/>
            <w:szCs w:val="28"/>
            <w:shd w:val="clear" w:color="auto" w:fill="FFFFFF"/>
          </w:rPr>
          <w:t>http://www.theguardian.com/world/2012/jun/26/israel-palestinian-children-injustice</w:t>
        </w:r>
      </w:hyperlink>
    </w:p>
    <w:p w:rsidR="009B636F" w:rsidRPr="00B726E5" w:rsidRDefault="009B636F" w:rsidP="009B636F">
      <w:pPr>
        <w:pStyle w:val="a5"/>
        <w:bidi w:val="0"/>
        <w:spacing w:line="360" w:lineRule="auto"/>
        <w:jc w:val="both"/>
        <w:rPr>
          <w:rFonts w:asciiTheme="majorBidi" w:hAnsiTheme="majorBidi" w:cstheme="majorBidi"/>
          <w:sz w:val="28"/>
          <w:szCs w:val="28"/>
        </w:rPr>
      </w:pPr>
    </w:p>
    <w:p w:rsidR="009B636F" w:rsidRPr="00B726E5" w:rsidRDefault="009B636F" w:rsidP="009B636F">
      <w:pPr>
        <w:pStyle w:val="a5"/>
        <w:bidi w:val="0"/>
        <w:spacing w:line="360" w:lineRule="auto"/>
        <w:jc w:val="both"/>
        <w:rPr>
          <w:rFonts w:asciiTheme="majorBidi" w:hAnsiTheme="majorBidi" w:cstheme="majorBidi"/>
          <w:sz w:val="28"/>
          <w:szCs w:val="28"/>
        </w:rPr>
      </w:pPr>
      <w:r w:rsidRPr="00B726E5">
        <w:rPr>
          <w:rFonts w:asciiTheme="majorBidi" w:hAnsiTheme="majorBidi" w:cstheme="majorBidi"/>
          <w:sz w:val="28"/>
          <w:szCs w:val="28"/>
        </w:rPr>
        <w:lastRenderedPageBreak/>
        <w:t xml:space="preserve">Starr </w:t>
      </w:r>
      <w:hyperlink r:id="rId186" w:history="1">
        <w:r w:rsidRPr="00B726E5">
          <w:rPr>
            <w:rFonts w:asciiTheme="majorBidi" w:hAnsiTheme="majorBidi" w:cstheme="majorBidi"/>
            <w:sz w:val="28"/>
            <w:szCs w:val="28"/>
          </w:rPr>
          <w:t xml:space="preserve">Barbara (2016), </w:t>
        </w:r>
      </w:hyperlink>
      <w:r w:rsidRPr="00B726E5">
        <w:rPr>
          <w:rFonts w:asciiTheme="majorBidi" w:hAnsiTheme="majorBidi" w:cstheme="majorBidi"/>
          <w:sz w:val="28"/>
          <w:szCs w:val="28"/>
        </w:rPr>
        <w:t xml:space="preserve">Pentagon adopts Israeli tactic in bombing ISIS, </w:t>
      </w:r>
      <w:r w:rsidRPr="00B726E5">
        <w:rPr>
          <w:rFonts w:asciiTheme="majorBidi" w:hAnsiTheme="majorBidi" w:cstheme="majorBidi"/>
          <w:b/>
          <w:bCs/>
          <w:sz w:val="28"/>
          <w:szCs w:val="28"/>
        </w:rPr>
        <w:t>CNN</w:t>
      </w:r>
      <w:r>
        <w:rPr>
          <w:rFonts w:asciiTheme="majorBidi" w:hAnsiTheme="majorBidi" w:cstheme="majorBidi"/>
          <w:sz w:val="28"/>
          <w:szCs w:val="28"/>
        </w:rPr>
        <w:t>.</w:t>
      </w:r>
      <w:r w:rsidRPr="00B726E5">
        <w:rPr>
          <w:rFonts w:asciiTheme="majorBidi" w:hAnsiTheme="majorBidi" w:cstheme="majorBidi"/>
          <w:sz w:val="28"/>
          <w:szCs w:val="28"/>
        </w:rPr>
        <w:t xml:space="preserve"> </w:t>
      </w:r>
    </w:p>
    <w:p w:rsidR="009B636F" w:rsidRPr="00B726E5" w:rsidRDefault="009B636F" w:rsidP="009B636F">
      <w:pPr>
        <w:pStyle w:val="a5"/>
        <w:bidi w:val="0"/>
        <w:spacing w:line="360" w:lineRule="auto"/>
        <w:jc w:val="both"/>
        <w:rPr>
          <w:rFonts w:asciiTheme="majorBidi" w:hAnsiTheme="majorBidi" w:cstheme="majorBidi"/>
          <w:sz w:val="28"/>
          <w:szCs w:val="28"/>
        </w:rPr>
      </w:pPr>
      <w:hyperlink r:id="rId187" w:history="1">
        <w:r w:rsidRPr="00B726E5">
          <w:rPr>
            <w:rStyle w:val="Hyperlink"/>
            <w:rFonts w:asciiTheme="majorBidi" w:hAnsiTheme="majorBidi" w:cstheme="majorBidi"/>
            <w:sz w:val="28"/>
            <w:szCs w:val="28"/>
          </w:rPr>
          <w:t>http://edition.cnn.com/2016/04/26/politics/u-s-uses-israeli-tactic-isis-bombing/</w:t>
        </w:r>
      </w:hyperlink>
    </w:p>
    <w:p w:rsidR="009B636F" w:rsidRPr="00B726E5" w:rsidRDefault="009B636F" w:rsidP="009B636F">
      <w:pPr>
        <w:pStyle w:val="a5"/>
        <w:bidi w:val="0"/>
        <w:spacing w:line="360" w:lineRule="auto"/>
        <w:jc w:val="both"/>
        <w:rPr>
          <w:rFonts w:asciiTheme="majorBidi" w:hAnsiTheme="majorBidi" w:cstheme="majorBidi"/>
          <w:sz w:val="28"/>
          <w:szCs w:val="28"/>
        </w:rPr>
      </w:pPr>
    </w:p>
    <w:p w:rsidR="009B636F" w:rsidRPr="00B726E5" w:rsidRDefault="009B636F" w:rsidP="009B636F">
      <w:pPr>
        <w:pStyle w:val="a5"/>
        <w:bidi w:val="0"/>
        <w:spacing w:line="360" w:lineRule="auto"/>
        <w:jc w:val="both"/>
        <w:rPr>
          <w:rFonts w:asciiTheme="majorBidi" w:hAnsiTheme="majorBidi" w:cstheme="majorBidi"/>
          <w:sz w:val="28"/>
          <w:szCs w:val="28"/>
        </w:rPr>
      </w:pPr>
      <w:r w:rsidRPr="00B726E5">
        <w:rPr>
          <w:rFonts w:asciiTheme="majorBidi" w:hAnsiTheme="majorBidi" w:cstheme="majorBidi"/>
          <w:sz w:val="28"/>
          <w:szCs w:val="28"/>
        </w:rPr>
        <w:t xml:space="preserve">Tutu Desmond (2002), Apartheid in the Holy Land, </w:t>
      </w:r>
      <w:r w:rsidRPr="00B726E5">
        <w:rPr>
          <w:rFonts w:asciiTheme="majorBidi" w:hAnsiTheme="majorBidi" w:cstheme="majorBidi"/>
          <w:b/>
          <w:bCs/>
          <w:sz w:val="28"/>
          <w:szCs w:val="28"/>
        </w:rPr>
        <w:t>The Guardian</w:t>
      </w:r>
      <w:r>
        <w:rPr>
          <w:rFonts w:asciiTheme="majorBidi" w:hAnsiTheme="majorBidi" w:cstheme="majorBidi"/>
          <w:sz w:val="28"/>
          <w:szCs w:val="28"/>
        </w:rPr>
        <w:t>.</w:t>
      </w:r>
    </w:p>
    <w:p w:rsidR="009B636F" w:rsidRPr="00B726E5" w:rsidRDefault="009B636F" w:rsidP="009B636F">
      <w:pPr>
        <w:pStyle w:val="a5"/>
        <w:bidi w:val="0"/>
        <w:spacing w:line="360" w:lineRule="auto"/>
        <w:jc w:val="both"/>
        <w:rPr>
          <w:rFonts w:asciiTheme="majorBidi" w:hAnsiTheme="majorBidi" w:cstheme="majorBidi"/>
          <w:sz w:val="28"/>
          <w:szCs w:val="28"/>
        </w:rPr>
      </w:pPr>
      <w:hyperlink r:id="rId188" w:history="1">
        <w:r w:rsidRPr="00B726E5">
          <w:rPr>
            <w:rStyle w:val="Hyperlink"/>
            <w:rFonts w:asciiTheme="majorBidi" w:hAnsiTheme="majorBidi" w:cstheme="majorBidi"/>
            <w:sz w:val="28"/>
            <w:szCs w:val="28"/>
          </w:rPr>
          <w:t>http://www.theguardian.com/world/2002/apr/29/comment</w:t>
        </w:r>
      </w:hyperlink>
    </w:p>
    <w:p w:rsidR="009B636F" w:rsidRPr="00B726E5" w:rsidRDefault="009B636F" w:rsidP="009B636F">
      <w:pPr>
        <w:pStyle w:val="a5"/>
        <w:bidi w:val="0"/>
        <w:spacing w:line="360" w:lineRule="auto"/>
        <w:jc w:val="both"/>
        <w:rPr>
          <w:rFonts w:asciiTheme="majorBidi" w:hAnsiTheme="majorBidi" w:cstheme="majorBidi"/>
          <w:sz w:val="28"/>
          <w:szCs w:val="28"/>
        </w:rPr>
      </w:pPr>
    </w:p>
    <w:p w:rsidR="009B636F" w:rsidRPr="00B726E5" w:rsidRDefault="009B636F" w:rsidP="009B636F">
      <w:pPr>
        <w:pStyle w:val="a5"/>
        <w:bidi w:val="0"/>
        <w:spacing w:line="360" w:lineRule="auto"/>
        <w:jc w:val="both"/>
        <w:rPr>
          <w:rFonts w:asciiTheme="majorBidi" w:hAnsiTheme="majorBidi" w:cstheme="majorBidi"/>
          <w:sz w:val="28"/>
          <w:szCs w:val="28"/>
        </w:rPr>
      </w:pPr>
      <w:r w:rsidRPr="00B726E5">
        <w:rPr>
          <w:rFonts w:asciiTheme="majorBidi" w:hAnsiTheme="majorBidi" w:cstheme="majorBidi"/>
          <w:sz w:val="28"/>
          <w:szCs w:val="28"/>
        </w:rPr>
        <w:t xml:space="preserve">UN Headquarters Compound, </w:t>
      </w:r>
      <w:r w:rsidRPr="00B726E5">
        <w:rPr>
          <w:rFonts w:asciiTheme="majorBidi" w:hAnsiTheme="majorBidi" w:cstheme="majorBidi"/>
          <w:b/>
          <w:bCs/>
          <w:sz w:val="28"/>
          <w:szCs w:val="28"/>
        </w:rPr>
        <w:t>Global Security.org</w:t>
      </w:r>
      <w:r>
        <w:rPr>
          <w:rFonts w:asciiTheme="majorBidi" w:hAnsiTheme="majorBidi" w:cstheme="majorBidi"/>
          <w:sz w:val="28"/>
          <w:szCs w:val="28"/>
        </w:rPr>
        <w:t>.</w:t>
      </w:r>
    </w:p>
    <w:p w:rsidR="009B636F" w:rsidRPr="00B726E5" w:rsidRDefault="009B636F" w:rsidP="009B636F">
      <w:pPr>
        <w:pStyle w:val="a5"/>
        <w:bidi w:val="0"/>
        <w:spacing w:line="360" w:lineRule="auto"/>
        <w:jc w:val="both"/>
        <w:rPr>
          <w:rFonts w:asciiTheme="majorBidi" w:hAnsiTheme="majorBidi" w:cstheme="majorBidi"/>
          <w:sz w:val="28"/>
          <w:szCs w:val="28"/>
        </w:rPr>
      </w:pPr>
      <w:hyperlink r:id="rId189" w:history="1">
        <w:r w:rsidRPr="00B726E5">
          <w:rPr>
            <w:rStyle w:val="Hyperlink"/>
            <w:rFonts w:asciiTheme="majorBidi" w:hAnsiTheme="majorBidi" w:cstheme="majorBidi"/>
            <w:sz w:val="28"/>
            <w:szCs w:val="28"/>
          </w:rPr>
          <w:t>http://www.globalsecurity.org/military/world/iraq/un-hq-baghdad-bombing.htm</w:t>
        </w:r>
      </w:hyperlink>
    </w:p>
    <w:p w:rsidR="009B636F" w:rsidRPr="00B726E5" w:rsidRDefault="009B636F" w:rsidP="009B636F">
      <w:pPr>
        <w:pStyle w:val="a5"/>
        <w:bidi w:val="0"/>
        <w:spacing w:line="360" w:lineRule="auto"/>
        <w:jc w:val="both"/>
        <w:rPr>
          <w:rFonts w:asciiTheme="majorBidi" w:hAnsiTheme="majorBidi" w:cstheme="majorBidi"/>
          <w:sz w:val="28"/>
          <w:szCs w:val="28"/>
        </w:rPr>
      </w:pPr>
    </w:p>
    <w:p w:rsidR="009B636F" w:rsidRPr="00B726E5" w:rsidRDefault="009B636F" w:rsidP="009B636F">
      <w:pPr>
        <w:pStyle w:val="a5"/>
        <w:bidi w:val="0"/>
        <w:spacing w:line="360" w:lineRule="auto"/>
        <w:jc w:val="both"/>
        <w:rPr>
          <w:rFonts w:asciiTheme="majorBidi" w:hAnsiTheme="majorBidi" w:cstheme="majorBidi"/>
          <w:sz w:val="28"/>
          <w:szCs w:val="28"/>
        </w:rPr>
      </w:pPr>
      <w:r w:rsidRPr="00B726E5">
        <w:rPr>
          <w:rFonts w:asciiTheme="majorBidi" w:hAnsiTheme="majorBidi" w:cstheme="majorBidi"/>
          <w:sz w:val="28"/>
          <w:szCs w:val="28"/>
        </w:rPr>
        <w:t xml:space="preserve">Weinthai Benjamin (2010), Dershowitz: Goldstone follow-up commission head a 'bigot', </w:t>
      </w:r>
      <w:r w:rsidRPr="00B726E5">
        <w:rPr>
          <w:rFonts w:asciiTheme="majorBidi" w:hAnsiTheme="majorBidi" w:cstheme="majorBidi"/>
          <w:b/>
          <w:bCs/>
          <w:sz w:val="28"/>
          <w:szCs w:val="28"/>
        </w:rPr>
        <w:t>The Jerusalem Post</w:t>
      </w:r>
      <w:r>
        <w:rPr>
          <w:rFonts w:asciiTheme="majorBidi" w:hAnsiTheme="majorBidi" w:cstheme="majorBidi"/>
          <w:sz w:val="28"/>
          <w:szCs w:val="28"/>
        </w:rPr>
        <w:t>.</w:t>
      </w:r>
    </w:p>
    <w:p w:rsidR="009B636F" w:rsidRPr="00B726E5" w:rsidRDefault="009B636F" w:rsidP="009B636F">
      <w:pPr>
        <w:pStyle w:val="a5"/>
        <w:bidi w:val="0"/>
        <w:spacing w:line="360" w:lineRule="auto"/>
        <w:jc w:val="both"/>
        <w:rPr>
          <w:rFonts w:asciiTheme="majorBidi" w:hAnsiTheme="majorBidi" w:cstheme="majorBidi"/>
          <w:sz w:val="28"/>
          <w:szCs w:val="28"/>
        </w:rPr>
      </w:pPr>
      <w:hyperlink r:id="rId190" w:history="1">
        <w:r w:rsidRPr="00B726E5">
          <w:rPr>
            <w:rStyle w:val="Hyperlink"/>
            <w:rFonts w:asciiTheme="majorBidi" w:hAnsiTheme="majorBidi" w:cstheme="majorBidi"/>
            <w:sz w:val="28"/>
            <w:szCs w:val="28"/>
          </w:rPr>
          <w:t>http://www.jpost.com/Israel/Dershowitz-Goldstone-follow-up-commission-head-a-bigot</w:t>
        </w:r>
      </w:hyperlink>
    </w:p>
    <w:p w:rsidR="009B636F" w:rsidRPr="00B726E5" w:rsidRDefault="009B636F" w:rsidP="009B636F">
      <w:pPr>
        <w:pStyle w:val="a5"/>
        <w:bidi w:val="0"/>
        <w:spacing w:line="360" w:lineRule="auto"/>
        <w:jc w:val="both"/>
        <w:rPr>
          <w:rFonts w:asciiTheme="majorBidi" w:hAnsiTheme="majorBidi" w:cstheme="majorBidi"/>
          <w:sz w:val="28"/>
          <w:szCs w:val="28"/>
        </w:rPr>
      </w:pPr>
    </w:p>
    <w:p w:rsidR="009B636F" w:rsidRPr="00B726E5" w:rsidRDefault="009B636F" w:rsidP="009B636F">
      <w:pPr>
        <w:pStyle w:val="a5"/>
        <w:bidi w:val="0"/>
        <w:spacing w:line="360" w:lineRule="auto"/>
        <w:jc w:val="both"/>
        <w:rPr>
          <w:rFonts w:asciiTheme="majorBidi" w:hAnsiTheme="majorBidi" w:cstheme="majorBidi"/>
          <w:sz w:val="28"/>
          <w:szCs w:val="28"/>
        </w:rPr>
      </w:pPr>
      <w:r w:rsidRPr="00B726E5">
        <w:rPr>
          <w:rFonts w:asciiTheme="majorBidi" w:hAnsiTheme="majorBidi" w:cstheme="majorBidi"/>
          <w:sz w:val="28"/>
          <w:szCs w:val="28"/>
        </w:rPr>
        <w:t xml:space="preserve">Weizman Steve (2004), Israel backs off charges that U.N. ran rockets for Palestinians. U.N. sends mission of inquiry, </w:t>
      </w:r>
      <w:r w:rsidRPr="00B726E5">
        <w:rPr>
          <w:rFonts w:asciiTheme="majorBidi" w:hAnsiTheme="majorBidi" w:cstheme="majorBidi"/>
          <w:b/>
          <w:bCs/>
          <w:sz w:val="28"/>
          <w:szCs w:val="28"/>
        </w:rPr>
        <w:t>San Diego Union Tribune</w:t>
      </w:r>
      <w:r>
        <w:rPr>
          <w:rFonts w:asciiTheme="majorBidi" w:hAnsiTheme="majorBidi" w:cstheme="majorBidi"/>
          <w:sz w:val="28"/>
          <w:szCs w:val="28"/>
        </w:rPr>
        <w:t>.</w:t>
      </w:r>
      <w:r w:rsidRPr="00B726E5">
        <w:rPr>
          <w:rFonts w:asciiTheme="majorBidi" w:hAnsiTheme="majorBidi" w:cstheme="majorBidi"/>
          <w:sz w:val="28"/>
          <w:szCs w:val="28"/>
        </w:rPr>
        <w:t xml:space="preserve"> </w:t>
      </w:r>
    </w:p>
    <w:p w:rsidR="009B636F" w:rsidRPr="00B726E5" w:rsidRDefault="009B636F" w:rsidP="009B636F">
      <w:pPr>
        <w:pStyle w:val="a5"/>
        <w:bidi w:val="0"/>
        <w:spacing w:line="360" w:lineRule="auto"/>
        <w:jc w:val="both"/>
        <w:rPr>
          <w:rStyle w:val="Hyperlink"/>
          <w:rFonts w:asciiTheme="majorBidi" w:hAnsiTheme="majorBidi" w:cstheme="majorBidi"/>
          <w:sz w:val="28"/>
          <w:szCs w:val="28"/>
        </w:rPr>
      </w:pPr>
      <w:hyperlink r:id="rId191" w:history="1">
        <w:r w:rsidRPr="00B726E5">
          <w:rPr>
            <w:rStyle w:val="Hyperlink"/>
            <w:rFonts w:asciiTheme="majorBidi" w:hAnsiTheme="majorBidi" w:cstheme="majorBidi"/>
            <w:sz w:val="28"/>
            <w:szCs w:val="28"/>
          </w:rPr>
          <w:t>http://legacy.sandiegouniontribune.com/news/world/20041005-1516-israel-un.html</w:t>
        </w:r>
      </w:hyperlink>
    </w:p>
    <w:p w:rsidR="009B636F" w:rsidRPr="00B726E5" w:rsidRDefault="009B636F" w:rsidP="009B636F">
      <w:pPr>
        <w:pStyle w:val="a5"/>
        <w:bidi w:val="0"/>
        <w:spacing w:line="360" w:lineRule="auto"/>
        <w:jc w:val="both"/>
        <w:rPr>
          <w:rFonts w:asciiTheme="majorBidi" w:hAnsiTheme="majorBidi" w:cstheme="majorBidi"/>
          <w:sz w:val="28"/>
          <w:szCs w:val="28"/>
        </w:rPr>
      </w:pPr>
    </w:p>
    <w:p w:rsidR="009B636F" w:rsidRPr="00B726E5" w:rsidRDefault="009B636F" w:rsidP="009B636F">
      <w:pPr>
        <w:pStyle w:val="a5"/>
        <w:bidi w:val="0"/>
        <w:spacing w:line="360" w:lineRule="auto"/>
        <w:jc w:val="both"/>
        <w:rPr>
          <w:rFonts w:asciiTheme="majorBidi" w:hAnsiTheme="majorBidi" w:cstheme="majorBidi"/>
          <w:sz w:val="28"/>
          <w:szCs w:val="28"/>
          <w:shd w:val="clear" w:color="auto" w:fill="FFFFFF"/>
        </w:rPr>
      </w:pPr>
      <w:r w:rsidRPr="00B726E5">
        <w:rPr>
          <w:rFonts w:asciiTheme="majorBidi" w:hAnsiTheme="majorBidi" w:cstheme="majorBidi"/>
          <w:sz w:val="28"/>
          <w:szCs w:val="28"/>
          <w:shd w:val="clear" w:color="auto" w:fill="FFFFFF"/>
        </w:rPr>
        <w:t xml:space="preserve">William Schabas quits to prevent consultancy work for Palestine Liberation Organisation overshadowing report on last summer’s military offensive, </w:t>
      </w:r>
      <w:r w:rsidRPr="00B726E5">
        <w:rPr>
          <w:rFonts w:asciiTheme="majorBidi" w:hAnsiTheme="majorBidi" w:cstheme="majorBidi"/>
          <w:b/>
          <w:bCs/>
          <w:sz w:val="28"/>
          <w:szCs w:val="28"/>
          <w:shd w:val="clear" w:color="auto" w:fill="FFFFFF"/>
        </w:rPr>
        <w:t>The Guardian</w:t>
      </w:r>
      <w:r w:rsidRPr="00B726E5">
        <w:rPr>
          <w:rFonts w:asciiTheme="majorBidi" w:hAnsiTheme="majorBidi" w:cstheme="majorBidi"/>
          <w:sz w:val="28"/>
          <w:szCs w:val="28"/>
          <w:shd w:val="clear" w:color="auto" w:fill="FFFFFF"/>
        </w:rPr>
        <w:t>, 3 February 2015</w:t>
      </w:r>
      <w:r>
        <w:rPr>
          <w:rFonts w:asciiTheme="majorBidi" w:hAnsiTheme="majorBidi" w:cstheme="majorBidi"/>
          <w:sz w:val="28"/>
          <w:szCs w:val="28"/>
          <w:shd w:val="clear" w:color="auto" w:fill="FFFFFF"/>
        </w:rPr>
        <w:t>.</w:t>
      </w:r>
    </w:p>
    <w:p w:rsidR="009B636F" w:rsidRPr="00B726E5" w:rsidRDefault="009B636F" w:rsidP="009B636F">
      <w:pPr>
        <w:pStyle w:val="a5"/>
        <w:bidi w:val="0"/>
        <w:spacing w:line="360" w:lineRule="auto"/>
        <w:jc w:val="both"/>
        <w:rPr>
          <w:rFonts w:asciiTheme="majorBidi" w:hAnsiTheme="majorBidi" w:cstheme="majorBidi"/>
          <w:sz w:val="28"/>
          <w:szCs w:val="28"/>
        </w:rPr>
      </w:pPr>
      <w:hyperlink r:id="rId192" w:history="1">
        <w:r w:rsidRPr="00B726E5">
          <w:rPr>
            <w:rStyle w:val="Hyperlink"/>
            <w:rFonts w:asciiTheme="majorBidi" w:hAnsiTheme="majorBidi" w:cstheme="majorBidi"/>
            <w:sz w:val="28"/>
            <w:szCs w:val="28"/>
            <w:shd w:val="clear" w:color="auto" w:fill="FFFFFF"/>
          </w:rPr>
          <w:t>http://www.theguardian.com/world/2015/feb/02/un-war-crimes-inquiry-resigns-israel-gaza-palestine</w:t>
        </w:r>
      </w:hyperlink>
    </w:p>
    <w:p w:rsidR="009B636F" w:rsidRPr="00B726E5" w:rsidRDefault="009B636F" w:rsidP="009B636F">
      <w:pPr>
        <w:spacing w:after="0" w:line="360" w:lineRule="auto"/>
        <w:jc w:val="both"/>
        <w:rPr>
          <w:rFonts w:asciiTheme="majorBidi" w:hAnsiTheme="majorBidi" w:cstheme="majorBidi"/>
          <w:sz w:val="28"/>
          <w:szCs w:val="28"/>
        </w:rPr>
      </w:pPr>
    </w:p>
    <w:p w:rsidR="00FA11B8" w:rsidRDefault="00FA11B8">
      <w:pPr>
        <w:bidi w:val="0"/>
        <w:rPr>
          <w:rFonts w:cs="David"/>
          <w:b/>
          <w:bCs/>
          <w:sz w:val="28"/>
          <w:szCs w:val="28"/>
          <w:rtl/>
        </w:rPr>
      </w:pPr>
      <w:r>
        <w:rPr>
          <w:rFonts w:cs="David"/>
          <w:b/>
          <w:bCs/>
          <w:sz w:val="28"/>
          <w:szCs w:val="28"/>
          <w:rtl/>
        </w:rPr>
        <w:br w:type="page"/>
      </w:r>
    </w:p>
    <w:p w:rsidR="009B636F" w:rsidRPr="00057035" w:rsidRDefault="009B636F" w:rsidP="009B636F">
      <w:pPr>
        <w:spacing w:after="0" w:line="360" w:lineRule="auto"/>
        <w:jc w:val="both"/>
        <w:rPr>
          <w:rFonts w:cs="David"/>
          <w:b/>
          <w:bCs/>
          <w:sz w:val="28"/>
          <w:szCs w:val="28"/>
        </w:rPr>
      </w:pPr>
      <w:r w:rsidRPr="00057035">
        <w:rPr>
          <w:rFonts w:cs="David" w:hint="cs"/>
          <w:b/>
          <w:bCs/>
          <w:sz w:val="28"/>
          <w:szCs w:val="28"/>
          <w:rtl/>
        </w:rPr>
        <w:lastRenderedPageBreak/>
        <w:t>דוחות ותכתובות</w:t>
      </w:r>
    </w:p>
    <w:p w:rsidR="009B636F" w:rsidRPr="00057035" w:rsidRDefault="009B636F" w:rsidP="009B636F">
      <w:pPr>
        <w:spacing w:after="0" w:line="360" w:lineRule="auto"/>
        <w:jc w:val="both"/>
        <w:rPr>
          <w:rFonts w:cs="David"/>
          <w:b/>
          <w:bCs/>
          <w:sz w:val="28"/>
          <w:szCs w:val="28"/>
          <w:rtl/>
        </w:rPr>
      </w:pPr>
    </w:p>
    <w:p w:rsidR="009B636F" w:rsidRPr="00057035" w:rsidRDefault="009B636F" w:rsidP="009B636F">
      <w:pPr>
        <w:pStyle w:val="a5"/>
        <w:spacing w:line="360" w:lineRule="auto"/>
        <w:jc w:val="both"/>
        <w:rPr>
          <w:rFonts w:cs="David"/>
          <w:sz w:val="28"/>
          <w:szCs w:val="28"/>
          <w:rtl/>
        </w:rPr>
      </w:pPr>
      <w:r w:rsidRPr="00057035">
        <w:rPr>
          <w:rFonts w:cs="David" w:hint="cs"/>
          <w:sz w:val="28"/>
          <w:szCs w:val="28"/>
          <w:rtl/>
        </w:rPr>
        <w:t>או"ם</w:t>
      </w:r>
    </w:p>
    <w:p w:rsidR="009B636F" w:rsidRPr="00057035" w:rsidRDefault="009B636F" w:rsidP="009B636F">
      <w:pPr>
        <w:pStyle w:val="a5"/>
        <w:spacing w:line="360" w:lineRule="auto"/>
        <w:jc w:val="both"/>
        <w:rPr>
          <w:rFonts w:asciiTheme="majorBidi" w:hAnsiTheme="majorBidi" w:cs="David"/>
          <w:sz w:val="28"/>
          <w:szCs w:val="28"/>
          <w:rtl/>
        </w:rPr>
      </w:pPr>
    </w:p>
    <w:p w:rsidR="009B636F" w:rsidRPr="00B726E5" w:rsidRDefault="009B636F" w:rsidP="009B636F">
      <w:pPr>
        <w:pStyle w:val="a5"/>
        <w:bidi w:val="0"/>
        <w:spacing w:line="360" w:lineRule="auto"/>
        <w:jc w:val="both"/>
        <w:rPr>
          <w:rFonts w:asciiTheme="majorBidi" w:hAnsiTheme="majorBidi" w:cstheme="majorBidi"/>
          <w:sz w:val="28"/>
          <w:szCs w:val="28"/>
        </w:rPr>
      </w:pPr>
      <w:r w:rsidRPr="00B726E5">
        <w:rPr>
          <w:rFonts w:asciiTheme="majorBidi" w:hAnsiTheme="majorBidi" w:cstheme="majorBidi"/>
          <w:sz w:val="28"/>
          <w:szCs w:val="28"/>
        </w:rPr>
        <w:t>Commission on Human Rights Report on the Fourth Special Session (23 - 27 September 1999), E/1999/23/Add.1, E/CN.4/1999/167/Add.1</w:t>
      </w:r>
      <w:r>
        <w:rPr>
          <w:rFonts w:asciiTheme="majorBidi" w:hAnsiTheme="majorBidi" w:cstheme="majorBidi"/>
          <w:sz w:val="28"/>
          <w:szCs w:val="28"/>
        </w:rPr>
        <w:t>.</w:t>
      </w:r>
    </w:p>
    <w:p w:rsidR="009B636F" w:rsidRPr="00B726E5" w:rsidRDefault="009B636F" w:rsidP="009B636F">
      <w:pPr>
        <w:pStyle w:val="a5"/>
        <w:bidi w:val="0"/>
        <w:spacing w:line="360" w:lineRule="auto"/>
        <w:jc w:val="both"/>
        <w:rPr>
          <w:rFonts w:asciiTheme="majorBidi" w:hAnsiTheme="majorBidi" w:cstheme="majorBidi"/>
          <w:sz w:val="28"/>
          <w:szCs w:val="28"/>
        </w:rPr>
      </w:pPr>
      <w:hyperlink r:id="rId193" w:history="1">
        <w:r w:rsidRPr="00B726E5">
          <w:rPr>
            <w:rStyle w:val="Hyperlink"/>
            <w:rFonts w:asciiTheme="majorBidi" w:hAnsiTheme="majorBidi" w:cstheme="majorBidi"/>
            <w:sz w:val="28"/>
            <w:szCs w:val="28"/>
          </w:rPr>
          <w:t>http://www.un.org/documents/ecosoc/docs/1999/e1999-23a.pdf</w:t>
        </w:r>
      </w:hyperlink>
    </w:p>
    <w:p w:rsidR="009B636F" w:rsidRPr="00B726E5" w:rsidRDefault="009B636F" w:rsidP="009B636F">
      <w:pPr>
        <w:pStyle w:val="a5"/>
        <w:bidi w:val="0"/>
        <w:spacing w:line="360" w:lineRule="auto"/>
        <w:jc w:val="both"/>
        <w:rPr>
          <w:rFonts w:asciiTheme="majorBidi" w:hAnsiTheme="majorBidi" w:cstheme="majorBidi"/>
          <w:sz w:val="28"/>
          <w:szCs w:val="28"/>
          <w:rtl/>
        </w:rPr>
      </w:pPr>
    </w:p>
    <w:p w:rsidR="009B636F" w:rsidRPr="00B726E5" w:rsidRDefault="009B636F" w:rsidP="009B636F">
      <w:pPr>
        <w:pStyle w:val="a5"/>
        <w:bidi w:val="0"/>
        <w:spacing w:line="360" w:lineRule="auto"/>
        <w:jc w:val="both"/>
        <w:rPr>
          <w:rFonts w:asciiTheme="majorBidi" w:hAnsiTheme="majorBidi" w:cstheme="majorBidi"/>
          <w:sz w:val="28"/>
          <w:szCs w:val="28"/>
        </w:rPr>
      </w:pPr>
      <w:r w:rsidRPr="00B726E5">
        <w:rPr>
          <w:rFonts w:asciiTheme="majorBidi" w:hAnsiTheme="majorBidi" w:cstheme="majorBidi"/>
          <w:sz w:val="28"/>
          <w:szCs w:val="28"/>
        </w:rPr>
        <w:t>Commissions of Inquiry and Fact-Finding Missions on International Human Rights and Humanitarian Law – Guidance and Practice, United Nations Human Rights Office of the High Commissioner, 2015</w:t>
      </w:r>
      <w:r>
        <w:rPr>
          <w:rFonts w:asciiTheme="majorBidi" w:hAnsiTheme="majorBidi" w:cstheme="majorBidi"/>
          <w:sz w:val="28"/>
          <w:szCs w:val="28"/>
        </w:rPr>
        <w:t>.</w:t>
      </w:r>
    </w:p>
    <w:p w:rsidR="009B636F" w:rsidRPr="00B726E5" w:rsidRDefault="009B636F" w:rsidP="009B636F">
      <w:pPr>
        <w:pStyle w:val="a5"/>
        <w:bidi w:val="0"/>
        <w:spacing w:line="360" w:lineRule="auto"/>
        <w:jc w:val="both"/>
        <w:rPr>
          <w:rFonts w:asciiTheme="majorBidi" w:hAnsiTheme="majorBidi" w:cstheme="majorBidi"/>
          <w:sz w:val="28"/>
          <w:szCs w:val="28"/>
        </w:rPr>
      </w:pPr>
      <w:hyperlink r:id="rId194" w:history="1">
        <w:r w:rsidRPr="00B726E5">
          <w:rPr>
            <w:rStyle w:val="Hyperlink"/>
            <w:rFonts w:asciiTheme="majorBidi" w:hAnsiTheme="majorBidi" w:cstheme="majorBidi"/>
            <w:sz w:val="28"/>
            <w:szCs w:val="28"/>
          </w:rPr>
          <w:t>http://www.ohchr.org/Documents/Publications/CoI_Guidance_and_Practice.pdf</w:t>
        </w:r>
      </w:hyperlink>
    </w:p>
    <w:p w:rsidR="009B636F" w:rsidRPr="00B726E5" w:rsidRDefault="009B636F" w:rsidP="009B636F">
      <w:pPr>
        <w:pStyle w:val="a5"/>
        <w:bidi w:val="0"/>
        <w:spacing w:line="360" w:lineRule="auto"/>
        <w:jc w:val="both"/>
        <w:rPr>
          <w:rFonts w:asciiTheme="majorBidi" w:hAnsiTheme="majorBidi" w:cstheme="majorBidi"/>
          <w:sz w:val="28"/>
          <w:szCs w:val="28"/>
          <w:rtl/>
        </w:rPr>
      </w:pPr>
    </w:p>
    <w:p w:rsidR="009B636F" w:rsidRPr="00B726E5" w:rsidRDefault="009B636F" w:rsidP="009B636F">
      <w:pPr>
        <w:pStyle w:val="a5"/>
        <w:bidi w:val="0"/>
        <w:spacing w:line="360" w:lineRule="auto"/>
        <w:jc w:val="both"/>
        <w:rPr>
          <w:rFonts w:asciiTheme="majorBidi" w:hAnsiTheme="majorBidi" w:cstheme="majorBidi"/>
          <w:sz w:val="28"/>
          <w:szCs w:val="28"/>
        </w:rPr>
      </w:pPr>
      <w:r w:rsidRPr="00B726E5">
        <w:rPr>
          <w:rFonts w:asciiTheme="majorBidi" w:hAnsiTheme="majorBidi" w:cstheme="majorBidi"/>
          <w:sz w:val="28"/>
          <w:szCs w:val="28"/>
          <w:shd w:val="clear" w:color="auto" w:fill="FFFFFF"/>
        </w:rPr>
        <w:t>Follow-up to the report of the Committee of independent experts in international humanitarian and human rights law established pursuant to Council resolution 13/9, A/HRC/RES/15/6</w:t>
      </w:r>
      <w:r>
        <w:rPr>
          <w:rFonts w:asciiTheme="majorBidi" w:hAnsiTheme="majorBidi" w:cstheme="majorBidi"/>
          <w:sz w:val="28"/>
          <w:szCs w:val="28"/>
          <w:shd w:val="clear" w:color="auto" w:fill="FFFFFF"/>
        </w:rPr>
        <w:t>.</w:t>
      </w:r>
    </w:p>
    <w:p w:rsidR="009B636F" w:rsidRPr="00B726E5" w:rsidRDefault="009B636F" w:rsidP="009B636F">
      <w:pPr>
        <w:pStyle w:val="a5"/>
        <w:bidi w:val="0"/>
        <w:spacing w:line="360" w:lineRule="auto"/>
        <w:jc w:val="both"/>
        <w:rPr>
          <w:rFonts w:asciiTheme="majorBidi" w:hAnsiTheme="majorBidi" w:cstheme="majorBidi"/>
          <w:sz w:val="28"/>
          <w:szCs w:val="28"/>
          <w:shd w:val="clear" w:color="auto" w:fill="FFFFFF"/>
        </w:rPr>
      </w:pPr>
      <w:hyperlink r:id="rId195" w:history="1">
        <w:r w:rsidRPr="00B726E5">
          <w:rPr>
            <w:rStyle w:val="Hyperlink"/>
            <w:rFonts w:asciiTheme="majorBidi" w:hAnsiTheme="majorBidi" w:cstheme="majorBidi"/>
            <w:sz w:val="28"/>
            <w:szCs w:val="28"/>
            <w:shd w:val="clear" w:color="auto" w:fill="FFFFFF"/>
          </w:rPr>
          <w:t>https://documents-dds-ny.un.org/doc/UNDOC/GEN/G10/166/19/PDF/G1016619.pdf?OpenElement</w:t>
        </w:r>
      </w:hyperlink>
    </w:p>
    <w:p w:rsidR="009B636F" w:rsidRPr="00B726E5" w:rsidRDefault="009B636F" w:rsidP="009B636F">
      <w:pPr>
        <w:pStyle w:val="a5"/>
        <w:bidi w:val="0"/>
        <w:spacing w:line="360" w:lineRule="auto"/>
        <w:jc w:val="both"/>
        <w:rPr>
          <w:rFonts w:asciiTheme="majorBidi" w:hAnsiTheme="majorBidi" w:cstheme="majorBidi"/>
          <w:sz w:val="28"/>
          <w:szCs w:val="28"/>
          <w:rtl/>
        </w:rPr>
      </w:pPr>
    </w:p>
    <w:p w:rsidR="009B636F" w:rsidRPr="00B726E5" w:rsidRDefault="009B636F" w:rsidP="009B636F">
      <w:pPr>
        <w:pStyle w:val="a5"/>
        <w:bidi w:val="0"/>
        <w:spacing w:line="360" w:lineRule="auto"/>
        <w:jc w:val="both"/>
        <w:rPr>
          <w:rFonts w:asciiTheme="majorBidi" w:hAnsiTheme="majorBidi" w:cstheme="majorBidi"/>
          <w:sz w:val="28"/>
          <w:szCs w:val="28"/>
        </w:rPr>
      </w:pPr>
      <w:r w:rsidRPr="00B726E5">
        <w:rPr>
          <w:rFonts w:asciiTheme="majorBidi" w:hAnsiTheme="majorBidi" w:cstheme="majorBidi"/>
          <w:sz w:val="28"/>
          <w:szCs w:val="28"/>
        </w:rPr>
        <w:t>Follow-up to the report of the United Nations Fact-Finding Mission on the Gaza Conflict, A/RES/64/10</w:t>
      </w:r>
      <w:r>
        <w:rPr>
          <w:rFonts w:asciiTheme="majorBidi" w:hAnsiTheme="majorBidi" w:cstheme="majorBidi"/>
          <w:sz w:val="28"/>
          <w:szCs w:val="28"/>
        </w:rPr>
        <w:t>.</w:t>
      </w:r>
      <w:r w:rsidRPr="00B726E5">
        <w:rPr>
          <w:rFonts w:asciiTheme="majorBidi" w:hAnsiTheme="majorBidi" w:cstheme="majorBidi"/>
          <w:sz w:val="28"/>
          <w:szCs w:val="28"/>
        </w:rPr>
        <w:t xml:space="preserve"> </w:t>
      </w:r>
    </w:p>
    <w:p w:rsidR="009B636F" w:rsidRPr="00B726E5" w:rsidRDefault="009B636F" w:rsidP="009B636F">
      <w:pPr>
        <w:pStyle w:val="a5"/>
        <w:bidi w:val="0"/>
        <w:spacing w:line="360" w:lineRule="auto"/>
        <w:jc w:val="both"/>
        <w:rPr>
          <w:rFonts w:asciiTheme="majorBidi" w:hAnsiTheme="majorBidi" w:cstheme="majorBidi"/>
          <w:sz w:val="28"/>
          <w:szCs w:val="28"/>
        </w:rPr>
      </w:pPr>
      <w:hyperlink r:id="rId196" w:history="1">
        <w:r w:rsidRPr="00B726E5">
          <w:rPr>
            <w:rStyle w:val="Hyperlink"/>
            <w:rFonts w:asciiTheme="majorBidi" w:hAnsiTheme="majorBidi" w:cstheme="majorBidi"/>
            <w:sz w:val="28"/>
            <w:szCs w:val="28"/>
          </w:rPr>
          <w:t>http://www.un.org/en/ga/search/view_doc.asp?symbol=A/RES/64/10</w:t>
        </w:r>
      </w:hyperlink>
    </w:p>
    <w:p w:rsidR="009B636F" w:rsidRPr="00B726E5" w:rsidRDefault="009B636F" w:rsidP="009B636F">
      <w:pPr>
        <w:bidi w:val="0"/>
        <w:spacing w:after="0" w:line="360" w:lineRule="auto"/>
        <w:jc w:val="both"/>
        <w:rPr>
          <w:rFonts w:asciiTheme="majorBidi" w:eastAsia="Calibri" w:hAnsiTheme="majorBidi" w:cstheme="majorBidi"/>
          <w:color w:val="000000"/>
          <w:sz w:val="28"/>
          <w:szCs w:val="28"/>
        </w:rPr>
      </w:pPr>
    </w:p>
    <w:p w:rsidR="009B636F" w:rsidRPr="00B726E5" w:rsidRDefault="009B636F" w:rsidP="009B636F">
      <w:pPr>
        <w:pStyle w:val="a5"/>
        <w:bidi w:val="0"/>
        <w:spacing w:line="360" w:lineRule="auto"/>
        <w:jc w:val="both"/>
        <w:rPr>
          <w:rFonts w:asciiTheme="majorBidi" w:hAnsiTheme="majorBidi" w:cstheme="majorBidi"/>
          <w:sz w:val="28"/>
          <w:szCs w:val="28"/>
          <w:shd w:val="clear" w:color="auto" w:fill="FFFFFF"/>
        </w:rPr>
      </w:pPr>
      <w:r w:rsidRPr="00B726E5">
        <w:rPr>
          <w:rFonts w:asciiTheme="majorBidi" w:hAnsiTheme="majorBidi" w:cstheme="majorBidi"/>
          <w:sz w:val="28"/>
          <w:szCs w:val="28"/>
          <w:shd w:val="clear" w:color="auto" w:fill="FFFFFF"/>
        </w:rPr>
        <w:t>Follow-up to the report of the United Nations Independent International Fact-Finding Mission on the Gaza Conflict, A/HRC/RES/13/9</w:t>
      </w:r>
      <w:r>
        <w:rPr>
          <w:rFonts w:asciiTheme="majorBidi" w:hAnsiTheme="majorBidi" w:cstheme="majorBidi"/>
          <w:sz w:val="28"/>
          <w:szCs w:val="28"/>
          <w:shd w:val="clear" w:color="auto" w:fill="FFFFFF"/>
        </w:rPr>
        <w:t>.</w:t>
      </w:r>
      <w:r w:rsidRPr="00B726E5">
        <w:rPr>
          <w:rFonts w:asciiTheme="majorBidi" w:hAnsiTheme="majorBidi" w:cstheme="majorBidi"/>
          <w:sz w:val="28"/>
          <w:szCs w:val="28"/>
          <w:shd w:val="clear" w:color="auto" w:fill="FFFFFF"/>
        </w:rPr>
        <w:t xml:space="preserve"> </w:t>
      </w:r>
    </w:p>
    <w:p w:rsidR="009B636F" w:rsidRPr="00B726E5" w:rsidRDefault="009B636F" w:rsidP="009B636F">
      <w:pPr>
        <w:pStyle w:val="a5"/>
        <w:bidi w:val="0"/>
        <w:spacing w:line="360" w:lineRule="auto"/>
        <w:jc w:val="both"/>
        <w:rPr>
          <w:rFonts w:asciiTheme="majorBidi" w:hAnsiTheme="majorBidi" w:cstheme="majorBidi"/>
          <w:sz w:val="28"/>
          <w:szCs w:val="28"/>
          <w:shd w:val="clear" w:color="auto" w:fill="FFFFFF"/>
        </w:rPr>
      </w:pPr>
      <w:hyperlink r:id="rId197" w:history="1">
        <w:r w:rsidRPr="00B726E5">
          <w:rPr>
            <w:rStyle w:val="Hyperlink"/>
            <w:rFonts w:asciiTheme="majorBidi" w:hAnsiTheme="majorBidi" w:cstheme="majorBidi"/>
            <w:sz w:val="28"/>
            <w:szCs w:val="28"/>
            <w:shd w:val="clear" w:color="auto" w:fill="FFFFFF"/>
          </w:rPr>
          <w:t>https://documents-dds-ny.un.org/doc/UNDOC/GEN/G10/128/38/PDF/G1012838.pdf?OpenElement</w:t>
        </w:r>
      </w:hyperlink>
    </w:p>
    <w:p w:rsidR="009B636F" w:rsidRPr="00B726E5" w:rsidRDefault="009B636F" w:rsidP="009B636F">
      <w:pPr>
        <w:pStyle w:val="a5"/>
        <w:bidi w:val="0"/>
        <w:spacing w:line="360" w:lineRule="auto"/>
        <w:jc w:val="both"/>
        <w:rPr>
          <w:rFonts w:asciiTheme="majorBidi" w:hAnsiTheme="majorBidi" w:cstheme="majorBidi"/>
          <w:sz w:val="28"/>
          <w:szCs w:val="28"/>
          <w:rtl/>
        </w:rPr>
      </w:pPr>
    </w:p>
    <w:p w:rsidR="009B636F" w:rsidRPr="00B726E5" w:rsidRDefault="009B636F" w:rsidP="009B636F">
      <w:pPr>
        <w:pStyle w:val="a5"/>
        <w:bidi w:val="0"/>
        <w:spacing w:line="360" w:lineRule="auto"/>
        <w:jc w:val="both"/>
        <w:rPr>
          <w:rFonts w:asciiTheme="majorBidi" w:hAnsiTheme="majorBidi" w:cstheme="majorBidi"/>
          <w:sz w:val="28"/>
          <w:szCs w:val="28"/>
          <w:rtl/>
        </w:rPr>
      </w:pPr>
      <w:r w:rsidRPr="00B726E5">
        <w:rPr>
          <w:rFonts w:asciiTheme="majorBidi" w:hAnsiTheme="majorBidi" w:cstheme="majorBidi"/>
          <w:sz w:val="28"/>
          <w:szCs w:val="28"/>
        </w:rPr>
        <w:t>Guidelines for the Conduct of UN Inquiries into Allegations of Massacres (1995) – DPI/1710</w:t>
      </w:r>
      <w:r>
        <w:rPr>
          <w:rFonts w:asciiTheme="majorBidi" w:hAnsiTheme="majorBidi" w:cstheme="majorBidi"/>
          <w:sz w:val="28"/>
          <w:szCs w:val="28"/>
        </w:rPr>
        <w:t>.</w:t>
      </w:r>
    </w:p>
    <w:p w:rsidR="009B636F" w:rsidRPr="00B726E5" w:rsidRDefault="009B636F" w:rsidP="009B636F">
      <w:pPr>
        <w:pStyle w:val="a5"/>
        <w:bidi w:val="0"/>
        <w:spacing w:line="360" w:lineRule="auto"/>
        <w:jc w:val="both"/>
        <w:rPr>
          <w:rFonts w:asciiTheme="majorBidi" w:hAnsiTheme="majorBidi" w:cstheme="majorBidi"/>
          <w:sz w:val="28"/>
          <w:szCs w:val="28"/>
        </w:rPr>
      </w:pPr>
    </w:p>
    <w:p w:rsidR="009B636F" w:rsidRPr="00B726E5" w:rsidRDefault="009B636F" w:rsidP="009B636F">
      <w:pPr>
        <w:pStyle w:val="a5"/>
        <w:bidi w:val="0"/>
        <w:spacing w:line="360" w:lineRule="auto"/>
        <w:jc w:val="both"/>
        <w:rPr>
          <w:rFonts w:asciiTheme="majorBidi" w:hAnsiTheme="majorBidi" w:cstheme="majorBidi"/>
          <w:sz w:val="28"/>
          <w:szCs w:val="28"/>
        </w:rPr>
      </w:pPr>
      <w:r w:rsidRPr="00B726E5">
        <w:rPr>
          <w:rFonts w:asciiTheme="majorBidi" w:hAnsiTheme="majorBidi" w:cstheme="majorBidi"/>
          <w:sz w:val="28"/>
          <w:szCs w:val="28"/>
        </w:rPr>
        <w:t>Implementation of 18C/Resolution 13.1 and 19C/Resolution 15.1 Concerning Educational and Cultural Institutions in the Occupied Arab Territories: Report of the Director-General on the Mission He Sent to the Arab Territories Occupied by Israel to Collect on--the--spot Information on the Educational and Cultural Situation, UNESCO Doc. 104EX/52</w:t>
      </w:r>
      <w:r>
        <w:rPr>
          <w:rFonts w:asciiTheme="majorBidi" w:hAnsiTheme="majorBidi" w:cstheme="majorBidi"/>
          <w:sz w:val="28"/>
          <w:szCs w:val="28"/>
        </w:rPr>
        <w:t>.</w:t>
      </w:r>
      <w:r w:rsidRPr="00B726E5">
        <w:rPr>
          <w:rFonts w:asciiTheme="majorBidi" w:hAnsiTheme="majorBidi" w:cstheme="majorBidi"/>
          <w:sz w:val="28"/>
          <w:szCs w:val="28"/>
        </w:rPr>
        <w:t xml:space="preserve"> </w:t>
      </w:r>
    </w:p>
    <w:p w:rsidR="009B636F" w:rsidRPr="00B726E5" w:rsidRDefault="009B636F" w:rsidP="009B636F">
      <w:pPr>
        <w:pStyle w:val="a5"/>
        <w:bidi w:val="0"/>
        <w:spacing w:line="360" w:lineRule="auto"/>
        <w:jc w:val="both"/>
        <w:rPr>
          <w:rFonts w:asciiTheme="majorBidi" w:hAnsiTheme="majorBidi" w:cstheme="majorBidi"/>
          <w:sz w:val="28"/>
          <w:szCs w:val="28"/>
        </w:rPr>
      </w:pPr>
      <w:hyperlink r:id="rId198" w:history="1">
        <w:r w:rsidRPr="00B726E5">
          <w:rPr>
            <w:rStyle w:val="Hyperlink"/>
            <w:rFonts w:asciiTheme="majorBidi" w:hAnsiTheme="majorBidi" w:cstheme="majorBidi"/>
            <w:sz w:val="28"/>
            <w:szCs w:val="28"/>
          </w:rPr>
          <w:t>http://unesdoc.unesco.org/images/0002/000285/028517eb.pdf</w:t>
        </w:r>
      </w:hyperlink>
    </w:p>
    <w:p w:rsidR="009B636F" w:rsidRPr="00B726E5" w:rsidRDefault="009B636F" w:rsidP="009B636F">
      <w:pPr>
        <w:pStyle w:val="a5"/>
        <w:bidi w:val="0"/>
        <w:spacing w:line="360" w:lineRule="auto"/>
        <w:jc w:val="both"/>
        <w:rPr>
          <w:rFonts w:asciiTheme="majorBidi" w:hAnsiTheme="majorBidi" w:cstheme="majorBidi"/>
          <w:sz w:val="28"/>
          <w:szCs w:val="28"/>
          <w:rtl/>
        </w:rPr>
      </w:pPr>
    </w:p>
    <w:p w:rsidR="009B636F" w:rsidRPr="00B726E5" w:rsidRDefault="009B636F" w:rsidP="009B636F">
      <w:pPr>
        <w:pStyle w:val="a5"/>
        <w:bidi w:val="0"/>
        <w:spacing w:line="360" w:lineRule="auto"/>
        <w:jc w:val="both"/>
        <w:rPr>
          <w:rFonts w:asciiTheme="majorBidi" w:hAnsiTheme="majorBidi" w:cstheme="majorBidi"/>
          <w:sz w:val="28"/>
          <w:szCs w:val="28"/>
        </w:rPr>
      </w:pPr>
      <w:r w:rsidRPr="00B726E5">
        <w:rPr>
          <w:rFonts w:asciiTheme="majorBidi" w:hAnsiTheme="majorBidi" w:cstheme="majorBidi"/>
          <w:sz w:val="28"/>
          <w:szCs w:val="28"/>
        </w:rPr>
        <w:t>Implementation of 18C/Resolution 13.1, 19C/Resolution 15.1 and 20C/Resolution 14.1, Concerning Educational and Cultural Institutions in the Occupied Arab Territories: Report of the Director General, 5 September 1980</w:t>
      </w:r>
      <w:r>
        <w:rPr>
          <w:rFonts w:asciiTheme="majorBidi" w:hAnsiTheme="majorBidi" w:cstheme="majorBidi"/>
          <w:sz w:val="28"/>
          <w:szCs w:val="28"/>
        </w:rPr>
        <w:t>.</w:t>
      </w:r>
      <w:r w:rsidRPr="00B726E5">
        <w:rPr>
          <w:rFonts w:asciiTheme="majorBidi" w:hAnsiTheme="majorBidi" w:cstheme="majorBidi"/>
          <w:sz w:val="28"/>
          <w:szCs w:val="28"/>
        </w:rPr>
        <w:t xml:space="preserve"> </w:t>
      </w:r>
    </w:p>
    <w:p w:rsidR="009B636F" w:rsidRPr="00B726E5" w:rsidRDefault="009B636F" w:rsidP="009B636F">
      <w:pPr>
        <w:pStyle w:val="a5"/>
        <w:bidi w:val="0"/>
        <w:spacing w:line="360" w:lineRule="auto"/>
        <w:jc w:val="both"/>
        <w:rPr>
          <w:rFonts w:asciiTheme="majorBidi" w:hAnsiTheme="majorBidi" w:cstheme="majorBidi"/>
          <w:sz w:val="28"/>
          <w:szCs w:val="28"/>
        </w:rPr>
      </w:pPr>
      <w:hyperlink r:id="rId199" w:history="1">
        <w:r w:rsidRPr="00B726E5">
          <w:rPr>
            <w:rStyle w:val="Hyperlink"/>
            <w:rFonts w:asciiTheme="majorBidi" w:hAnsiTheme="majorBidi" w:cstheme="majorBidi"/>
            <w:sz w:val="28"/>
            <w:szCs w:val="28"/>
          </w:rPr>
          <w:t>http://unesdoc.unesco.org/images/0004/000418/041803eb.pdf</w:t>
        </w:r>
      </w:hyperlink>
    </w:p>
    <w:p w:rsidR="009B636F" w:rsidRPr="00B726E5" w:rsidRDefault="009B636F" w:rsidP="009B636F">
      <w:pPr>
        <w:pStyle w:val="a5"/>
        <w:bidi w:val="0"/>
        <w:spacing w:line="360" w:lineRule="auto"/>
        <w:jc w:val="both"/>
        <w:rPr>
          <w:rFonts w:asciiTheme="majorBidi" w:hAnsiTheme="majorBidi" w:cstheme="majorBidi"/>
          <w:sz w:val="28"/>
          <w:szCs w:val="28"/>
          <w:rtl/>
        </w:rPr>
      </w:pPr>
    </w:p>
    <w:p w:rsidR="009B636F" w:rsidRPr="00B726E5" w:rsidRDefault="009B636F" w:rsidP="009B636F">
      <w:pPr>
        <w:pStyle w:val="a5"/>
        <w:bidi w:val="0"/>
        <w:spacing w:line="360" w:lineRule="auto"/>
        <w:jc w:val="both"/>
        <w:rPr>
          <w:rFonts w:asciiTheme="majorBidi" w:hAnsiTheme="majorBidi" w:cstheme="majorBidi"/>
          <w:sz w:val="28"/>
          <w:szCs w:val="28"/>
        </w:rPr>
      </w:pPr>
      <w:r w:rsidRPr="00B726E5">
        <w:rPr>
          <w:rFonts w:asciiTheme="majorBidi" w:hAnsiTheme="majorBidi" w:cstheme="majorBidi"/>
          <w:sz w:val="28"/>
          <w:szCs w:val="28"/>
        </w:rPr>
        <w:t>In larger freedom: towards development, security and human rights for all, Report of the Secretary-General, General Assembly, 21 March 2005, paragraph 182, A/59/2005</w:t>
      </w:r>
      <w:r>
        <w:rPr>
          <w:rFonts w:asciiTheme="majorBidi" w:hAnsiTheme="majorBidi" w:cstheme="majorBidi"/>
          <w:sz w:val="28"/>
          <w:szCs w:val="28"/>
        </w:rPr>
        <w:t>.</w:t>
      </w:r>
      <w:r w:rsidRPr="00B726E5">
        <w:rPr>
          <w:rFonts w:asciiTheme="majorBidi" w:hAnsiTheme="majorBidi" w:cstheme="majorBidi"/>
          <w:sz w:val="28"/>
          <w:szCs w:val="28"/>
        </w:rPr>
        <w:t xml:space="preserve"> </w:t>
      </w:r>
    </w:p>
    <w:p w:rsidR="009B636F" w:rsidRPr="00B726E5" w:rsidRDefault="009B636F" w:rsidP="009B636F">
      <w:pPr>
        <w:pStyle w:val="a5"/>
        <w:bidi w:val="0"/>
        <w:spacing w:line="360" w:lineRule="auto"/>
        <w:jc w:val="both"/>
        <w:rPr>
          <w:rFonts w:asciiTheme="majorBidi" w:hAnsiTheme="majorBidi" w:cstheme="majorBidi"/>
          <w:sz w:val="28"/>
          <w:szCs w:val="28"/>
        </w:rPr>
      </w:pPr>
      <w:hyperlink r:id="rId200" w:history="1">
        <w:r w:rsidRPr="00B726E5">
          <w:rPr>
            <w:rStyle w:val="Hyperlink"/>
            <w:rFonts w:asciiTheme="majorBidi" w:hAnsiTheme="majorBidi" w:cstheme="majorBidi"/>
            <w:sz w:val="28"/>
            <w:szCs w:val="28"/>
          </w:rPr>
          <w:t>http://www.un.org/en/ga/search/view_doc.asp?symbol=A/59/2005</w:t>
        </w:r>
      </w:hyperlink>
    </w:p>
    <w:p w:rsidR="009B636F" w:rsidRPr="00B726E5" w:rsidRDefault="009B636F" w:rsidP="009B636F">
      <w:pPr>
        <w:pStyle w:val="a5"/>
        <w:spacing w:line="360" w:lineRule="auto"/>
        <w:jc w:val="both"/>
        <w:rPr>
          <w:rFonts w:asciiTheme="majorBidi" w:hAnsiTheme="majorBidi" w:cstheme="majorBidi"/>
          <w:sz w:val="28"/>
          <w:szCs w:val="28"/>
          <w:rtl/>
        </w:rPr>
      </w:pPr>
    </w:p>
    <w:p w:rsidR="009B636F" w:rsidRPr="00B726E5" w:rsidRDefault="009B636F" w:rsidP="009B636F">
      <w:pPr>
        <w:pStyle w:val="a5"/>
        <w:bidi w:val="0"/>
        <w:spacing w:line="360" w:lineRule="auto"/>
        <w:jc w:val="both"/>
        <w:rPr>
          <w:rFonts w:asciiTheme="majorBidi" w:hAnsiTheme="majorBidi" w:cstheme="majorBidi"/>
          <w:sz w:val="28"/>
          <w:szCs w:val="28"/>
        </w:rPr>
      </w:pPr>
      <w:r w:rsidRPr="00B726E5">
        <w:rPr>
          <w:rFonts w:asciiTheme="majorBidi" w:hAnsiTheme="majorBidi" w:cstheme="majorBidi"/>
          <w:sz w:val="28"/>
          <w:szCs w:val="28"/>
        </w:rPr>
        <w:t>Letter Dated 7 May 1996 from the Secretary-General Addressed to the President of the Security Council, S/1996/337</w:t>
      </w:r>
      <w:r>
        <w:rPr>
          <w:rFonts w:asciiTheme="majorBidi" w:hAnsiTheme="majorBidi" w:cstheme="majorBidi"/>
          <w:sz w:val="28"/>
          <w:szCs w:val="28"/>
        </w:rPr>
        <w:t>.</w:t>
      </w:r>
      <w:r w:rsidRPr="00B726E5">
        <w:rPr>
          <w:rFonts w:asciiTheme="majorBidi" w:hAnsiTheme="majorBidi" w:cstheme="majorBidi"/>
          <w:sz w:val="28"/>
          <w:szCs w:val="28"/>
        </w:rPr>
        <w:t xml:space="preserve"> </w:t>
      </w:r>
    </w:p>
    <w:p w:rsidR="009B636F" w:rsidRPr="00B726E5" w:rsidRDefault="009B636F" w:rsidP="009B636F">
      <w:pPr>
        <w:pStyle w:val="a5"/>
        <w:bidi w:val="0"/>
        <w:spacing w:line="360" w:lineRule="auto"/>
        <w:jc w:val="both"/>
        <w:rPr>
          <w:rFonts w:asciiTheme="majorBidi" w:hAnsiTheme="majorBidi" w:cstheme="majorBidi"/>
          <w:sz w:val="28"/>
          <w:szCs w:val="28"/>
        </w:rPr>
      </w:pPr>
      <w:hyperlink r:id="rId201" w:history="1">
        <w:r w:rsidRPr="00B726E5">
          <w:rPr>
            <w:rStyle w:val="Hyperlink"/>
            <w:rFonts w:asciiTheme="majorBidi" w:hAnsiTheme="majorBidi" w:cstheme="majorBidi"/>
            <w:sz w:val="28"/>
            <w:szCs w:val="28"/>
          </w:rPr>
          <w:t>http://www.un.org/ga/search/view_doc.asp?symbol=S/1996/337</w:t>
        </w:r>
      </w:hyperlink>
    </w:p>
    <w:p w:rsidR="009B636F" w:rsidRPr="00B726E5" w:rsidRDefault="009B636F" w:rsidP="009B636F">
      <w:pPr>
        <w:pStyle w:val="a5"/>
        <w:bidi w:val="0"/>
        <w:spacing w:line="360" w:lineRule="auto"/>
        <w:jc w:val="both"/>
        <w:rPr>
          <w:rFonts w:asciiTheme="majorBidi" w:hAnsiTheme="majorBidi" w:cstheme="majorBidi"/>
          <w:sz w:val="28"/>
          <w:szCs w:val="28"/>
        </w:rPr>
      </w:pPr>
    </w:p>
    <w:p w:rsidR="009B636F" w:rsidRPr="00B726E5" w:rsidRDefault="009B636F" w:rsidP="009B636F">
      <w:pPr>
        <w:pStyle w:val="a5"/>
        <w:bidi w:val="0"/>
        <w:spacing w:line="360" w:lineRule="auto"/>
        <w:jc w:val="both"/>
        <w:rPr>
          <w:rFonts w:asciiTheme="majorBidi" w:hAnsiTheme="majorBidi" w:cstheme="majorBidi"/>
          <w:sz w:val="28"/>
          <w:szCs w:val="28"/>
          <w:shd w:val="clear" w:color="auto" w:fill="FFFFFF"/>
        </w:rPr>
      </w:pPr>
      <w:r w:rsidRPr="00B726E5">
        <w:rPr>
          <w:rFonts w:asciiTheme="majorBidi" w:hAnsiTheme="majorBidi" w:cstheme="majorBidi"/>
          <w:sz w:val="28"/>
          <w:szCs w:val="28"/>
        </w:rPr>
        <w:lastRenderedPageBreak/>
        <w:t>Letter dated 4 May 2009 from the Secretary-General addressed to the President of the Security Council, A/63/855–S/2009/250</w:t>
      </w:r>
      <w:r>
        <w:rPr>
          <w:rFonts w:asciiTheme="majorBidi" w:hAnsiTheme="majorBidi" w:cstheme="majorBidi"/>
          <w:sz w:val="28"/>
          <w:szCs w:val="28"/>
        </w:rPr>
        <w:t>.</w:t>
      </w:r>
      <w:r w:rsidRPr="00B726E5">
        <w:rPr>
          <w:rFonts w:asciiTheme="majorBidi" w:hAnsiTheme="majorBidi" w:cstheme="majorBidi"/>
          <w:sz w:val="28"/>
          <w:szCs w:val="28"/>
        </w:rPr>
        <w:t xml:space="preserve"> </w:t>
      </w:r>
    </w:p>
    <w:p w:rsidR="009B636F" w:rsidRPr="00B726E5" w:rsidRDefault="009B636F" w:rsidP="009B636F">
      <w:pPr>
        <w:pStyle w:val="a5"/>
        <w:bidi w:val="0"/>
        <w:spacing w:line="360" w:lineRule="auto"/>
        <w:jc w:val="both"/>
        <w:rPr>
          <w:rFonts w:asciiTheme="majorBidi" w:hAnsiTheme="majorBidi" w:cstheme="majorBidi"/>
          <w:sz w:val="28"/>
          <w:szCs w:val="28"/>
        </w:rPr>
      </w:pPr>
      <w:hyperlink r:id="rId202" w:history="1">
        <w:r w:rsidRPr="00B726E5">
          <w:rPr>
            <w:rStyle w:val="Hyperlink"/>
            <w:rFonts w:asciiTheme="majorBidi" w:hAnsiTheme="majorBidi" w:cstheme="majorBidi"/>
            <w:sz w:val="28"/>
            <w:szCs w:val="28"/>
          </w:rPr>
          <w:t>http://www.securitycouncilreport.org/atf/cf/%7B65BFCF9B-6D27-4E9C-8CD3-CF6E4FF96FF9%7D/Gaza%20S2009250.pdf</w:t>
        </w:r>
      </w:hyperlink>
    </w:p>
    <w:p w:rsidR="009B636F" w:rsidRPr="00B726E5" w:rsidRDefault="009B636F" w:rsidP="009B636F">
      <w:pPr>
        <w:pStyle w:val="a5"/>
        <w:bidi w:val="0"/>
        <w:spacing w:line="360" w:lineRule="auto"/>
        <w:jc w:val="both"/>
        <w:rPr>
          <w:rFonts w:asciiTheme="majorBidi" w:hAnsiTheme="majorBidi" w:cstheme="majorBidi"/>
          <w:sz w:val="28"/>
          <w:szCs w:val="28"/>
          <w:rtl/>
        </w:rPr>
      </w:pPr>
    </w:p>
    <w:p w:rsidR="009B636F" w:rsidRPr="00B726E5" w:rsidRDefault="009B636F" w:rsidP="009B636F">
      <w:pPr>
        <w:pStyle w:val="a5"/>
        <w:bidi w:val="0"/>
        <w:spacing w:line="360" w:lineRule="auto"/>
        <w:jc w:val="both"/>
        <w:rPr>
          <w:rFonts w:asciiTheme="majorBidi" w:hAnsiTheme="majorBidi" w:cstheme="majorBidi"/>
          <w:sz w:val="28"/>
          <w:szCs w:val="28"/>
        </w:rPr>
      </w:pPr>
      <w:r w:rsidRPr="00B726E5">
        <w:rPr>
          <w:rFonts w:asciiTheme="majorBidi" w:hAnsiTheme="majorBidi" w:cstheme="majorBidi"/>
          <w:sz w:val="28"/>
          <w:szCs w:val="28"/>
        </w:rPr>
        <w:t>Letter dated 28 October 2009 from the Secretary-General addressed to the President of the Security Council, S/2009/556</w:t>
      </w:r>
      <w:r>
        <w:rPr>
          <w:rFonts w:asciiTheme="majorBidi" w:hAnsiTheme="majorBidi" w:cstheme="majorBidi"/>
          <w:sz w:val="28"/>
          <w:szCs w:val="28"/>
        </w:rPr>
        <w:t>.</w:t>
      </w:r>
      <w:r w:rsidRPr="00B726E5">
        <w:rPr>
          <w:rFonts w:asciiTheme="majorBidi" w:hAnsiTheme="majorBidi" w:cstheme="majorBidi"/>
          <w:sz w:val="28"/>
          <w:szCs w:val="28"/>
        </w:rPr>
        <w:t xml:space="preserve"> </w:t>
      </w:r>
    </w:p>
    <w:p w:rsidR="009B636F" w:rsidRPr="00B726E5" w:rsidRDefault="009B636F" w:rsidP="009B636F">
      <w:pPr>
        <w:pStyle w:val="a5"/>
        <w:bidi w:val="0"/>
        <w:spacing w:line="360" w:lineRule="auto"/>
        <w:jc w:val="both"/>
        <w:rPr>
          <w:rFonts w:asciiTheme="majorBidi" w:hAnsiTheme="majorBidi" w:cstheme="majorBidi"/>
          <w:sz w:val="28"/>
          <w:szCs w:val="28"/>
        </w:rPr>
      </w:pPr>
      <w:hyperlink r:id="rId203" w:history="1">
        <w:r w:rsidRPr="00B726E5">
          <w:rPr>
            <w:rStyle w:val="Hyperlink"/>
            <w:rFonts w:asciiTheme="majorBidi" w:hAnsiTheme="majorBidi" w:cstheme="majorBidi"/>
            <w:sz w:val="28"/>
            <w:szCs w:val="28"/>
          </w:rPr>
          <w:t>http://www.securitycouncilreport.org/atf/cf/%7B65BFCF9B-6D27-4E9C-8CD3-CF6E4FF96FF9%7D/Guinea%20S%20PRST%202009%20556.pdf</w:t>
        </w:r>
      </w:hyperlink>
    </w:p>
    <w:p w:rsidR="009B636F" w:rsidRPr="00B726E5" w:rsidRDefault="009B636F" w:rsidP="009B636F">
      <w:pPr>
        <w:pStyle w:val="a5"/>
        <w:bidi w:val="0"/>
        <w:spacing w:line="360" w:lineRule="auto"/>
        <w:jc w:val="both"/>
        <w:rPr>
          <w:rFonts w:asciiTheme="majorBidi" w:hAnsiTheme="majorBidi" w:cstheme="majorBidi"/>
          <w:sz w:val="28"/>
          <w:szCs w:val="28"/>
          <w:rtl/>
        </w:rPr>
      </w:pPr>
    </w:p>
    <w:p w:rsidR="009B636F" w:rsidRPr="00B726E5" w:rsidRDefault="009B636F" w:rsidP="009B636F">
      <w:pPr>
        <w:pStyle w:val="a5"/>
        <w:bidi w:val="0"/>
        <w:spacing w:line="360" w:lineRule="auto"/>
        <w:jc w:val="both"/>
        <w:rPr>
          <w:rFonts w:asciiTheme="majorBidi" w:hAnsiTheme="majorBidi" w:cstheme="majorBidi"/>
          <w:sz w:val="28"/>
          <w:szCs w:val="28"/>
        </w:rPr>
      </w:pPr>
      <w:r w:rsidRPr="00B726E5">
        <w:rPr>
          <w:rFonts w:asciiTheme="majorBidi" w:hAnsiTheme="majorBidi" w:cstheme="majorBidi"/>
          <w:sz w:val="28"/>
          <w:szCs w:val="28"/>
        </w:rPr>
        <w:t>Letter dated 27 April 2015 from the Secretary-General addressed to the President of the Security Council, S/2015/286</w:t>
      </w:r>
      <w:r>
        <w:rPr>
          <w:rFonts w:asciiTheme="majorBidi" w:hAnsiTheme="majorBidi" w:cstheme="majorBidi"/>
          <w:sz w:val="28"/>
          <w:szCs w:val="28"/>
        </w:rPr>
        <w:t>.</w:t>
      </w:r>
      <w:r w:rsidRPr="00B726E5">
        <w:rPr>
          <w:rFonts w:asciiTheme="majorBidi" w:hAnsiTheme="majorBidi" w:cstheme="majorBidi"/>
          <w:sz w:val="28"/>
          <w:szCs w:val="28"/>
        </w:rPr>
        <w:t xml:space="preserve"> </w:t>
      </w:r>
    </w:p>
    <w:p w:rsidR="009B636F" w:rsidRPr="00B726E5" w:rsidRDefault="009B636F" w:rsidP="009B636F">
      <w:pPr>
        <w:pStyle w:val="a5"/>
        <w:bidi w:val="0"/>
        <w:spacing w:line="360" w:lineRule="auto"/>
        <w:jc w:val="both"/>
        <w:rPr>
          <w:rFonts w:asciiTheme="majorBidi" w:hAnsiTheme="majorBidi" w:cstheme="majorBidi"/>
          <w:sz w:val="28"/>
          <w:szCs w:val="28"/>
        </w:rPr>
      </w:pPr>
      <w:hyperlink r:id="rId204" w:history="1">
        <w:r w:rsidRPr="00B726E5">
          <w:rPr>
            <w:rStyle w:val="Hyperlink"/>
            <w:rFonts w:asciiTheme="majorBidi" w:hAnsiTheme="majorBidi" w:cstheme="majorBidi"/>
            <w:sz w:val="28"/>
            <w:szCs w:val="28"/>
          </w:rPr>
          <w:t>http://www.un.org/en/ga/search/view_doc.asp?symbol=S/2015/286</w:t>
        </w:r>
      </w:hyperlink>
    </w:p>
    <w:p w:rsidR="009B636F" w:rsidRPr="00B726E5" w:rsidRDefault="009B636F" w:rsidP="009B636F">
      <w:pPr>
        <w:bidi w:val="0"/>
        <w:spacing w:after="0" w:line="360" w:lineRule="auto"/>
        <w:jc w:val="both"/>
        <w:rPr>
          <w:rFonts w:asciiTheme="majorBidi" w:hAnsiTheme="majorBidi" w:cstheme="majorBidi"/>
          <w:sz w:val="28"/>
          <w:szCs w:val="28"/>
        </w:rPr>
      </w:pPr>
    </w:p>
    <w:p w:rsidR="009B636F" w:rsidRPr="00B726E5" w:rsidRDefault="009B636F" w:rsidP="009B636F">
      <w:pPr>
        <w:bidi w:val="0"/>
        <w:spacing w:after="0" w:line="360" w:lineRule="auto"/>
        <w:jc w:val="both"/>
        <w:rPr>
          <w:rFonts w:asciiTheme="majorBidi" w:eastAsia="Calibri" w:hAnsiTheme="majorBidi" w:cstheme="majorBidi"/>
          <w:color w:val="000000"/>
          <w:sz w:val="28"/>
          <w:szCs w:val="28"/>
        </w:rPr>
      </w:pPr>
      <w:r w:rsidRPr="00B726E5">
        <w:rPr>
          <w:rFonts w:asciiTheme="majorBidi" w:eastAsia="Calibri" w:hAnsiTheme="majorBidi" w:cstheme="majorBidi"/>
          <w:color w:val="000000"/>
          <w:sz w:val="28"/>
          <w:szCs w:val="28"/>
        </w:rPr>
        <w:t>Near verbatim transcript of press conference by the President of the Human Rights Council, Martin Ihoeghian</w:t>
      </w:r>
      <w:r>
        <w:rPr>
          <w:rFonts w:asciiTheme="majorBidi" w:eastAsia="Calibri" w:hAnsiTheme="majorBidi" w:cstheme="majorBidi"/>
          <w:color w:val="000000"/>
          <w:sz w:val="28"/>
          <w:szCs w:val="28"/>
        </w:rPr>
        <w:t xml:space="preserve"> </w:t>
      </w:r>
      <w:r w:rsidRPr="00B726E5">
        <w:rPr>
          <w:rFonts w:asciiTheme="majorBidi" w:eastAsia="Calibri" w:hAnsiTheme="majorBidi" w:cstheme="majorBidi"/>
          <w:color w:val="000000"/>
          <w:sz w:val="28"/>
          <w:szCs w:val="28"/>
        </w:rPr>
        <w:t>Uhomoibhi (Nigeria) and Justice Richard J. Goldstone on the announcement of the Human Rights Council fact-finding mission on the conflict in the Gaza Strip, Geneva, 3 April 2009</w:t>
      </w:r>
      <w:r>
        <w:rPr>
          <w:rFonts w:asciiTheme="majorBidi" w:eastAsia="Calibri" w:hAnsiTheme="majorBidi" w:cstheme="majorBidi"/>
          <w:color w:val="000000"/>
          <w:sz w:val="28"/>
          <w:szCs w:val="28"/>
        </w:rPr>
        <w:t>.</w:t>
      </w:r>
      <w:r w:rsidRPr="00B726E5">
        <w:rPr>
          <w:rFonts w:asciiTheme="majorBidi" w:eastAsia="Calibri" w:hAnsiTheme="majorBidi" w:cstheme="majorBidi"/>
          <w:color w:val="000000"/>
          <w:sz w:val="28"/>
          <w:szCs w:val="28"/>
        </w:rPr>
        <w:t xml:space="preserve"> </w:t>
      </w:r>
    </w:p>
    <w:p w:rsidR="009B636F" w:rsidRPr="00057035" w:rsidRDefault="009B636F" w:rsidP="009B636F">
      <w:pPr>
        <w:bidi w:val="0"/>
        <w:spacing w:after="0" w:line="360" w:lineRule="auto"/>
        <w:jc w:val="both"/>
        <w:rPr>
          <w:rStyle w:val="Hyperlink"/>
          <w:rFonts w:asciiTheme="majorBidi" w:hAnsiTheme="majorBidi" w:cstheme="majorBidi"/>
          <w:sz w:val="28"/>
          <w:szCs w:val="28"/>
        </w:rPr>
      </w:pPr>
      <w:hyperlink r:id="rId205" w:history="1">
        <w:r w:rsidRPr="00057035">
          <w:rPr>
            <w:rStyle w:val="Hyperlink"/>
            <w:rFonts w:asciiTheme="majorBidi" w:hAnsiTheme="majorBidi" w:cstheme="majorBidi"/>
            <w:sz w:val="28"/>
            <w:szCs w:val="28"/>
          </w:rPr>
          <w:t>https://www.google.co.il/url?sa=t&amp;rct=j&amp;q=&amp;esrc=s&amp;source=web&amp;cd=1&amp;ved=0ahUKEwj74Pejq8HMAhUMDxoKHXGPB9wQFggbMAA&amp;url=http%3A%2F%2Fwww.ohchr.org%2FDocuments%2FHRBodies%2FHRCouncil%2FSpecialSession%2FSession9%2FTranscriptPressBriefing03042009.doc&amp;usg=AFQjCNEkx-3y0o0CO28KuhDdAc6rV-Y87A&amp;sig2=HbD_Rp_ClxEXo2Jl5QG-hQ</w:t>
        </w:r>
      </w:hyperlink>
    </w:p>
    <w:p w:rsidR="009B636F" w:rsidRPr="00B726E5" w:rsidRDefault="009B636F" w:rsidP="009B636F">
      <w:pPr>
        <w:pStyle w:val="a5"/>
        <w:spacing w:line="360" w:lineRule="auto"/>
        <w:jc w:val="both"/>
        <w:rPr>
          <w:rFonts w:asciiTheme="majorBidi" w:hAnsiTheme="majorBidi" w:cstheme="majorBidi"/>
          <w:sz w:val="28"/>
          <w:szCs w:val="28"/>
          <w:rtl/>
        </w:rPr>
      </w:pPr>
    </w:p>
    <w:p w:rsidR="009B636F" w:rsidRPr="00B726E5" w:rsidRDefault="009B636F" w:rsidP="009B636F">
      <w:pPr>
        <w:pStyle w:val="a5"/>
        <w:bidi w:val="0"/>
        <w:spacing w:line="360" w:lineRule="auto"/>
        <w:jc w:val="both"/>
        <w:rPr>
          <w:rFonts w:asciiTheme="majorBidi" w:hAnsiTheme="majorBidi" w:cstheme="majorBidi"/>
          <w:sz w:val="28"/>
          <w:szCs w:val="28"/>
        </w:rPr>
      </w:pPr>
      <w:r w:rsidRPr="00B726E5">
        <w:rPr>
          <w:rFonts w:asciiTheme="majorBidi" w:hAnsiTheme="majorBidi" w:cstheme="majorBidi"/>
          <w:sz w:val="28"/>
          <w:szCs w:val="28"/>
        </w:rPr>
        <w:t>Note by the High Commissioner for Human Rights transmitting the report of the International Commission of Inquiry for Togo, E/CN.4/2001/134</w:t>
      </w:r>
      <w:r>
        <w:rPr>
          <w:rFonts w:asciiTheme="majorBidi" w:hAnsiTheme="majorBidi" w:cstheme="majorBidi"/>
          <w:sz w:val="28"/>
          <w:szCs w:val="28"/>
        </w:rPr>
        <w:t>.</w:t>
      </w:r>
      <w:r w:rsidRPr="00B726E5">
        <w:rPr>
          <w:rFonts w:asciiTheme="majorBidi" w:hAnsiTheme="majorBidi" w:cstheme="majorBidi"/>
          <w:sz w:val="28"/>
          <w:szCs w:val="28"/>
        </w:rPr>
        <w:t xml:space="preserve"> </w:t>
      </w:r>
    </w:p>
    <w:p w:rsidR="009B636F" w:rsidRPr="00B726E5" w:rsidRDefault="009B636F" w:rsidP="009B636F">
      <w:pPr>
        <w:pStyle w:val="a5"/>
        <w:bidi w:val="0"/>
        <w:spacing w:line="360" w:lineRule="auto"/>
        <w:jc w:val="both"/>
        <w:rPr>
          <w:rFonts w:asciiTheme="majorBidi" w:hAnsiTheme="majorBidi" w:cstheme="majorBidi"/>
          <w:sz w:val="28"/>
          <w:szCs w:val="28"/>
        </w:rPr>
      </w:pPr>
      <w:hyperlink r:id="rId206" w:history="1">
        <w:r w:rsidRPr="00B726E5">
          <w:rPr>
            <w:rStyle w:val="Hyperlink"/>
            <w:rFonts w:asciiTheme="majorBidi" w:hAnsiTheme="majorBidi" w:cstheme="majorBidi"/>
            <w:sz w:val="28"/>
            <w:szCs w:val="28"/>
          </w:rPr>
          <w:t>https://documents-dds-ny.un.org/doc/UNDOC/GEN/G01/115/25/PDF/G0111525.pdf?OpenElement</w:t>
        </w:r>
      </w:hyperlink>
    </w:p>
    <w:p w:rsidR="009B636F" w:rsidRPr="00B726E5" w:rsidRDefault="009B636F" w:rsidP="009B636F">
      <w:pPr>
        <w:pStyle w:val="a5"/>
        <w:bidi w:val="0"/>
        <w:spacing w:line="360" w:lineRule="auto"/>
        <w:jc w:val="both"/>
        <w:rPr>
          <w:rFonts w:asciiTheme="majorBidi" w:hAnsiTheme="majorBidi" w:cstheme="majorBidi"/>
          <w:sz w:val="28"/>
          <w:szCs w:val="28"/>
          <w:rtl/>
        </w:rPr>
      </w:pPr>
    </w:p>
    <w:p w:rsidR="009B636F" w:rsidRPr="00B726E5" w:rsidRDefault="009B636F" w:rsidP="009B636F">
      <w:pPr>
        <w:pStyle w:val="a5"/>
        <w:bidi w:val="0"/>
        <w:spacing w:line="360" w:lineRule="auto"/>
        <w:jc w:val="both"/>
        <w:rPr>
          <w:rFonts w:asciiTheme="majorBidi" w:hAnsiTheme="majorBidi" w:cstheme="majorBidi"/>
          <w:sz w:val="28"/>
          <w:szCs w:val="28"/>
        </w:rPr>
      </w:pPr>
      <w:r w:rsidRPr="00B726E5">
        <w:rPr>
          <w:rFonts w:asciiTheme="majorBidi" w:hAnsiTheme="majorBidi" w:cstheme="majorBidi"/>
          <w:sz w:val="28"/>
          <w:szCs w:val="28"/>
        </w:rPr>
        <w:t>Note to the Chef de Cabinet, Executive Office of the Secretary-General, on the establishment of a commission of inquiry into the assassination of Benazir Bhutto, United Nations Juridical Yearbook 2008, Part 2, Chapter VI, p. 434</w:t>
      </w:r>
      <w:r>
        <w:rPr>
          <w:rFonts w:asciiTheme="majorBidi" w:hAnsiTheme="majorBidi" w:cstheme="majorBidi"/>
          <w:sz w:val="28"/>
          <w:szCs w:val="28"/>
        </w:rPr>
        <w:t>.</w:t>
      </w:r>
      <w:r w:rsidRPr="00B726E5">
        <w:rPr>
          <w:rFonts w:asciiTheme="majorBidi" w:hAnsiTheme="majorBidi" w:cstheme="majorBidi"/>
          <w:sz w:val="28"/>
          <w:szCs w:val="28"/>
        </w:rPr>
        <w:t xml:space="preserve"> </w:t>
      </w:r>
    </w:p>
    <w:p w:rsidR="009B636F" w:rsidRPr="00B726E5" w:rsidRDefault="009B636F" w:rsidP="009B636F">
      <w:pPr>
        <w:pStyle w:val="a5"/>
        <w:bidi w:val="0"/>
        <w:spacing w:line="360" w:lineRule="auto"/>
        <w:jc w:val="both"/>
        <w:rPr>
          <w:rFonts w:asciiTheme="majorBidi" w:hAnsiTheme="majorBidi" w:cstheme="majorBidi"/>
          <w:sz w:val="28"/>
          <w:szCs w:val="28"/>
        </w:rPr>
      </w:pPr>
      <w:hyperlink r:id="rId207" w:history="1">
        <w:r w:rsidRPr="00B726E5">
          <w:rPr>
            <w:rStyle w:val="Hyperlink"/>
            <w:rFonts w:asciiTheme="majorBidi" w:hAnsiTheme="majorBidi" w:cstheme="majorBidi"/>
            <w:sz w:val="28"/>
            <w:szCs w:val="28"/>
          </w:rPr>
          <w:t>http://legal.un.org/UNJuridicalYearbook/html/volumes/2008/dtSearch/Search_Forms/dtSearch.html</w:t>
        </w:r>
      </w:hyperlink>
    </w:p>
    <w:p w:rsidR="009B636F" w:rsidRPr="00B726E5" w:rsidRDefault="009B636F" w:rsidP="009B636F">
      <w:pPr>
        <w:pStyle w:val="a5"/>
        <w:bidi w:val="0"/>
        <w:spacing w:line="360" w:lineRule="auto"/>
        <w:jc w:val="both"/>
        <w:rPr>
          <w:rFonts w:asciiTheme="majorBidi" w:hAnsiTheme="majorBidi" w:cstheme="majorBidi"/>
          <w:sz w:val="28"/>
          <w:szCs w:val="28"/>
          <w:rtl/>
        </w:rPr>
      </w:pPr>
    </w:p>
    <w:p w:rsidR="009B636F" w:rsidRPr="00B726E5" w:rsidRDefault="009B636F" w:rsidP="009B636F">
      <w:pPr>
        <w:pStyle w:val="a5"/>
        <w:bidi w:val="0"/>
        <w:spacing w:line="360" w:lineRule="auto"/>
        <w:jc w:val="both"/>
        <w:rPr>
          <w:rFonts w:asciiTheme="majorBidi" w:eastAsia="Times New Roman" w:hAnsiTheme="majorBidi" w:cstheme="majorBidi"/>
          <w:sz w:val="28"/>
          <w:szCs w:val="28"/>
        </w:rPr>
      </w:pPr>
      <w:r w:rsidRPr="00B726E5">
        <w:rPr>
          <w:rFonts w:asciiTheme="majorBidi" w:hAnsiTheme="majorBidi" w:cstheme="majorBidi"/>
          <w:sz w:val="28"/>
          <w:szCs w:val="28"/>
        </w:rPr>
        <w:t xml:space="preserve">Public Hearings, </w:t>
      </w:r>
      <w:r w:rsidRPr="00B726E5">
        <w:rPr>
          <w:rFonts w:asciiTheme="majorBidi" w:eastAsia="Times New Roman" w:hAnsiTheme="majorBidi" w:cstheme="majorBidi"/>
          <w:sz w:val="28"/>
          <w:szCs w:val="28"/>
        </w:rPr>
        <w:t>United Nations Fact Finding Mission on the Gaza conflict</w:t>
      </w:r>
      <w:r>
        <w:rPr>
          <w:rFonts w:asciiTheme="majorBidi" w:eastAsia="Times New Roman" w:hAnsiTheme="majorBidi" w:cstheme="majorBidi"/>
          <w:sz w:val="28"/>
          <w:szCs w:val="28"/>
        </w:rPr>
        <w:t>.</w:t>
      </w:r>
      <w:r w:rsidRPr="00B726E5">
        <w:rPr>
          <w:rFonts w:asciiTheme="majorBidi" w:eastAsia="Times New Roman" w:hAnsiTheme="majorBidi" w:cstheme="majorBidi"/>
          <w:sz w:val="28"/>
          <w:szCs w:val="28"/>
        </w:rPr>
        <w:t xml:space="preserve"> </w:t>
      </w:r>
    </w:p>
    <w:p w:rsidR="009B636F" w:rsidRPr="00B726E5" w:rsidRDefault="009B636F" w:rsidP="009B636F">
      <w:pPr>
        <w:pStyle w:val="a5"/>
        <w:bidi w:val="0"/>
        <w:spacing w:line="360" w:lineRule="auto"/>
        <w:jc w:val="both"/>
        <w:rPr>
          <w:rFonts w:asciiTheme="majorBidi" w:hAnsiTheme="majorBidi" w:cstheme="majorBidi"/>
          <w:sz w:val="28"/>
          <w:szCs w:val="28"/>
        </w:rPr>
      </w:pPr>
      <w:hyperlink r:id="rId208" w:history="1">
        <w:r w:rsidRPr="00B726E5">
          <w:rPr>
            <w:rStyle w:val="Hyperlink"/>
            <w:rFonts w:asciiTheme="majorBidi" w:eastAsia="Times New Roman" w:hAnsiTheme="majorBidi" w:cstheme="majorBidi"/>
            <w:sz w:val="28"/>
            <w:szCs w:val="28"/>
          </w:rPr>
          <w:t>http://www.ohchr.org/EN/HRBodies/HRC/SpecialSessions/Session9/Pages/FactFindingMission.aspx</w:t>
        </w:r>
      </w:hyperlink>
    </w:p>
    <w:p w:rsidR="009B636F" w:rsidRPr="00B726E5" w:rsidRDefault="009B636F" w:rsidP="009B636F">
      <w:pPr>
        <w:pStyle w:val="a5"/>
        <w:bidi w:val="0"/>
        <w:spacing w:line="360" w:lineRule="auto"/>
        <w:jc w:val="both"/>
        <w:rPr>
          <w:rFonts w:asciiTheme="majorBidi" w:eastAsia="Arial Unicode MS" w:hAnsiTheme="majorBidi" w:cstheme="majorBidi"/>
          <w:sz w:val="28"/>
          <w:szCs w:val="28"/>
          <w:u w:color="000000"/>
        </w:rPr>
      </w:pPr>
    </w:p>
    <w:p w:rsidR="009B636F" w:rsidRPr="00B726E5" w:rsidRDefault="009B636F" w:rsidP="009B636F">
      <w:pPr>
        <w:pStyle w:val="a5"/>
        <w:bidi w:val="0"/>
        <w:spacing w:line="360" w:lineRule="auto"/>
        <w:jc w:val="both"/>
        <w:rPr>
          <w:rFonts w:asciiTheme="majorBidi" w:hAnsiTheme="majorBidi" w:cstheme="majorBidi"/>
          <w:sz w:val="28"/>
          <w:szCs w:val="28"/>
        </w:rPr>
      </w:pPr>
      <w:r w:rsidRPr="00B726E5">
        <w:rPr>
          <w:rFonts w:asciiTheme="majorBidi" w:hAnsiTheme="majorBidi" w:cstheme="majorBidi"/>
          <w:sz w:val="28"/>
          <w:szCs w:val="28"/>
        </w:rPr>
        <w:t>Question of the violation of human rights in the occupied Arab territories, including Palestine - Report of the human rights inquiry commission, E/CN.4/2001/121</w:t>
      </w:r>
      <w:r>
        <w:rPr>
          <w:rFonts w:asciiTheme="majorBidi" w:hAnsiTheme="majorBidi" w:cstheme="majorBidi"/>
          <w:sz w:val="28"/>
          <w:szCs w:val="28"/>
        </w:rPr>
        <w:t>.</w:t>
      </w:r>
      <w:r w:rsidRPr="00B726E5">
        <w:rPr>
          <w:rFonts w:asciiTheme="majorBidi" w:hAnsiTheme="majorBidi" w:cstheme="majorBidi"/>
          <w:sz w:val="28"/>
          <w:szCs w:val="28"/>
        </w:rPr>
        <w:t xml:space="preserve"> </w:t>
      </w:r>
    </w:p>
    <w:p w:rsidR="009B636F" w:rsidRPr="00B726E5" w:rsidRDefault="009B636F" w:rsidP="009B636F">
      <w:pPr>
        <w:pStyle w:val="a5"/>
        <w:bidi w:val="0"/>
        <w:spacing w:line="360" w:lineRule="auto"/>
        <w:jc w:val="both"/>
        <w:rPr>
          <w:rFonts w:asciiTheme="majorBidi" w:hAnsiTheme="majorBidi" w:cstheme="majorBidi"/>
          <w:sz w:val="28"/>
          <w:szCs w:val="28"/>
        </w:rPr>
      </w:pPr>
      <w:hyperlink r:id="rId209" w:history="1">
        <w:r w:rsidRPr="00B726E5">
          <w:rPr>
            <w:rStyle w:val="Hyperlink"/>
            <w:rFonts w:asciiTheme="majorBidi" w:hAnsiTheme="majorBidi" w:cstheme="majorBidi"/>
            <w:sz w:val="28"/>
            <w:szCs w:val="28"/>
          </w:rPr>
          <w:t>https://documents-dds-ny.un.org/doc/UNDOC/GEN/G01/118/72/PDF/G0111872.pdf?OpenElement</w:t>
        </w:r>
      </w:hyperlink>
    </w:p>
    <w:p w:rsidR="009B636F" w:rsidRPr="00B726E5" w:rsidRDefault="009B636F" w:rsidP="009B636F">
      <w:pPr>
        <w:pStyle w:val="a5"/>
        <w:bidi w:val="0"/>
        <w:spacing w:line="360" w:lineRule="auto"/>
        <w:jc w:val="both"/>
        <w:rPr>
          <w:rFonts w:asciiTheme="majorBidi" w:hAnsiTheme="majorBidi" w:cstheme="majorBidi"/>
          <w:sz w:val="28"/>
          <w:szCs w:val="28"/>
          <w:rtl/>
        </w:rPr>
      </w:pPr>
    </w:p>
    <w:p w:rsidR="009B636F" w:rsidRPr="00B726E5" w:rsidRDefault="009B636F" w:rsidP="009B636F">
      <w:pPr>
        <w:pStyle w:val="a5"/>
        <w:bidi w:val="0"/>
        <w:spacing w:line="360" w:lineRule="auto"/>
        <w:jc w:val="both"/>
        <w:rPr>
          <w:rFonts w:asciiTheme="majorBidi" w:hAnsiTheme="majorBidi" w:cstheme="majorBidi"/>
          <w:sz w:val="28"/>
          <w:szCs w:val="28"/>
        </w:rPr>
      </w:pPr>
      <w:r w:rsidRPr="00B726E5">
        <w:rPr>
          <w:rFonts w:asciiTheme="majorBidi" w:hAnsiTheme="majorBidi" w:cstheme="majorBidi"/>
          <w:sz w:val="28"/>
          <w:szCs w:val="28"/>
        </w:rPr>
        <w:t>Report by the Director-General on the Situation with Regard to National Education and Cultural Life in the Occupied Arab Territories, UNESCO Doc. 18C/16, at 3, para. 1 (1974)</w:t>
      </w:r>
      <w:r>
        <w:rPr>
          <w:rFonts w:asciiTheme="majorBidi" w:hAnsiTheme="majorBidi" w:cstheme="majorBidi"/>
          <w:sz w:val="28"/>
          <w:szCs w:val="28"/>
        </w:rPr>
        <w:t>.</w:t>
      </w:r>
      <w:r w:rsidRPr="00B726E5">
        <w:rPr>
          <w:rFonts w:asciiTheme="majorBidi" w:hAnsiTheme="majorBidi" w:cstheme="majorBidi"/>
          <w:sz w:val="28"/>
          <w:szCs w:val="28"/>
        </w:rPr>
        <w:t xml:space="preserve"> </w:t>
      </w:r>
    </w:p>
    <w:p w:rsidR="009B636F" w:rsidRPr="00B726E5" w:rsidRDefault="009B636F" w:rsidP="009B636F">
      <w:pPr>
        <w:pStyle w:val="a5"/>
        <w:bidi w:val="0"/>
        <w:spacing w:line="360" w:lineRule="auto"/>
        <w:jc w:val="both"/>
        <w:rPr>
          <w:rFonts w:asciiTheme="majorBidi" w:hAnsiTheme="majorBidi" w:cstheme="majorBidi"/>
          <w:sz w:val="28"/>
          <w:szCs w:val="28"/>
        </w:rPr>
      </w:pPr>
      <w:hyperlink r:id="rId210" w:history="1">
        <w:r w:rsidRPr="00B726E5">
          <w:rPr>
            <w:rStyle w:val="Hyperlink"/>
            <w:rFonts w:asciiTheme="majorBidi" w:hAnsiTheme="majorBidi" w:cstheme="majorBidi"/>
            <w:sz w:val="28"/>
            <w:szCs w:val="28"/>
          </w:rPr>
          <w:t>http://unesdoc.unesco.org/images/0001/000104/010428eb.pdf</w:t>
        </w:r>
      </w:hyperlink>
    </w:p>
    <w:p w:rsidR="009B636F" w:rsidRPr="00B726E5" w:rsidRDefault="009B636F" w:rsidP="009B636F">
      <w:pPr>
        <w:pStyle w:val="a5"/>
        <w:bidi w:val="0"/>
        <w:spacing w:line="360" w:lineRule="auto"/>
        <w:jc w:val="both"/>
        <w:rPr>
          <w:rFonts w:asciiTheme="majorBidi" w:hAnsiTheme="majorBidi" w:cstheme="majorBidi"/>
          <w:sz w:val="28"/>
          <w:szCs w:val="28"/>
          <w:rtl/>
        </w:rPr>
      </w:pPr>
    </w:p>
    <w:p w:rsidR="009B636F" w:rsidRPr="00B726E5" w:rsidRDefault="009B636F" w:rsidP="009B636F">
      <w:pPr>
        <w:pStyle w:val="a5"/>
        <w:bidi w:val="0"/>
        <w:spacing w:line="360" w:lineRule="auto"/>
        <w:jc w:val="both"/>
        <w:rPr>
          <w:rFonts w:asciiTheme="majorBidi" w:hAnsiTheme="majorBidi" w:cstheme="majorBidi"/>
          <w:sz w:val="28"/>
          <w:szCs w:val="28"/>
        </w:rPr>
      </w:pPr>
      <w:r w:rsidRPr="00B726E5">
        <w:rPr>
          <w:rFonts w:asciiTheme="majorBidi" w:hAnsiTheme="majorBidi" w:cstheme="majorBidi"/>
          <w:sz w:val="28"/>
          <w:szCs w:val="28"/>
        </w:rPr>
        <w:lastRenderedPageBreak/>
        <w:t>Report of the Committee of independent experts in international humanitarian and human rights law established pursuant to Council resolution 13/9, A/HRC/16/24</w:t>
      </w:r>
      <w:r>
        <w:rPr>
          <w:rFonts w:asciiTheme="majorBidi" w:hAnsiTheme="majorBidi" w:cstheme="majorBidi"/>
          <w:sz w:val="28"/>
          <w:szCs w:val="28"/>
        </w:rPr>
        <w:t>.</w:t>
      </w:r>
      <w:r w:rsidRPr="00B726E5">
        <w:rPr>
          <w:rFonts w:asciiTheme="majorBidi" w:hAnsiTheme="majorBidi" w:cstheme="majorBidi"/>
          <w:sz w:val="28"/>
          <w:szCs w:val="28"/>
        </w:rPr>
        <w:t xml:space="preserve"> </w:t>
      </w:r>
    </w:p>
    <w:p w:rsidR="009B636F" w:rsidRPr="00B726E5" w:rsidRDefault="009B636F" w:rsidP="009B636F">
      <w:pPr>
        <w:pStyle w:val="a5"/>
        <w:bidi w:val="0"/>
        <w:spacing w:line="360" w:lineRule="auto"/>
        <w:jc w:val="both"/>
        <w:rPr>
          <w:rFonts w:asciiTheme="majorBidi" w:hAnsiTheme="majorBidi" w:cstheme="majorBidi"/>
          <w:sz w:val="28"/>
          <w:szCs w:val="28"/>
        </w:rPr>
      </w:pPr>
      <w:hyperlink r:id="rId211" w:history="1">
        <w:r w:rsidRPr="00B726E5">
          <w:rPr>
            <w:rStyle w:val="Hyperlink"/>
            <w:rFonts w:asciiTheme="majorBidi" w:hAnsiTheme="majorBidi" w:cstheme="majorBidi"/>
            <w:sz w:val="28"/>
            <w:szCs w:val="28"/>
          </w:rPr>
          <w:t>http://www2.ohchr.org/english/bodies/hrcouncil/docs/16session/A.HRC.16.24_AUV.pdf</w:t>
        </w:r>
      </w:hyperlink>
    </w:p>
    <w:p w:rsidR="009B636F" w:rsidRPr="00B726E5" w:rsidRDefault="009B636F" w:rsidP="009B636F">
      <w:pPr>
        <w:pStyle w:val="a5"/>
        <w:bidi w:val="0"/>
        <w:spacing w:line="360" w:lineRule="auto"/>
        <w:jc w:val="both"/>
        <w:rPr>
          <w:rFonts w:asciiTheme="majorBidi" w:hAnsiTheme="majorBidi" w:cstheme="majorBidi"/>
          <w:sz w:val="28"/>
          <w:szCs w:val="28"/>
          <w:rtl/>
        </w:rPr>
      </w:pPr>
    </w:p>
    <w:p w:rsidR="009B636F" w:rsidRPr="00B726E5" w:rsidRDefault="009B636F" w:rsidP="009B636F">
      <w:pPr>
        <w:bidi w:val="0"/>
        <w:spacing w:after="0" w:line="360" w:lineRule="auto"/>
        <w:jc w:val="both"/>
        <w:rPr>
          <w:rFonts w:asciiTheme="majorBidi" w:hAnsiTheme="majorBidi" w:cstheme="majorBidi"/>
          <w:sz w:val="28"/>
          <w:szCs w:val="28"/>
          <w:shd w:val="clear" w:color="auto" w:fill="FFFFFF"/>
        </w:rPr>
      </w:pPr>
      <w:r w:rsidRPr="00B726E5">
        <w:rPr>
          <w:rFonts w:asciiTheme="majorBidi" w:hAnsiTheme="majorBidi" w:cstheme="majorBidi"/>
          <w:sz w:val="28"/>
          <w:szCs w:val="28"/>
          <w:shd w:val="clear" w:color="auto" w:fill="FFFFFF"/>
        </w:rPr>
        <w:t>Report of the Committee of independent experts in international humanitarian and human rights laws to monitor and assess any domestic, legal or other proceedings undertaken by both the Government of Israel and the Palestinian side, in the light of General Assembly resolution 64/254, including the independence, effectiveness, genuineness of these investigations and their conformity with international standards, A/HRC/15/50</w:t>
      </w:r>
      <w:r>
        <w:rPr>
          <w:rFonts w:asciiTheme="majorBidi" w:hAnsiTheme="majorBidi" w:cstheme="majorBidi"/>
          <w:sz w:val="28"/>
          <w:szCs w:val="28"/>
          <w:shd w:val="clear" w:color="auto" w:fill="FFFFFF"/>
        </w:rPr>
        <w:t>.</w:t>
      </w:r>
      <w:r w:rsidRPr="00B726E5">
        <w:rPr>
          <w:rFonts w:asciiTheme="majorBidi" w:hAnsiTheme="majorBidi" w:cstheme="majorBidi"/>
          <w:sz w:val="28"/>
          <w:szCs w:val="28"/>
          <w:shd w:val="clear" w:color="auto" w:fill="FFFFFF"/>
        </w:rPr>
        <w:t xml:space="preserve"> </w:t>
      </w:r>
    </w:p>
    <w:p w:rsidR="009B636F" w:rsidRPr="00B726E5" w:rsidRDefault="009B636F" w:rsidP="009B636F">
      <w:pPr>
        <w:bidi w:val="0"/>
        <w:spacing w:after="0" w:line="360" w:lineRule="auto"/>
        <w:jc w:val="both"/>
        <w:rPr>
          <w:rFonts w:asciiTheme="majorBidi" w:hAnsiTheme="majorBidi" w:cstheme="majorBidi"/>
          <w:sz w:val="28"/>
          <w:szCs w:val="28"/>
          <w:shd w:val="clear" w:color="auto" w:fill="FFFFFF"/>
        </w:rPr>
      </w:pPr>
      <w:hyperlink r:id="rId212" w:history="1">
        <w:r w:rsidRPr="00B726E5">
          <w:rPr>
            <w:rStyle w:val="Hyperlink"/>
            <w:rFonts w:asciiTheme="majorBidi" w:hAnsiTheme="majorBidi" w:cstheme="majorBidi"/>
            <w:sz w:val="28"/>
            <w:szCs w:val="28"/>
            <w:shd w:val="clear" w:color="auto" w:fill="FFFFFF"/>
          </w:rPr>
          <w:t>https://documents-dds-ny.un.org/doc/UNDOC/GEN/G10/162/25/PDF/G1016225.pdf?OpenElement</w:t>
        </w:r>
      </w:hyperlink>
    </w:p>
    <w:p w:rsidR="009B636F" w:rsidRPr="00B726E5" w:rsidRDefault="009B636F" w:rsidP="009B636F">
      <w:pPr>
        <w:bidi w:val="0"/>
        <w:spacing w:after="0" w:line="360" w:lineRule="auto"/>
        <w:jc w:val="both"/>
        <w:rPr>
          <w:rFonts w:asciiTheme="majorBidi" w:hAnsiTheme="majorBidi" w:cstheme="majorBidi"/>
          <w:sz w:val="28"/>
          <w:szCs w:val="28"/>
          <w:shd w:val="clear" w:color="auto" w:fill="FFFFFF"/>
          <w:rtl/>
        </w:rPr>
      </w:pPr>
    </w:p>
    <w:p w:rsidR="009B636F" w:rsidRPr="00B726E5" w:rsidRDefault="009B636F" w:rsidP="009B636F">
      <w:pPr>
        <w:pStyle w:val="a5"/>
        <w:bidi w:val="0"/>
        <w:spacing w:line="360" w:lineRule="auto"/>
        <w:jc w:val="both"/>
        <w:rPr>
          <w:rFonts w:asciiTheme="majorBidi" w:hAnsiTheme="majorBidi" w:cstheme="majorBidi"/>
          <w:sz w:val="28"/>
          <w:szCs w:val="28"/>
        </w:rPr>
      </w:pPr>
      <w:r w:rsidRPr="00B726E5">
        <w:rPr>
          <w:rFonts w:asciiTheme="majorBidi" w:eastAsia="Arial Unicode MS" w:hAnsiTheme="majorBidi" w:cstheme="majorBidi"/>
          <w:sz w:val="28"/>
          <w:szCs w:val="28"/>
          <w:u w:color="000000"/>
        </w:rPr>
        <w:t>Report of the detailed findings of the independent commission of inquiry established pursuant to Human Rights Council resolution S-21/1, A/HRC/29/CRP.4</w:t>
      </w:r>
      <w:r>
        <w:rPr>
          <w:rFonts w:asciiTheme="majorBidi" w:eastAsia="Arial Unicode MS" w:hAnsiTheme="majorBidi" w:cstheme="majorBidi"/>
          <w:sz w:val="28"/>
          <w:szCs w:val="28"/>
          <w:u w:color="000000"/>
        </w:rPr>
        <w:t>.</w:t>
      </w:r>
    </w:p>
    <w:p w:rsidR="009B636F" w:rsidRPr="00B726E5" w:rsidRDefault="009B636F" w:rsidP="009B636F">
      <w:pPr>
        <w:pStyle w:val="a5"/>
        <w:bidi w:val="0"/>
        <w:spacing w:line="360" w:lineRule="auto"/>
        <w:jc w:val="both"/>
        <w:rPr>
          <w:rFonts w:asciiTheme="majorBidi" w:eastAsia="Arial Unicode MS" w:hAnsiTheme="majorBidi" w:cstheme="majorBidi"/>
          <w:sz w:val="28"/>
          <w:szCs w:val="28"/>
          <w:u w:color="000000"/>
        </w:rPr>
      </w:pPr>
      <w:hyperlink r:id="rId213" w:history="1">
        <w:r w:rsidRPr="00B726E5">
          <w:rPr>
            <w:rStyle w:val="Hyperlink"/>
            <w:rFonts w:asciiTheme="majorBidi" w:eastAsia="Arial Unicode MS" w:hAnsiTheme="majorBidi" w:cstheme="majorBidi"/>
            <w:sz w:val="28"/>
            <w:szCs w:val="28"/>
            <w:u w:color="000000"/>
          </w:rPr>
          <w:t>http://www.ohchr.org/Documents/HRBodies/HRCouncil/CoIGaza/A_HRC_CRP_4.docx</w:t>
        </w:r>
      </w:hyperlink>
    </w:p>
    <w:p w:rsidR="009B636F" w:rsidRPr="00B726E5" w:rsidRDefault="009B636F" w:rsidP="009B636F">
      <w:pPr>
        <w:pStyle w:val="a5"/>
        <w:bidi w:val="0"/>
        <w:spacing w:line="360" w:lineRule="auto"/>
        <w:jc w:val="both"/>
        <w:rPr>
          <w:rFonts w:asciiTheme="majorBidi" w:hAnsiTheme="majorBidi" w:cstheme="majorBidi"/>
          <w:sz w:val="28"/>
          <w:szCs w:val="28"/>
          <w:rtl/>
        </w:rPr>
      </w:pPr>
    </w:p>
    <w:p w:rsidR="009B636F" w:rsidRPr="00B726E5" w:rsidRDefault="009B636F" w:rsidP="009B636F">
      <w:pPr>
        <w:pStyle w:val="a5"/>
        <w:bidi w:val="0"/>
        <w:spacing w:line="360" w:lineRule="auto"/>
        <w:jc w:val="both"/>
        <w:rPr>
          <w:rFonts w:asciiTheme="majorBidi" w:hAnsiTheme="majorBidi" w:cstheme="majorBidi"/>
          <w:sz w:val="28"/>
          <w:szCs w:val="28"/>
        </w:rPr>
      </w:pPr>
      <w:r w:rsidRPr="00B726E5">
        <w:rPr>
          <w:rFonts w:asciiTheme="majorBidi" w:hAnsiTheme="majorBidi" w:cstheme="majorBidi"/>
          <w:sz w:val="28"/>
          <w:szCs w:val="28"/>
        </w:rPr>
        <w:t>Report of the Director-General on the Implementation of 18C/Resolution 13 concerning Educational and Cultural Institutions in the Occupied Arab Territories, UNESCO Doc. 99EX/50, at 3, paras. 4, 5 (1976) [in UNESCO Doc. 19C/73, Ann. I (1976)]</w:t>
      </w:r>
      <w:r>
        <w:rPr>
          <w:rFonts w:asciiTheme="majorBidi" w:hAnsiTheme="majorBidi" w:cstheme="majorBidi"/>
          <w:sz w:val="28"/>
          <w:szCs w:val="28"/>
        </w:rPr>
        <w:t>.</w:t>
      </w:r>
      <w:r w:rsidRPr="00B726E5">
        <w:rPr>
          <w:rFonts w:asciiTheme="majorBidi" w:hAnsiTheme="majorBidi" w:cstheme="majorBidi"/>
          <w:sz w:val="28"/>
          <w:szCs w:val="28"/>
        </w:rPr>
        <w:t xml:space="preserve"> </w:t>
      </w:r>
    </w:p>
    <w:p w:rsidR="009B636F" w:rsidRPr="00B726E5" w:rsidRDefault="009B636F" w:rsidP="009B636F">
      <w:pPr>
        <w:pStyle w:val="a5"/>
        <w:bidi w:val="0"/>
        <w:spacing w:line="360" w:lineRule="auto"/>
        <w:jc w:val="both"/>
        <w:rPr>
          <w:rFonts w:asciiTheme="majorBidi" w:hAnsiTheme="majorBidi" w:cstheme="majorBidi"/>
          <w:sz w:val="28"/>
          <w:szCs w:val="28"/>
        </w:rPr>
      </w:pPr>
      <w:hyperlink r:id="rId214" w:history="1">
        <w:r w:rsidRPr="00B726E5">
          <w:rPr>
            <w:rStyle w:val="Hyperlink"/>
            <w:rFonts w:asciiTheme="majorBidi" w:hAnsiTheme="majorBidi" w:cstheme="majorBidi"/>
            <w:sz w:val="28"/>
            <w:szCs w:val="28"/>
          </w:rPr>
          <w:t>http://unesdoc.unesco.org/images/0002/000223/022312eb.pdf</w:t>
        </w:r>
      </w:hyperlink>
    </w:p>
    <w:p w:rsidR="009B636F" w:rsidRPr="00B726E5" w:rsidRDefault="009B636F" w:rsidP="009B636F">
      <w:pPr>
        <w:pStyle w:val="a5"/>
        <w:bidi w:val="0"/>
        <w:spacing w:line="360" w:lineRule="auto"/>
        <w:jc w:val="both"/>
        <w:rPr>
          <w:rFonts w:asciiTheme="majorBidi" w:hAnsiTheme="majorBidi" w:cstheme="majorBidi"/>
          <w:sz w:val="28"/>
          <w:szCs w:val="28"/>
          <w:rtl/>
        </w:rPr>
      </w:pPr>
    </w:p>
    <w:p w:rsidR="009B636F" w:rsidRPr="00B726E5" w:rsidRDefault="009B636F" w:rsidP="009B636F">
      <w:pPr>
        <w:pStyle w:val="a5"/>
        <w:bidi w:val="0"/>
        <w:spacing w:line="360" w:lineRule="auto"/>
        <w:jc w:val="both"/>
        <w:rPr>
          <w:rFonts w:asciiTheme="majorBidi" w:hAnsiTheme="majorBidi" w:cstheme="majorBidi"/>
          <w:sz w:val="28"/>
          <w:szCs w:val="28"/>
        </w:rPr>
      </w:pPr>
      <w:r w:rsidRPr="00B726E5">
        <w:rPr>
          <w:rFonts w:asciiTheme="majorBidi" w:hAnsiTheme="majorBidi" w:cstheme="majorBidi"/>
          <w:sz w:val="28"/>
          <w:szCs w:val="28"/>
        </w:rPr>
        <w:lastRenderedPageBreak/>
        <w:t>Report of the High Commissioner on her visit to the occupied Palestinian territories, Israel, Egypt and Jordan (8-16 November 2000), E/CN.4/2001/114,29 November 2000</w:t>
      </w:r>
      <w:r>
        <w:rPr>
          <w:rFonts w:asciiTheme="majorBidi" w:hAnsiTheme="majorBidi" w:cstheme="majorBidi"/>
          <w:sz w:val="28"/>
          <w:szCs w:val="28"/>
        </w:rPr>
        <w:t>.</w:t>
      </w:r>
      <w:r w:rsidRPr="00B726E5">
        <w:rPr>
          <w:rFonts w:asciiTheme="majorBidi" w:hAnsiTheme="majorBidi" w:cstheme="majorBidi"/>
          <w:sz w:val="28"/>
          <w:szCs w:val="28"/>
        </w:rPr>
        <w:t xml:space="preserve"> </w:t>
      </w:r>
    </w:p>
    <w:p w:rsidR="009B636F" w:rsidRPr="00B726E5" w:rsidRDefault="009B636F" w:rsidP="009B636F">
      <w:pPr>
        <w:pStyle w:val="a5"/>
        <w:bidi w:val="0"/>
        <w:spacing w:line="360" w:lineRule="auto"/>
        <w:jc w:val="both"/>
        <w:rPr>
          <w:rFonts w:asciiTheme="majorBidi" w:hAnsiTheme="majorBidi" w:cstheme="majorBidi"/>
          <w:sz w:val="28"/>
          <w:szCs w:val="28"/>
        </w:rPr>
      </w:pPr>
      <w:hyperlink r:id="rId215" w:history="1">
        <w:r w:rsidRPr="00B726E5">
          <w:rPr>
            <w:rStyle w:val="Hyperlink"/>
            <w:rFonts w:asciiTheme="majorBidi" w:hAnsiTheme="majorBidi" w:cstheme="majorBidi"/>
            <w:sz w:val="28"/>
            <w:szCs w:val="28"/>
          </w:rPr>
          <w:t>https://documents-dds-ny.un.org/doc/UNDOC/GEN/G00/159/46/PDF/G0015946.pdf?OpenElement</w:t>
        </w:r>
      </w:hyperlink>
    </w:p>
    <w:p w:rsidR="009B636F" w:rsidRPr="00B726E5" w:rsidRDefault="009B636F" w:rsidP="009B636F">
      <w:pPr>
        <w:pStyle w:val="a5"/>
        <w:bidi w:val="0"/>
        <w:spacing w:line="360" w:lineRule="auto"/>
        <w:jc w:val="both"/>
        <w:rPr>
          <w:rFonts w:asciiTheme="majorBidi" w:hAnsiTheme="majorBidi" w:cstheme="majorBidi"/>
          <w:sz w:val="28"/>
          <w:szCs w:val="28"/>
          <w:rtl/>
        </w:rPr>
      </w:pPr>
    </w:p>
    <w:p w:rsidR="009B636F" w:rsidRPr="00B726E5" w:rsidRDefault="009B636F" w:rsidP="009B636F">
      <w:pPr>
        <w:pStyle w:val="a5"/>
        <w:bidi w:val="0"/>
        <w:spacing w:line="360" w:lineRule="auto"/>
        <w:jc w:val="both"/>
        <w:rPr>
          <w:rFonts w:asciiTheme="majorBidi" w:hAnsiTheme="majorBidi" w:cstheme="majorBidi"/>
          <w:sz w:val="28"/>
          <w:szCs w:val="28"/>
        </w:rPr>
      </w:pPr>
      <w:r w:rsidRPr="00B726E5">
        <w:rPr>
          <w:rFonts w:asciiTheme="majorBidi" w:hAnsiTheme="majorBidi" w:cstheme="majorBidi"/>
          <w:sz w:val="28"/>
          <w:szCs w:val="28"/>
        </w:rPr>
        <w:t xml:space="preserve">Report of the independent commission of inquiry established pursuant to Human Rights Council resolution S-21/1, Human Rights Council, </w:t>
      </w:r>
      <w:r w:rsidRPr="00B726E5">
        <w:rPr>
          <w:rFonts w:asciiTheme="majorBidi" w:hAnsiTheme="majorBidi" w:cstheme="majorBidi"/>
          <w:b/>
          <w:bCs/>
          <w:sz w:val="28"/>
          <w:szCs w:val="28"/>
        </w:rPr>
        <w:t>A/HRC/29/52</w:t>
      </w:r>
      <w:r w:rsidRPr="00B726E5">
        <w:rPr>
          <w:rFonts w:asciiTheme="majorBidi" w:hAnsiTheme="majorBidi" w:cstheme="majorBidi"/>
          <w:sz w:val="28"/>
          <w:szCs w:val="28"/>
        </w:rPr>
        <w:t>, 24 June 2015</w:t>
      </w:r>
      <w:r>
        <w:rPr>
          <w:rFonts w:asciiTheme="majorBidi" w:hAnsiTheme="majorBidi" w:cstheme="majorBidi"/>
          <w:sz w:val="28"/>
          <w:szCs w:val="28"/>
        </w:rPr>
        <w:t>.</w:t>
      </w:r>
      <w:r w:rsidRPr="00B726E5">
        <w:rPr>
          <w:rFonts w:asciiTheme="majorBidi" w:hAnsiTheme="majorBidi" w:cstheme="majorBidi"/>
          <w:sz w:val="28"/>
          <w:szCs w:val="28"/>
        </w:rPr>
        <w:t xml:space="preserve"> </w:t>
      </w:r>
    </w:p>
    <w:p w:rsidR="009B636F" w:rsidRPr="00B726E5" w:rsidRDefault="009B636F" w:rsidP="009B636F">
      <w:pPr>
        <w:pStyle w:val="a5"/>
        <w:bidi w:val="0"/>
        <w:spacing w:line="360" w:lineRule="auto"/>
        <w:jc w:val="both"/>
        <w:rPr>
          <w:rFonts w:asciiTheme="majorBidi" w:hAnsiTheme="majorBidi" w:cstheme="majorBidi"/>
          <w:sz w:val="28"/>
          <w:szCs w:val="28"/>
        </w:rPr>
      </w:pPr>
      <w:hyperlink r:id="rId216" w:history="1">
        <w:r w:rsidRPr="00B726E5">
          <w:rPr>
            <w:rStyle w:val="Hyperlink"/>
            <w:rFonts w:asciiTheme="majorBidi" w:hAnsiTheme="majorBidi" w:cstheme="majorBidi"/>
            <w:sz w:val="28"/>
            <w:szCs w:val="28"/>
          </w:rPr>
          <w:t>http://www.ohchr.org/Documents/HRBodies/HRCouncil/CoIGaza/A-HRC-29-52_en.doc</w:t>
        </w:r>
      </w:hyperlink>
    </w:p>
    <w:p w:rsidR="009B636F" w:rsidRPr="00B726E5" w:rsidRDefault="009B636F" w:rsidP="009B636F">
      <w:pPr>
        <w:pStyle w:val="a5"/>
        <w:bidi w:val="0"/>
        <w:spacing w:line="360" w:lineRule="auto"/>
        <w:jc w:val="both"/>
        <w:rPr>
          <w:rFonts w:asciiTheme="majorBidi" w:hAnsiTheme="majorBidi" w:cstheme="majorBidi"/>
          <w:sz w:val="28"/>
          <w:szCs w:val="28"/>
          <w:rtl/>
        </w:rPr>
      </w:pPr>
    </w:p>
    <w:p w:rsidR="009B636F" w:rsidRPr="00B726E5" w:rsidRDefault="009B636F" w:rsidP="009B636F">
      <w:pPr>
        <w:bidi w:val="0"/>
        <w:spacing w:after="0" w:line="360" w:lineRule="auto"/>
        <w:jc w:val="both"/>
        <w:rPr>
          <w:rFonts w:asciiTheme="majorBidi" w:eastAsia="Times New Roman" w:hAnsiTheme="majorBidi" w:cstheme="majorBidi"/>
          <w:spacing w:val="-8"/>
          <w:kern w:val="36"/>
          <w:sz w:val="28"/>
          <w:szCs w:val="28"/>
        </w:rPr>
      </w:pPr>
      <w:r w:rsidRPr="00B726E5">
        <w:rPr>
          <w:rFonts w:asciiTheme="majorBidi" w:eastAsia="Times New Roman" w:hAnsiTheme="majorBidi" w:cstheme="majorBidi"/>
          <w:spacing w:val="-8"/>
          <w:kern w:val="36"/>
          <w:sz w:val="28"/>
          <w:szCs w:val="28"/>
        </w:rPr>
        <w:t>Report of the Independent Fact Finding Committee On Gaza: No Safe Place, Presented to the League of Arab States, 30 April 2009</w:t>
      </w:r>
      <w:r>
        <w:rPr>
          <w:rFonts w:asciiTheme="majorBidi" w:eastAsia="Times New Roman" w:hAnsiTheme="majorBidi" w:cstheme="majorBidi"/>
          <w:spacing w:val="-8"/>
          <w:kern w:val="36"/>
          <w:sz w:val="28"/>
          <w:szCs w:val="28"/>
        </w:rPr>
        <w:t>.</w:t>
      </w:r>
      <w:r w:rsidRPr="00B726E5">
        <w:rPr>
          <w:rFonts w:asciiTheme="majorBidi" w:eastAsia="Times New Roman" w:hAnsiTheme="majorBidi" w:cstheme="majorBidi"/>
          <w:spacing w:val="-8"/>
          <w:kern w:val="36"/>
          <w:sz w:val="28"/>
          <w:szCs w:val="28"/>
        </w:rPr>
        <w:t xml:space="preserve"> </w:t>
      </w:r>
    </w:p>
    <w:p w:rsidR="009B636F" w:rsidRPr="00B726E5" w:rsidRDefault="009B636F" w:rsidP="009B636F">
      <w:pPr>
        <w:bidi w:val="0"/>
        <w:spacing w:after="0" w:line="360" w:lineRule="auto"/>
        <w:jc w:val="both"/>
        <w:rPr>
          <w:rFonts w:asciiTheme="majorBidi" w:eastAsia="Times New Roman" w:hAnsiTheme="majorBidi" w:cstheme="majorBidi"/>
          <w:spacing w:val="-8"/>
          <w:kern w:val="36"/>
          <w:sz w:val="28"/>
          <w:szCs w:val="28"/>
        </w:rPr>
      </w:pPr>
      <w:hyperlink r:id="rId217" w:history="1">
        <w:r w:rsidRPr="00B726E5">
          <w:rPr>
            <w:rStyle w:val="Hyperlink"/>
            <w:rFonts w:asciiTheme="majorBidi" w:eastAsia="Times New Roman" w:hAnsiTheme="majorBidi" w:cstheme="majorBidi"/>
            <w:spacing w:val="-8"/>
            <w:kern w:val="36"/>
            <w:sz w:val="28"/>
            <w:szCs w:val="28"/>
          </w:rPr>
          <w:t>http://www.tromso-gaza.no/090501ReportGaza.pdf</w:t>
        </w:r>
      </w:hyperlink>
    </w:p>
    <w:p w:rsidR="009B636F" w:rsidRPr="00B726E5" w:rsidRDefault="009B636F" w:rsidP="009B636F">
      <w:pPr>
        <w:pStyle w:val="a5"/>
        <w:bidi w:val="0"/>
        <w:spacing w:line="360" w:lineRule="auto"/>
        <w:jc w:val="both"/>
        <w:rPr>
          <w:rFonts w:asciiTheme="majorBidi" w:hAnsiTheme="majorBidi" w:cstheme="majorBidi"/>
          <w:sz w:val="28"/>
          <w:szCs w:val="28"/>
          <w:rtl/>
        </w:rPr>
      </w:pPr>
    </w:p>
    <w:p w:rsidR="009B636F" w:rsidRPr="00B726E5" w:rsidRDefault="009B636F" w:rsidP="009B636F">
      <w:pPr>
        <w:pStyle w:val="a5"/>
        <w:bidi w:val="0"/>
        <w:spacing w:line="360" w:lineRule="auto"/>
        <w:jc w:val="both"/>
        <w:rPr>
          <w:rFonts w:asciiTheme="majorBidi" w:hAnsiTheme="majorBidi" w:cstheme="majorBidi"/>
          <w:sz w:val="28"/>
          <w:szCs w:val="28"/>
        </w:rPr>
      </w:pPr>
      <w:r w:rsidRPr="00B726E5">
        <w:rPr>
          <w:rFonts w:asciiTheme="majorBidi" w:hAnsiTheme="majorBidi" w:cstheme="majorBidi"/>
          <w:sz w:val="28"/>
          <w:szCs w:val="28"/>
        </w:rPr>
        <w:t>Report of the independent international fact-finding mission to investigate the implications of the Israeli settlements on the civil, political, economic, social and cultural rights of the Palestinian people throughout the Occupied Palestinian Territory, including East Jerusalem, A/HRC/22/63</w:t>
      </w:r>
      <w:r>
        <w:rPr>
          <w:rFonts w:asciiTheme="majorBidi" w:hAnsiTheme="majorBidi" w:cstheme="majorBidi"/>
          <w:sz w:val="28"/>
          <w:szCs w:val="28"/>
        </w:rPr>
        <w:t>.</w:t>
      </w:r>
      <w:r w:rsidRPr="00B726E5">
        <w:rPr>
          <w:rFonts w:asciiTheme="majorBidi" w:hAnsiTheme="majorBidi" w:cstheme="majorBidi"/>
          <w:sz w:val="28"/>
          <w:szCs w:val="28"/>
        </w:rPr>
        <w:t xml:space="preserve"> </w:t>
      </w:r>
    </w:p>
    <w:p w:rsidR="009B636F" w:rsidRPr="00B726E5" w:rsidRDefault="009B636F" w:rsidP="009B636F">
      <w:pPr>
        <w:pStyle w:val="a5"/>
        <w:bidi w:val="0"/>
        <w:spacing w:line="360" w:lineRule="auto"/>
        <w:jc w:val="both"/>
        <w:rPr>
          <w:rFonts w:asciiTheme="majorBidi" w:hAnsiTheme="majorBidi" w:cstheme="majorBidi"/>
          <w:sz w:val="28"/>
          <w:szCs w:val="28"/>
        </w:rPr>
      </w:pPr>
      <w:hyperlink r:id="rId218" w:history="1">
        <w:r w:rsidRPr="00B726E5">
          <w:rPr>
            <w:rStyle w:val="Hyperlink"/>
            <w:rFonts w:asciiTheme="majorBidi" w:hAnsiTheme="majorBidi" w:cstheme="majorBidi"/>
            <w:sz w:val="28"/>
            <w:szCs w:val="28"/>
          </w:rPr>
          <w:t>http://www.ohchr.org/Documents/HRBodies/HRCouncil/RegularSession/Session22/A-HRC-22-63_en.pdf</w:t>
        </w:r>
      </w:hyperlink>
    </w:p>
    <w:p w:rsidR="009B636F" w:rsidRPr="00B726E5" w:rsidRDefault="009B636F" w:rsidP="009B636F">
      <w:pPr>
        <w:pStyle w:val="a5"/>
        <w:bidi w:val="0"/>
        <w:spacing w:line="360" w:lineRule="auto"/>
        <w:jc w:val="both"/>
        <w:rPr>
          <w:rFonts w:asciiTheme="majorBidi" w:hAnsiTheme="majorBidi" w:cstheme="majorBidi"/>
          <w:sz w:val="28"/>
          <w:szCs w:val="28"/>
          <w:rtl/>
        </w:rPr>
      </w:pPr>
    </w:p>
    <w:p w:rsidR="009B636F" w:rsidRPr="00B726E5" w:rsidRDefault="009B636F" w:rsidP="009B636F">
      <w:pPr>
        <w:pStyle w:val="a5"/>
        <w:bidi w:val="0"/>
        <w:spacing w:line="360" w:lineRule="auto"/>
        <w:jc w:val="both"/>
        <w:rPr>
          <w:rFonts w:asciiTheme="majorBidi" w:hAnsiTheme="majorBidi" w:cstheme="majorBidi"/>
          <w:sz w:val="28"/>
          <w:szCs w:val="28"/>
        </w:rPr>
      </w:pPr>
      <w:r w:rsidRPr="00B726E5">
        <w:rPr>
          <w:rFonts w:asciiTheme="majorBidi" w:hAnsiTheme="majorBidi" w:cstheme="majorBidi"/>
          <w:sz w:val="28"/>
          <w:szCs w:val="28"/>
        </w:rPr>
        <w:t>Report of the international fact-finding mission to investigate violations of international law, including international humanitarian and human rights law, resulting from the Israeli attacks on the flotilla of ships carrying humanitarian assistance, A/HRC/15/21</w:t>
      </w:r>
      <w:r>
        <w:rPr>
          <w:rFonts w:asciiTheme="majorBidi" w:hAnsiTheme="majorBidi" w:cstheme="majorBidi"/>
          <w:sz w:val="28"/>
          <w:szCs w:val="28"/>
        </w:rPr>
        <w:t>.</w:t>
      </w:r>
      <w:r w:rsidRPr="00B726E5">
        <w:rPr>
          <w:rFonts w:asciiTheme="majorBidi" w:hAnsiTheme="majorBidi" w:cstheme="majorBidi"/>
          <w:sz w:val="28"/>
          <w:szCs w:val="28"/>
        </w:rPr>
        <w:t xml:space="preserve"> </w:t>
      </w:r>
    </w:p>
    <w:p w:rsidR="009B636F" w:rsidRPr="00B726E5" w:rsidRDefault="009B636F" w:rsidP="009B636F">
      <w:pPr>
        <w:pStyle w:val="a5"/>
        <w:bidi w:val="0"/>
        <w:spacing w:line="360" w:lineRule="auto"/>
        <w:jc w:val="both"/>
        <w:rPr>
          <w:rFonts w:asciiTheme="majorBidi" w:hAnsiTheme="majorBidi" w:cstheme="majorBidi"/>
          <w:sz w:val="28"/>
          <w:szCs w:val="28"/>
        </w:rPr>
      </w:pPr>
      <w:hyperlink r:id="rId219" w:history="1">
        <w:r w:rsidRPr="00B726E5">
          <w:rPr>
            <w:rStyle w:val="Hyperlink"/>
            <w:rFonts w:asciiTheme="majorBidi" w:hAnsiTheme="majorBidi" w:cstheme="majorBidi"/>
            <w:sz w:val="28"/>
            <w:szCs w:val="28"/>
          </w:rPr>
          <w:t>http://www2.ohchr.org/english/bodies/hrcouncil/docs/15session/A.HRC.15.21_en.pdf</w:t>
        </w:r>
      </w:hyperlink>
    </w:p>
    <w:p w:rsidR="009B636F" w:rsidRPr="00B726E5" w:rsidRDefault="009B636F" w:rsidP="009B636F">
      <w:pPr>
        <w:pStyle w:val="a5"/>
        <w:bidi w:val="0"/>
        <w:spacing w:line="360" w:lineRule="auto"/>
        <w:jc w:val="both"/>
        <w:rPr>
          <w:rFonts w:asciiTheme="majorBidi" w:hAnsiTheme="majorBidi" w:cstheme="majorBidi"/>
          <w:sz w:val="28"/>
          <w:szCs w:val="28"/>
          <w:rtl/>
        </w:rPr>
      </w:pPr>
    </w:p>
    <w:p w:rsidR="009B636F" w:rsidRPr="00B726E5" w:rsidRDefault="009B636F" w:rsidP="009B636F">
      <w:pPr>
        <w:pStyle w:val="a5"/>
        <w:bidi w:val="0"/>
        <w:spacing w:line="360" w:lineRule="auto"/>
        <w:jc w:val="both"/>
        <w:rPr>
          <w:rFonts w:asciiTheme="majorBidi" w:hAnsiTheme="majorBidi" w:cstheme="majorBidi"/>
          <w:sz w:val="28"/>
          <w:szCs w:val="28"/>
        </w:rPr>
      </w:pPr>
      <w:r w:rsidRPr="00B726E5">
        <w:rPr>
          <w:rFonts w:asciiTheme="majorBidi" w:eastAsia="Arial Unicode MS" w:hAnsiTheme="majorBidi" w:cstheme="majorBidi"/>
          <w:sz w:val="28"/>
          <w:szCs w:val="28"/>
          <w:u w:color="000000"/>
        </w:rPr>
        <w:t>Report of the OHCHR Investigation on Sri Lanka (OISL)</w:t>
      </w:r>
      <w:r w:rsidRPr="00B726E5">
        <w:rPr>
          <w:rFonts w:asciiTheme="majorBidi" w:hAnsiTheme="majorBidi" w:cstheme="majorBidi"/>
          <w:b/>
          <w:bCs/>
          <w:sz w:val="28"/>
          <w:szCs w:val="28"/>
        </w:rPr>
        <w:t xml:space="preserve">, </w:t>
      </w:r>
      <w:r w:rsidRPr="00B726E5">
        <w:rPr>
          <w:rFonts w:asciiTheme="majorBidi" w:hAnsiTheme="majorBidi" w:cstheme="majorBidi"/>
          <w:sz w:val="28"/>
          <w:szCs w:val="28"/>
        </w:rPr>
        <w:t>Human Rights Council,16 September 2015, A/HRC/30/CRP.2</w:t>
      </w:r>
      <w:r>
        <w:rPr>
          <w:rFonts w:asciiTheme="majorBidi" w:hAnsiTheme="majorBidi" w:cstheme="majorBidi"/>
          <w:sz w:val="28"/>
          <w:szCs w:val="28"/>
        </w:rPr>
        <w:t>.</w:t>
      </w:r>
      <w:r w:rsidRPr="00B726E5">
        <w:rPr>
          <w:rFonts w:asciiTheme="majorBidi" w:hAnsiTheme="majorBidi" w:cstheme="majorBidi"/>
          <w:sz w:val="28"/>
          <w:szCs w:val="28"/>
        </w:rPr>
        <w:t xml:space="preserve"> </w:t>
      </w:r>
    </w:p>
    <w:p w:rsidR="009B636F" w:rsidRPr="00B726E5" w:rsidRDefault="009B636F" w:rsidP="009B636F">
      <w:pPr>
        <w:pStyle w:val="a5"/>
        <w:bidi w:val="0"/>
        <w:spacing w:line="360" w:lineRule="auto"/>
        <w:jc w:val="both"/>
        <w:rPr>
          <w:rFonts w:asciiTheme="majorBidi" w:hAnsiTheme="majorBidi" w:cstheme="majorBidi"/>
          <w:sz w:val="28"/>
          <w:szCs w:val="28"/>
        </w:rPr>
      </w:pPr>
      <w:hyperlink r:id="rId220" w:history="1">
        <w:r w:rsidRPr="00B726E5">
          <w:rPr>
            <w:rStyle w:val="Hyperlink"/>
            <w:rFonts w:asciiTheme="majorBidi" w:hAnsiTheme="majorBidi" w:cstheme="majorBidi"/>
            <w:sz w:val="28"/>
            <w:szCs w:val="28"/>
          </w:rPr>
          <w:t>https://www.google.co.il/url?sa=t&amp;rct=j&amp;q=&amp;esrc=s&amp;source=web&amp;cd=2&amp;ved=0ahUKEwjsw_OeyLvMAhWCzRoKHWfLCKoQFggkMAE&amp;url=http%3A%2F%2Fwww.ohchr.org%2FEN%2FHRBodies%2FHRC%2FRegularSessions%2FSession30%2FDocuments%2FA_HRC_30_CRP_2.docx&amp;usg=AFQjCNGyAOwsU041lkgIn1kgE4sW1KkjhQ&amp;sig2=O5N0Md2bjIoOma5bIuQ5Dg</w:t>
        </w:r>
      </w:hyperlink>
    </w:p>
    <w:p w:rsidR="009B636F" w:rsidRPr="00B726E5" w:rsidRDefault="009B636F" w:rsidP="009B636F">
      <w:pPr>
        <w:pStyle w:val="a5"/>
        <w:spacing w:line="360" w:lineRule="auto"/>
        <w:jc w:val="both"/>
        <w:rPr>
          <w:rFonts w:asciiTheme="majorBidi" w:hAnsiTheme="majorBidi" w:cstheme="majorBidi"/>
          <w:sz w:val="28"/>
          <w:szCs w:val="28"/>
          <w:rtl/>
        </w:rPr>
      </w:pPr>
    </w:p>
    <w:p w:rsidR="009B636F" w:rsidRPr="00B726E5" w:rsidRDefault="009B636F" w:rsidP="009B636F">
      <w:pPr>
        <w:pStyle w:val="a5"/>
        <w:bidi w:val="0"/>
        <w:spacing w:line="360" w:lineRule="auto"/>
        <w:jc w:val="both"/>
        <w:rPr>
          <w:rFonts w:asciiTheme="majorBidi" w:hAnsiTheme="majorBidi" w:cstheme="majorBidi"/>
          <w:sz w:val="28"/>
          <w:szCs w:val="28"/>
        </w:rPr>
      </w:pPr>
      <w:r w:rsidRPr="00B726E5">
        <w:rPr>
          <w:rFonts w:asciiTheme="majorBidi" w:hAnsiTheme="majorBidi" w:cstheme="majorBidi"/>
          <w:sz w:val="28"/>
          <w:szCs w:val="28"/>
        </w:rPr>
        <w:t>Report of the Secretary-General on the implementation of Human Rights Council resolution 19/17, Human Rights Council, A/HRC/20/13</w:t>
      </w:r>
      <w:r>
        <w:rPr>
          <w:rFonts w:asciiTheme="majorBidi" w:hAnsiTheme="majorBidi" w:cstheme="majorBidi"/>
          <w:sz w:val="28"/>
          <w:szCs w:val="28"/>
        </w:rPr>
        <w:t>.</w:t>
      </w:r>
      <w:r w:rsidRPr="00B726E5">
        <w:rPr>
          <w:rFonts w:asciiTheme="majorBidi" w:hAnsiTheme="majorBidi" w:cstheme="majorBidi"/>
          <w:sz w:val="28"/>
          <w:szCs w:val="28"/>
        </w:rPr>
        <w:t xml:space="preserve"> </w:t>
      </w:r>
    </w:p>
    <w:p w:rsidR="009B636F" w:rsidRPr="00B726E5" w:rsidRDefault="009B636F" w:rsidP="009B636F">
      <w:pPr>
        <w:pStyle w:val="a5"/>
        <w:bidi w:val="0"/>
        <w:spacing w:line="360" w:lineRule="auto"/>
        <w:jc w:val="both"/>
        <w:rPr>
          <w:rFonts w:asciiTheme="majorBidi" w:hAnsiTheme="majorBidi" w:cstheme="majorBidi"/>
          <w:sz w:val="28"/>
          <w:szCs w:val="28"/>
        </w:rPr>
      </w:pPr>
      <w:hyperlink r:id="rId221" w:history="1">
        <w:r w:rsidRPr="00B726E5">
          <w:rPr>
            <w:rStyle w:val="Hyperlink"/>
            <w:rFonts w:asciiTheme="majorBidi" w:hAnsiTheme="majorBidi" w:cstheme="majorBidi"/>
            <w:sz w:val="28"/>
            <w:szCs w:val="28"/>
          </w:rPr>
          <w:t>http://www.ohchr.org/Documents/HRBodies/HRCouncil/RegularSession/Session20/A.HRC.20.13_AUV.pdf</w:t>
        </w:r>
      </w:hyperlink>
    </w:p>
    <w:p w:rsidR="009B636F" w:rsidRPr="00B726E5" w:rsidRDefault="009B636F" w:rsidP="009B636F">
      <w:pPr>
        <w:pStyle w:val="a5"/>
        <w:bidi w:val="0"/>
        <w:spacing w:line="360" w:lineRule="auto"/>
        <w:jc w:val="both"/>
        <w:rPr>
          <w:rStyle w:val="aa"/>
          <w:rFonts w:asciiTheme="majorBidi" w:hAnsiTheme="majorBidi" w:cstheme="majorBidi"/>
          <w:color w:val="000000"/>
          <w:sz w:val="28"/>
          <w:szCs w:val="28"/>
          <w:rtl/>
        </w:rPr>
      </w:pPr>
    </w:p>
    <w:p w:rsidR="009B636F" w:rsidRPr="00B726E5" w:rsidRDefault="009B636F" w:rsidP="009B636F">
      <w:pPr>
        <w:pStyle w:val="a5"/>
        <w:bidi w:val="0"/>
        <w:spacing w:line="360" w:lineRule="auto"/>
        <w:jc w:val="both"/>
        <w:rPr>
          <w:rFonts w:asciiTheme="majorBidi" w:hAnsiTheme="majorBidi" w:cstheme="majorBidi"/>
          <w:sz w:val="28"/>
          <w:szCs w:val="28"/>
        </w:rPr>
      </w:pPr>
      <w:r w:rsidRPr="00B726E5">
        <w:rPr>
          <w:rFonts w:asciiTheme="majorBidi" w:hAnsiTheme="majorBidi" w:cstheme="majorBidi"/>
          <w:sz w:val="28"/>
          <w:szCs w:val="28"/>
        </w:rPr>
        <w:t>Report of the Secretary-General prepared pursuant to General Assembly resolution ES-10/10</w:t>
      </w:r>
      <w:r>
        <w:rPr>
          <w:rFonts w:asciiTheme="majorBidi" w:hAnsiTheme="majorBidi" w:cstheme="majorBidi"/>
          <w:sz w:val="28"/>
          <w:szCs w:val="28"/>
        </w:rPr>
        <w:t>.</w:t>
      </w:r>
      <w:r w:rsidRPr="00B726E5">
        <w:rPr>
          <w:rFonts w:asciiTheme="majorBidi" w:hAnsiTheme="majorBidi" w:cstheme="majorBidi"/>
          <w:sz w:val="28"/>
          <w:szCs w:val="28"/>
        </w:rPr>
        <w:t xml:space="preserve"> </w:t>
      </w:r>
    </w:p>
    <w:p w:rsidR="009B636F" w:rsidRPr="00B726E5" w:rsidRDefault="009B636F" w:rsidP="009B636F">
      <w:pPr>
        <w:pStyle w:val="a5"/>
        <w:bidi w:val="0"/>
        <w:spacing w:line="360" w:lineRule="auto"/>
        <w:jc w:val="both"/>
        <w:rPr>
          <w:rFonts w:asciiTheme="majorBidi" w:hAnsiTheme="majorBidi" w:cstheme="majorBidi"/>
          <w:sz w:val="28"/>
          <w:szCs w:val="28"/>
        </w:rPr>
      </w:pPr>
      <w:hyperlink r:id="rId222" w:history="1">
        <w:r w:rsidRPr="00B726E5">
          <w:rPr>
            <w:rStyle w:val="Hyperlink"/>
            <w:rFonts w:asciiTheme="majorBidi" w:hAnsiTheme="majorBidi" w:cstheme="majorBidi"/>
            <w:sz w:val="28"/>
            <w:szCs w:val="28"/>
          </w:rPr>
          <w:t>https://web.archive.org/web/20080911045522/http://www.un.org/peace/jenin/index.html</w:t>
        </w:r>
      </w:hyperlink>
    </w:p>
    <w:p w:rsidR="009B636F" w:rsidRPr="00B726E5" w:rsidRDefault="009B636F" w:rsidP="009B636F">
      <w:pPr>
        <w:pStyle w:val="a5"/>
        <w:bidi w:val="0"/>
        <w:spacing w:line="360" w:lineRule="auto"/>
        <w:jc w:val="both"/>
        <w:rPr>
          <w:rFonts w:asciiTheme="majorBidi" w:hAnsiTheme="majorBidi" w:cstheme="majorBidi"/>
          <w:sz w:val="28"/>
          <w:szCs w:val="28"/>
          <w:rtl/>
        </w:rPr>
      </w:pPr>
    </w:p>
    <w:p w:rsidR="009B636F" w:rsidRPr="00B726E5" w:rsidRDefault="009B636F" w:rsidP="009B636F">
      <w:pPr>
        <w:pStyle w:val="a5"/>
        <w:bidi w:val="0"/>
        <w:spacing w:line="360" w:lineRule="auto"/>
        <w:jc w:val="both"/>
        <w:rPr>
          <w:rFonts w:asciiTheme="majorBidi" w:hAnsiTheme="majorBidi" w:cstheme="majorBidi"/>
          <w:sz w:val="28"/>
          <w:szCs w:val="28"/>
        </w:rPr>
      </w:pPr>
      <w:r w:rsidRPr="00B726E5">
        <w:rPr>
          <w:rFonts w:asciiTheme="majorBidi" w:hAnsiTheme="majorBidi" w:cstheme="majorBidi"/>
          <w:sz w:val="28"/>
          <w:szCs w:val="28"/>
        </w:rPr>
        <w:t>Report of the Secretary-General’s Panel of Inquiry on the 31 May 2010 Flotilla Incident</w:t>
      </w:r>
      <w:r>
        <w:rPr>
          <w:rFonts w:asciiTheme="majorBidi" w:hAnsiTheme="majorBidi" w:cstheme="majorBidi"/>
          <w:sz w:val="28"/>
          <w:szCs w:val="28"/>
        </w:rPr>
        <w:t>.</w:t>
      </w:r>
      <w:r w:rsidRPr="00B726E5">
        <w:rPr>
          <w:rFonts w:asciiTheme="majorBidi" w:hAnsiTheme="majorBidi" w:cstheme="majorBidi"/>
          <w:sz w:val="28"/>
          <w:szCs w:val="28"/>
        </w:rPr>
        <w:t xml:space="preserve"> </w:t>
      </w:r>
    </w:p>
    <w:p w:rsidR="009B636F" w:rsidRPr="00B726E5" w:rsidRDefault="009B636F" w:rsidP="009B636F">
      <w:pPr>
        <w:pStyle w:val="a5"/>
        <w:bidi w:val="0"/>
        <w:spacing w:line="360" w:lineRule="auto"/>
        <w:jc w:val="both"/>
        <w:rPr>
          <w:rFonts w:asciiTheme="majorBidi" w:hAnsiTheme="majorBidi" w:cstheme="majorBidi"/>
          <w:sz w:val="28"/>
          <w:szCs w:val="28"/>
        </w:rPr>
      </w:pPr>
      <w:hyperlink r:id="rId223" w:history="1">
        <w:r w:rsidRPr="00B726E5">
          <w:rPr>
            <w:rStyle w:val="Hyperlink"/>
            <w:rFonts w:asciiTheme="majorBidi" w:hAnsiTheme="majorBidi" w:cstheme="majorBidi"/>
            <w:sz w:val="28"/>
            <w:szCs w:val="28"/>
          </w:rPr>
          <w:t>http://www.un.org/News/dh/infocus/middle_east/Gaza_Flotilla_Panel_Report.pdf</w:t>
        </w:r>
      </w:hyperlink>
    </w:p>
    <w:p w:rsidR="009B636F" w:rsidRPr="00B726E5" w:rsidRDefault="009B636F" w:rsidP="009B636F">
      <w:pPr>
        <w:pStyle w:val="a5"/>
        <w:bidi w:val="0"/>
        <w:spacing w:line="360" w:lineRule="auto"/>
        <w:jc w:val="both"/>
        <w:rPr>
          <w:rFonts w:asciiTheme="majorBidi" w:hAnsiTheme="majorBidi" w:cstheme="majorBidi"/>
          <w:sz w:val="28"/>
          <w:szCs w:val="28"/>
          <w:rtl/>
        </w:rPr>
      </w:pPr>
    </w:p>
    <w:p w:rsidR="009B636F" w:rsidRPr="00B726E5" w:rsidRDefault="009B636F" w:rsidP="009B636F">
      <w:pPr>
        <w:pStyle w:val="a5"/>
        <w:bidi w:val="0"/>
        <w:spacing w:line="360" w:lineRule="auto"/>
        <w:jc w:val="both"/>
        <w:rPr>
          <w:rFonts w:asciiTheme="majorBidi" w:hAnsiTheme="majorBidi" w:cstheme="majorBidi"/>
          <w:color w:val="000000"/>
          <w:sz w:val="28"/>
          <w:szCs w:val="28"/>
          <w:shd w:val="clear" w:color="auto" w:fill="FFFFFF"/>
        </w:rPr>
      </w:pPr>
      <w:r w:rsidRPr="00B726E5">
        <w:rPr>
          <w:rFonts w:asciiTheme="majorBidi" w:eastAsia="Times New Roman" w:hAnsiTheme="majorBidi" w:cstheme="majorBidi"/>
          <w:color w:val="000000"/>
          <w:sz w:val="28"/>
          <w:szCs w:val="28"/>
        </w:rPr>
        <w:lastRenderedPageBreak/>
        <w:t xml:space="preserve">Report of the Special Committee to Investigate Israeli Practices Affecting the Human Rights of </w:t>
      </w:r>
      <w:r w:rsidRPr="00B726E5">
        <w:rPr>
          <w:rFonts w:asciiTheme="majorBidi" w:eastAsia="Times New Roman" w:hAnsiTheme="majorBidi" w:cstheme="majorBidi"/>
          <w:color w:val="000000"/>
          <w:sz w:val="28"/>
          <w:szCs w:val="28"/>
          <w:shd w:val="clear" w:color="auto" w:fill="FFFFFF"/>
        </w:rPr>
        <w:t>the Population of the Occupied Territories</w:t>
      </w:r>
      <w:r w:rsidRPr="00B726E5">
        <w:rPr>
          <w:rFonts w:asciiTheme="majorBidi" w:eastAsia="Times New Roman" w:hAnsiTheme="majorBidi" w:cstheme="majorBidi"/>
          <w:color w:val="000000"/>
          <w:sz w:val="28"/>
          <w:szCs w:val="28"/>
        </w:rPr>
        <w:t xml:space="preserve">, United Nations, New York, </w:t>
      </w:r>
      <w:r w:rsidRPr="00B726E5">
        <w:rPr>
          <w:rFonts w:asciiTheme="majorBidi" w:eastAsia="Times New Roman" w:hAnsiTheme="majorBidi" w:cstheme="majorBidi"/>
          <w:sz w:val="28"/>
          <w:szCs w:val="28"/>
        </w:rPr>
        <w:t xml:space="preserve">A/8089, </w:t>
      </w:r>
      <w:r w:rsidRPr="00B726E5">
        <w:rPr>
          <w:rFonts w:asciiTheme="majorBidi" w:hAnsiTheme="majorBidi" w:cstheme="majorBidi"/>
          <w:color w:val="000000"/>
          <w:sz w:val="28"/>
          <w:szCs w:val="28"/>
          <w:shd w:val="clear" w:color="auto" w:fill="FFFFFF"/>
        </w:rPr>
        <w:t>5 October 1970</w:t>
      </w:r>
      <w:r>
        <w:rPr>
          <w:rFonts w:asciiTheme="majorBidi" w:hAnsiTheme="majorBidi" w:cstheme="majorBidi"/>
          <w:color w:val="000000"/>
          <w:sz w:val="28"/>
          <w:szCs w:val="28"/>
          <w:shd w:val="clear" w:color="auto" w:fill="FFFFFF"/>
        </w:rPr>
        <w:t>.</w:t>
      </w:r>
      <w:r w:rsidRPr="00B726E5">
        <w:rPr>
          <w:rFonts w:asciiTheme="majorBidi" w:hAnsiTheme="majorBidi" w:cstheme="majorBidi"/>
          <w:color w:val="000000"/>
          <w:sz w:val="28"/>
          <w:szCs w:val="28"/>
          <w:shd w:val="clear" w:color="auto" w:fill="FFFFFF"/>
        </w:rPr>
        <w:t xml:space="preserve"> </w:t>
      </w:r>
    </w:p>
    <w:p w:rsidR="009B636F" w:rsidRPr="00B726E5" w:rsidRDefault="009B636F" w:rsidP="009B636F">
      <w:pPr>
        <w:pStyle w:val="a5"/>
        <w:bidi w:val="0"/>
        <w:spacing w:line="360" w:lineRule="auto"/>
        <w:jc w:val="both"/>
        <w:rPr>
          <w:rFonts w:asciiTheme="majorBidi" w:hAnsiTheme="majorBidi" w:cstheme="majorBidi"/>
          <w:color w:val="000000"/>
          <w:sz w:val="28"/>
          <w:szCs w:val="28"/>
          <w:shd w:val="clear" w:color="auto" w:fill="FFFFFF"/>
        </w:rPr>
      </w:pPr>
      <w:hyperlink r:id="rId224" w:history="1">
        <w:r w:rsidRPr="00B726E5">
          <w:rPr>
            <w:rStyle w:val="Hyperlink"/>
            <w:rFonts w:asciiTheme="majorBidi" w:hAnsiTheme="majorBidi" w:cstheme="majorBidi"/>
            <w:sz w:val="28"/>
            <w:szCs w:val="28"/>
            <w:shd w:val="clear" w:color="auto" w:fill="FFFFFF"/>
          </w:rPr>
          <w:t>https://unispal.un.org/DPA/DPR/unispal.nsf/0/BC776349EAEE6F28852563E6005EDF08</w:t>
        </w:r>
      </w:hyperlink>
    </w:p>
    <w:p w:rsidR="009B636F" w:rsidRPr="00B726E5" w:rsidRDefault="009B636F" w:rsidP="009B636F">
      <w:pPr>
        <w:pStyle w:val="a5"/>
        <w:bidi w:val="0"/>
        <w:spacing w:line="360" w:lineRule="auto"/>
        <w:jc w:val="both"/>
        <w:rPr>
          <w:rFonts w:asciiTheme="majorBidi" w:hAnsiTheme="majorBidi" w:cstheme="majorBidi"/>
          <w:sz w:val="28"/>
          <w:szCs w:val="28"/>
          <w:rtl/>
        </w:rPr>
      </w:pPr>
    </w:p>
    <w:p w:rsidR="009B636F" w:rsidRPr="00B726E5" w:rsidRDefault="009B636F" w:rsidP="009B636F">
      <w:pPr>
        <w:pStyle w:val="a5"/>
        <w:bidi w:val="0"/>
        <w:spacing w:line="360" w:lineRule="auto"/>
        <w:jc w:val="both"/>
        <w:rPr>
          <w:rFonts w:asciiTheme="majorBidi" w:eastAsia="Times New Roman" w:hAnsiTheme="majorBidi" w:cstheme="majorBidi"/>
          <w:sz w:val="28"/>
          <w:szCs w:val="28"/>
        </w:rPr>
      </w:pPr>
      <w:r w:rsidRPr="00B726E5">
        <w:rPr>
          <w:rFonts w:asciiTheme="majorBidi" w:hAnsiTheme="majorBidi" w:cstheme="majorBidi"/>
          <w:sz w:val="28"/>
          <w:szCs w:val="28"/>
          <w:shd w:val="clear" w:color="auto" w:fill="FFFFFF"/>
        </w:rPr>
        <w:t xml:space="preserve">Report of the Special Working Group of Experts Established under Resolution 6 (Xxv) of the Commission on Human Rights Commission on Human Rights, </w:t>
      </w:r>
      <w:r w:rsidRPr="00B726E5">
        <w:rPr>
          <w:rFonts w:asciiTheme="majorBidi" w:eastAsia="Times New Roman" w:hAnsiTheme="majorBidi" w:cstheme="majorBidi"/>
          <w:sz w:val="28"/>
          <w:szCs w:val="28"/>
        </w:rPr>
        <w:br/>
        <w:t>E/Cn.4/1016, 20 January 1970</w:t>
      </w:r>
      <w:r>
        <w:rPr>
          <w:rFonts w:asciiTheme="majorBidi" w:eastAsia="Times New Roman" w:hAnsiTheme="majorBidi" w:cstheme="majorBidi"/>
          <w:sz w:val="28"/>
          <w:szCs w:val="28"/>
        </w:rPr>
        <w:t>.</w:t>
      </w:r>
      <w:r w:rsidRPr="00B726E5">
        <w:rPr>
          <w:rFonts w:asciiTheme="majorBidi" w:eastAsia="Times New Roman" w:hAnsiTheme="majorBidi" w:cstheme="majorBidi"/>
          <w:sz w:val="28"/>
          <w:szCs w:val="28"/>
        </w:rPr>
        <w:t xml:space="preserve"> </w:t>
      </w:r>
    </w:p>
    <w:p w:rsidR="009B636F" w:rsidRPr="00057035" w:rsidRDefault="009B636F" w:rsidP="009B636F">
      <w:pPr>
        <w:pStyle w:val="a5"/>
        <w:bidi w:val="0"/>
        <w:spacing w:line="360" w:lineRule="auto"/>
        <w:jc w:val="both"/>
        <w:rPr>
          <w:rStyle w:val="Hyperlink"/>
          <w:rFonts w:asciiTheme="majorBidi" w:hAnsiTheme="majorBidi" w:cstheme="majorBidi"/>
          <w:sz w:val="28"/>
          <w:szCs w:val="28"/>
          <w:shd w:val="clear" w:color="auto" w:fill="FFFFFF"/>
        </w:rPr>
      </w:pPr>
      <w:hyperlink r:id="rId225" w:history="1">
        <w:r w:rsidRPr="00057035">
          <w:rPr>
            <w:rStyle w:val="Hyperlink"/>
            <w:rFonts w:asciiTheme="majorBidi" w:hAnsiTheme="majorBidi" w:cstheme="majorBidi"/>
            <w:sz w:val="28"/>
            <w:szCs w:val="28"/>
          </w:rPr>
          <w:t>https://unispal.un.org/DPA/DPR/unispal.nsf/0/157049457C05A2BC85256EE700666AF2</w:t>
        </w:r>
      </w:hyperlink>
    </w:p>
    <w:p w:rsidR="009B636F" w:rsidRPr="00057035" w:rsidRDefault="009B636F" w:rsidP="009B636F">
      <w:pPr>
        <w:pStyle w:val="a5"/>
        <w:bidi w:val="0"/>
        <w:spacing w:line="360" w:lineRule="auto"/>
        <w:jc w:val="both"/>
        <w:rPr>
          <w:rFonts w:asciiTheme="majorBidi" w:hAnsiTheme="majorBidi" w:cstheme="majorBidi"/>
          <w:sz w:val="28"/>
          <w:szCs w:val="28"/>
          <w:rtl/>
        </w:rPr>
      </w:pPr>
    </w:p>
    <w:p w:rsidR="009B636F" w:rsidRPr="00B726E5" w:rsidRDefault="009B636F" w:rsidP="009B636F">
      <w:pPr>
        <w:pStyle w:val="a5"/>
        <w:bidi w:val="0"/>
        <w:spacing w:line="360" w:lineRule="auto"/>
        <w:jc w:val="both"/>
        <w:rPr>
          <w:rFonts w:asciiTheme="majorBidi" w:eastAsia="Times New Roman" w:hAnsiTheme="majorBidi" w:cstheme="majorBidi"/>
          <w:sz w:val="28"/>
          <w:szCs w:val="28"/>
        </w:rPr>
      </w:pPr>
      <w:r w:rsidRPr="00B726E5">
        <w:rPr>
          <w:rFonts w:asciiTheme="majorBidi" w:eastAsia="Times New Roman" w:hAnsiTheme="majorBidi" w:cstheme="majorBidi"/>
          <w:sz w:val="28"/>
          <w:szCs w:val="28"/>
        </w:rPr>
        <w:t>Respect for human rights in armed conflicts: report of the Secretary-General, A/8052</w:t>
      </w:r>
      <w:r>
        <w:rPr>
          <w:rFonts w:asciiTheme="majorBidi" w:eastAsia="Times New Roman" w:hAnsiTheme="majorBidi" w:cstheme="majorBidi"/>
          <w:sz w:val="28"/>
          <w:szCs w:val="28"/>
        </w:rPr>
        <w:t>.</w:t>
      </w:r>
      <w:r w:rsidRPr="00B726E5">
        <w:rPr>
          <w:rFonts w:asciiTheme="majorBidi" w:eastAsia="Times New Roman" w:hAnsiTheme="majorBidi" w:cstheme="majorBidi"/>
          <w:sz w:val="28"/>
          <w:szCs w:val="28"/>
        </w:rPr>
        <w:t xml:space="preserve"> </w:t>
      </w:r>
    </w:p>
    <w:p w:rsidR="009B636F" w:rsidRPr="00B726E5" w:rsidRDefault="009B636F" w:rsidP="009B636F">
      <w:pPr>
        <w:pStyle w:val="a5"/>
        <w:bidi w:val="0"/>
        <w:spacing w:line="360" w:lineRule="auto"/>
        <w:jc w:val="both"/>
        <w:rPr>
          <w:rFonts w:asciiTheme="majorBidi" w:eastAsia="Times New Roman" w:hAnsiTheme="majorBidi" w:cstheme="majorBidi"/>
          <w:sz w:val="28"/>
          <w:szCs w:val="28"/>
        </w:rPr>
      </w:pPr>
      <w:hyperlink r:id="rId226" w:history="1">
        <w:r w:rsidRPr="00B726E5">
          <w:rPr>
            <w:rStyle w:val="Hyperlink"/>
            <w:rFonts w:asciiTheme="majorBidi" w:eastAsia="Times New Roman" w:hAnsiTheme="majorBidi" w:cstheme="majorBidi"/>
            <w:sz w:val="28"/>
            <w:szCs w:val="28"/>
          </w:rPr>
          <w:t>http://repository.un.org/handle/11176/139076</w:t>
        </w:r>
      </w:hyperlink>
    </w:p>
    <w:p w:rsidR="009B636F" w:rsidRPr="00B726E5" w:rsidRDefault="009B636F" w:rsidP="009B636F">
      <w:pPr>
        <w:pStyle w:val="a5"/>
        <w:spacing w:line="360" w:lineRule="auto"/>
        <w:jc w:val="both"/>
        <w:rPr>
          <w:rFonts w:asciiTheme="majorBidi" w:hAnsiTheme="majorBidi" w:cstheme="majorBidi"/>
          <w:sz w:val="28"/>
          <w:szCs w:val="28"/>
          <w:rtl/>
        </w:rPr>
      </w:pPr>
    </w:p>
    <w:p w:rsidR="009B636F" w:rsidRPr="00B726E5" w:rsidRDefault="009B636F" w:rsidP="009B636F">
      <w:pPr>
        <w:bidi w:val="0"/>
        <w:spacing w:after="0" w:line="360" w:lineRule="auto"/>
        <w:jc w:val="both"/>
        <w:rPr>
          <w:rFonts w:asciiTheme="majorBidi" w:hAnsiTheme="majorBidi" w:cstheme="majorBidi"/>
          <w:sz w:val="28"/>
          <w:szCs w:val="28"/>
          <w:shd w:val="clear" w:color="auto" w:fill="FFFFFF"/>
        </w:rPr>
      </w:pPr>
      <w:r w:rsidRPr="00B726E5">
        <w:rPr>
          <w:rFonts w:asciiTheme="majorBidi" w:hAnsiTheme="majorBidi" w:cstheme="majorBidi"/>
          <w:sz w:val="28"/>
          <w:szCs w:val="28"/>
          <w:shd w:val="clear" w:color="auto" w:fill="FFFFFF"/>
        </w:rPr>
        <w:t>Second follow-up to the report of the United Nations Fact-Finding Mission on the Gaza Conflict, A/RES/64/254</w:t>
      </w:r>
      <w:r>
        <w:rPr>
          <w:rFonts w:asciiTheme="majorBidi" w:hAnsiTheme="majorBidi" w:cstheme="majorBidi"/>
          <w:sz w:val="28"/>
          <w:szCs w:val="28"/>
          <w:shd w:val="clear" w:color="auto" w:fill="FFFFFF"/>
        </w:rPr>
        <w:t>.</w:t>
      </w:r>
      <w:r w:rsidRPr="00B726E5">
        <w:rPr>
          <w:rFonts w:asciiTheme="majorBidi" w:hAnsiTheme="majorBidi" w:cstheme="majorBidi"/>
          <w:sz w:val="28"/>
          <w:szCs w:val="28"/>
          <w:shd w:val="clear" w:color="auto" w:fill="FFFFFF"/>
        </w:rPr>
        <w:t xml:space="preserve"> </w:t>
      </w:r>
    </w:p>
    <w:p w:rsidR="009B636F" w:rsidRPr="00B726E5" w:rsidRDefault="009B636F" w:rsidP="009B636F">
      <w:pPr>
        <w:bidi w:val="0"/>
        <w:spacing w:after="0" w:line="360" w:lineRule="auto"/>
        <w:jc w:val="both"/>
        <w:rPr>
          <w:rFonts w:asciiTheme="majorBidi" w:hAnsiTheme="majorBidi" w:cstheme="majorBidi"/>
          <w:sz w:val="28"/>
          <w:szCs w:val="28"/>
          <w:shd w:val="clear" w:color="auto" w:fill="FFFFFF"/>
        </w:rPr>
      </w:pPr>
      <w:hyperlink r:id="rId227" w:history="1">
        <w:r w:rsidRPr="00B726E5">
          <w:rPr>
            <w:rStyle w:val="Hyperlink"/>
            <w:rFonts w:asciiTheme="majorBidi" w:hAnsiTheme="majorBidi" w:cstheme="majorBidi"/>
            <w:sz w:val="28"/>
            <w:szCs w:val="28"/>
            <w:shd w:val="clear" w:color="auto" w:fill="FFFFFF"/>
          </w:rPr>
          <w:t>https://unispal.un.org/DPA/DPR/unispal.nsf/0/763D289FB7F2019B852576F20050496B</w:t>
        </w:r>
      </w:hyperlink>
    </w:p>
    <w:p w:rsidR="009B636F" w:rsidRPr="00B726E5" w:rsidRDefault="009B636F" w:rsidP="009B636F">
      <w:pPr>
        <w:bidi w:val="0"/>
        <w:spacing w:after="0" w:line="360" w:lineRule="auto"/>
        <w:jc w:val="both"/>
        <w:rPr>
          <w:rFonts w:asciiTheme="majorBidi" w:eastAsia="Times New Roman" w:hAnsiTheme="majorBidi" w:cstheme="majorBidi"/>
          <w:sz w:val="28"/>
          <w:szCs w:val="28"/>
          <w:rtl/>
        </w:rPr>
      </w:pPr>
    </w:p>
    <w:p w:rsidR="009B636F" w:rsidRPr="00B726E5" w:rsidRDefault="009B636F" w:rsidP="009B636F">
      <w:pPr>
        <w:pStyle w:val="a5"/>
        <w:bidi w:val="0"/>
        <w:spacing w:line="360" w:lineRule="auto"/>
        <w:jc w:val="both"/>
        <w:rPr>
          <w:rFonts w:asciiTheme="majorBidi" w:hAnsiTheme="majorBidi" w:cstheme="majorBidi"/>
          <w:sz w:val="28"/>
          <w:szCs w:val="28"/>
        </w:rPr>
      </w:pPr>
      <w:r w:rsidRPr="00B726E5">
        <w:rPr>
          <w:rFonts w:asciiTheme="majorBidi" w:hAnsiTheme="majorBidi" w:cstheme="majorBidi"/>
          <w:sz w:val="28"/>
          <w:szCs w:val="28"/>
        </w:rPr>
        <w:t xml:space="preserve">Secretary-General Disbanding Jenin Fact-Finding Team, </w:t>
      </w:r>
      <w:hyperlink r:id="rId228" w:history="1">
        <w:r w:rsidRPr="00B726E5">
          <w:rPr>
            <w:rFonts w:asciiTheme="majorBidi" w:hAnsiTheme="majorBidi" w:cstheme="majorBidi"/>
            <w:sz w:val="28"/>
            <w:szCs w:val="28"/>
          </w:rPr>
          <w:t>Secretary-General</w:t>
        </w:r>
      </w:hyperlink>
      <w:r w:rsidRPr="00B726E5">
        <w:rPr>
          <w:rFonts w:asciiTheme="majorBidi" w:hAnsiTheme="majorBidi" w:cstheme="majorBidi"/>
          <w:sz w:val="28"/>
          <w:szCs w:val="28"/>
        </w:rPr>
        <w:t xml:space="preserve">, </w:t>
      </w:r>
      <w:hyperlink r:id="rId229" w:history="1">
        <w:r w:rsidRPr="00B726E5">
          <w:rPr>
            <w:rFonts w:asciiTheme="majorBidi" w:hAnsiTheme="majorBidi" w:cstheme="majorBidi"/>
            <w:sz w:val="28"/>
            <w:szCs w:val="28"/>
          </w:rPr>
          <w:t>Press Release</w:t>
        </w:r>
      </w:hyperlink>
      <w:r>
        <w:rPr>
          <w:rFonts w:asciiTheme="majorBidi" w:hAnsiTheme="majorBidi" w:cstheme="majorBidi"/>
          <w:sz w:val="28"/>
          <w:szCs w:val="28"/>
        </w:rPr>
        <w:t>.</w:t>
      </w:r>
    </w:p>
    <w:p w:rsidR="009B636F" w:rsidRPr="00B726E5" w:rsidRDefault="009B636F" w:rsidP="009B636F">
      <w:pPr>
        <w:pStyle w:val="a5"/>
        <w:bidi w:val="0"/>
        <w:spacing w:line="360" w:lineRule="auto"/>
        <w:jc w:val="both"/>
        <w:rPr>
          <w:rFonts w:asciiTheme="majorBidi" w:hAnsiTheme="majorBidi" w:cstheme="majorBidi"/>
          <w:sz w:val="28"/>
          <w:szCs w:val="28"/>
        </w:rPr>
      </w:pPr>
      <w:hyperlink r:id="rId230" w:history="1">
        <w:r w:rsidRPr="00B726E5">
          <w:rPr>
            <w:rStyle w:val="Hyperlink"/>
            <w:rFonts w:asciiTheme="majorBidi" w:hAnsiTheme="majorBidi" w:cstheme="majorBidi"/>
            <w:sz w:val="28"/>
            <w:szCs w:val="28"/>
          </w:rPr>
          <w:t>http://www.un.org/press/en/2002/sgsm8220.doc.htm</w:t>
        </w:r>
      </w:hyperlink>
    </w:p>
    <w:p w:rsidR="009B636F" w:rsidRPr="00B726E5" w:rsidRDefault="009B636F" w:rsidP="009B636F">
      <w:pPr>
        <w:pStyle w:val="a5"/>
        <w:bidi w:val="0"/>
        <w:spacing w:line="360" w:lineRule="auto"/>
        <w:jc w:val="both"/>
        <w:rPr>
          <w:rFonts w:asciiTheme="majorBidi" w:hAnsiTheme="majorBidi" w:cstheme="majorBidi"/>
          <w:sz w:val="28"/>
          <w:szCs w:val="28"/>
          <w:rtl/>
        </w:rPr>
      </w:pPr>
    </w:p>
    <w:p w:rsidR="009B636F" w:rsidRPr="00B726E5" w:rsidRDefault="009B636F" w:rsidP="009B636F">
      <w:pPr>
        <w:pStyle w:val="a5"/>
        <w:bidi w:val="0"/>
        <w:spacing w:line="360" w:lineRule="auto"/>
        <w:jc w:val="both"/>
        <w:rPr>
          <w:rFonts w:asciiTheme="majorBidi" w:hAnsiTheme="majorBidi" w:cstheme="majorBidi"/>
          <w:sz w:val="28"/>
          <w:szCs w:val="28"/>
        </w:rPr>
      </w:pPr>
      <w:r w:rsidRPr="00B726E5">
        <w:rPr>
          <w:rFonts w:asciiTheme="majorBidi" w:hAnsiTheme="majorBidi" w:cstheme="majorBidi"/>
          <w:sz w:val="28"/>
          <w:szCs w:val="28"/>
        </w:rPr>
        <w:t>Secretary-General Presents His Annual Report to General Assembly, Press Release, SG/SM/7136</w:t>
      </w:r>
      <w:r w:rsidRPr="00B726E5">
        <w:rPr>
          <w:rStyle w:val="apple-converted-space"/>
          <w:rFonts w:asciiTheme="majorBidi" w:hAnsiTheme="majorBidi" w:cstheme="majorBidi"/>
          <w:sz w:val="28"/>
          <w:szCs w:val="28"/>
        </w:rPr>
        <w:t>,</w:t>
      </w:r>
      <w:r w:rsidRPr="00B726E5">
        <w:rPr>
          <w:rFonts w:asciiTheme="majorBidi" w:hAnsiTheme="majorBidi" w:cstheme="majorBidi"/>
          <w:sz w:val="28"/>
          <w:szCs w:val="28"/>
        </w:rPr>
        <w:t xml:space="preserve"> GA/9596</w:t>
      </w:r>
      <w:r>
        <w:rPr>
          <w:rFonts w:asciiTheme="majorBidi" w:hAnsiTheme="majorBidi" w:cstheme="majorBidi"/>
          <w:sz w:val="28"/>
          <w:szCs w:val="28"/>
        </w:rPr>
        <w:t>.</w:t>
      </w:r>
    </w:p>
    <w:p w:rsidR="009B636F" w:rsidRPr="00B726E5" w:rsidRDefault="009B636F" w:rsidP="009B636F">
      <w:pPr>
        <w:pStyle w:val="a5"/>
        <w:bidi w:val="0"/>
        <w:spacing w:line="360" w:lineRule="auto"/>
        <w:jc w:val="both"/>
        <w:rPr>
          <w:rFonts w:asciiTheme="majorBidi" w:hAnsiTheme="majorBidi" w:cstheme="majorBidi"/>
          <w:sz w:val="28"/>
          <w:szCs w:val="28"/>
        </w:rPr>
      </w:pPr>
      <w:hyperlink r:id="rId231" w:history="1">
        <w:r w:rsidRPr="00B726E5">
          <w:rPr>
            <w:rStyle w:val="Hyperlink"/>
            <w:rFonts w:asciiTheme="majorBidi" w:hAnsiTheme="majorBidi" w:cstheme="majorBidi"/>
            <w:sz w:val="28"/>
            <w:szCs w:val="28"/>
          </w:rPr>
          <w:t>http://www.un.org/press/en/1999/19990920.sgsm7136.html</w:t>
        </w:r>
      </w:hyperlink>
    </w:p>
    <w:p w:rsidR="009B636F" w:rsidRPr="00B726E5" w:rsidRDefault="009B636F" w:rsidP="009B636F">
      <w:pPr>
        <w:pStyle w:val="a5"/>
        <w:bidi w:val="0"/>
        <w:spacing w:line="360" w:lineRule="auto"/>
        <w:jc w:val="both"/>
        <w:rPr>
          <w:rFonts w:asciiTheme="majorBidi" w:hAnsiTheme="majorBidi" w:cstheme="majorBidi"/>
          <w:sz w:val="28"/>
          <w:szCs w:val="28"/>
        </w:rPr>
      </w:pPr>
    </w:p>
    <w:p w:rsidR="009B636F" w:rsidRPr="00B726E5" w:rsidRDefault="009B636F" w:rsidP="009B636F">
      <w:pPr>
        <w:pStyle w:val="a5"/>
        <w:bidi w:val="0"/>
        <w:spacing w:line="360" w:lineRule="auto"/>
        <w:jc w:val="both"/>
        <w:rPr>
          <w:rFonts w:asciiTheme="majorBidi" w:eastAsia="Times New Roman" w:hAnsiTheme="majorBidi" w:cstheme="majorBidi"/>
          <w:caps/>
          <w:sz w:val="28"/>
          <w:szCs w:val="28"/>
        </w:rPr>
      </w:pPr>
      <w:r w:rsidRPr="00B726E5">
        <w:rPr>
          <w:rFonts w:asciiTheme="majorBidi" w:hAnsiTheme="majorBidi" w:cstheme="majorBidi"/>
          <w:sz w:val="28"/>
          <w:szCs w:val="28"/>
        </w:rPr>
        <w:t xml:space="preserve">Secretary-General Urges Human Rights Activists to ‘Fill Leadership Vacuum’, Hold World Leaders to Account, In Address to International Day Event, </w:t>
      </w:r>
      <w:hyperlink r:id="rId232" w:history="1">
        <w:r w:rsidRPr="00B726E5">
          <w:rPr>
            <w:rFonts w:asciiTheme="majorBidi" w:eastAsia="Times New Roman" w:hAnsiTheme="majorBidi" w:cstheme="majorBidi"/>
            <w:spacing w:val="7"/>
            <w:sz w:val="28"/>
            <w:szCs w:val="28"/>
          </w:rPr>
          <w:t>Secretary-General</w:t>
        </w:r>
      </w:hyperlink>
      <w:hyperlink r:id="rId233" w:history="1">
        <w:r w:rsidRPr="00B726E5">
          <w:rPr>
            <w:rFonts w:asciiTheme="majorBidi" w:eastAsia="Times New Roman" w:hAnsiTheme="majorBidi" w:cstheme="majorBidi"/>
            <w:spacing w:val="7"/>
            <w:sz w:val="28"/>
            <w:szCs w:val="28"/>
          </w:rPr>
          <w:t>Press Release</w:t>
        </w:r>
      </w:hyperlink>
      <w:r w:rsidRPr="00B726E5">
        <w:rPr>
          <w:rFonts w:asciiTheme="majorBidi" w:eastAsia="Times New Roman" w:hAnsiTheme="majorBidi" w:cstheme="majorBidi"/>
          <w:caps/>
          <w:spacing w:val="7"/>
          <w:sz w:val="28"/>
          <w:szCs w:val="28"/>
        </w:rPr>
        <w:t xml:space="preserve">, </w:t>
      </w:r>
      <w:r w:rsidRPr="00B726E5">
        <w:rPr>
          <w:rFonts w:asciiTheme="majorBidi" w:eastAsia="Times New Roman" w:hAnsiTheme="majorBidi" w:cstheme="majorBidi"/>
          <w:caps/>
          <w:sz w:val="28"/>
          <w:szCs w:val="28"/>
        </w:rPr>
        <w:t>8 DECEMBER 2006, SG/SM/10788-HR/4909-OBV/601</w:t>
      </w:r>
      <w:r>
        <w:rPr>
          <w:rFonts w:asciiTheme="majorBidi" w:eastAsia="Times New Roman" w:hAnsiTheme="majorBidi" w:cstheme="majorBidi"/>
          <w:caps/>
          <w:sz w:val="28"/>
          <w:szCs w:val="28"/>
        </w:rPr>
        <w:t>.</w:t>
      </w:r>
    </w:p>
    <w:p w:rsidR="009B636F" w:rsidRPr="00B726E5" w:rsidRDefault="009B636F" w:rsidP="009B636F">
      <w:pPr>
        <w:pStyle w:val="a5"/>
        <w:bidi w:val="0"/>
        <w:spacing w:line="360" w:lineRule="auto"/>
        <w:jc w:val="both"/>
        <w:rPr>
          <w:rFonts w:asciiTheme="majorBidi" w:eastAsia="Times New Roman" w:hAnsiTheme="majorBidi" w:cstheme="majorBidi"/>
          <w:caps/>
          <w:sz w:val="28"/>
          <w:szCs w:val="28"/>
        </w:rPr>
      </w:pPr>
      <w:hyperlink r:id="rId234" w:history="1">
        <w:r w:rsidRPr="00B726E5">
          <w:rPr>
            <w:rStyle w:val="Hyperlink"/>
            <w:rFonts w:asciiTheme="majorBidi" w:eastAsia="Times New Roman" w:hAnsiTheme="majorBidi" w:cstheme="majorBidi"/>
            <w:caps/>
            <w:sz w:val="28"/>
            <w:szCs w:val="28"/>
          </w:rPr>
          <w:t>http://www.un.org/press/en/2006/sgsm10788.doc.htm</w:t>
        </w:r>
      </w:hyperlink>
    </w:p>
    <w:p w:rsidR="009B636F" w:rsidRPr="00B726E5" w:rsidRDefault="009B636F" w:rsidP="009B636F">
      <w:pPr>
        <w:pStyle w:val="a5"/>
        <w:bidi w:val="0"/>
        <w:spacing w:line="360" w:lineRule="auto"/>
        <w:jc w:val="both"/>
        <w:rPr>
          <w:rFonts w:asciiTheme="majorBidi" w:hAnsiTheme="majorBidi" w:cstheme="majorBidi"/>
          <w:sz w:val="28"/>
          <w:szCs w:val="28"/>
          <w:rtl/>
        </w:rPr>
      </w:pPr>
    </w:p>
    <w:p w:rsidR="009B636F" w:rsidRPr="00B726E5" w:rsidRDefault="009B636F" w:rsidP="009B636F">
      <w:pPr>
        <w:pStyle w:val="a5"/>
        <w:bidi w:val="0"/>
        <w:spacing w:line="360" w:lineRule="auto"/>
        <w:jc w:val="both"/>
        <w:rPr>
          <w:rFonts w:asciiTheme="majorBidi" w:eastAsia="Times New Roman" w:hAnsiTheme="majorBidi" w:cstheme="majorBidi"/>
          <w:sz w:val="28"/>
          <w:szCs w:val="28"/>
        </w:rPr>
      </w:pPr>
      <w:r w:rsidRPr="00B726E5">
        <w:rPr>
          <w:rFonts w:asciiTheme="majorBidi" w:eastAsia="Times New Roman" w:hAnsiTheme="majorBidi" w:cstheme="majorBidi"/>
          <w:kern w:val="36"/>
          <w:sz w:val="28"/>
          <w:szCs w:val="28"/>
        </w:rPr>
        <w:t xml:space="preserve">Secretary-General Urges Human Rights Council to Take Responsibilities Seriously, Stresses Importance of Considering All Violations Equally, </w:t>
      </w:r>
      <w:hyperlink r:id="rId235" w:history="1">
        <w:r w:rsidRPr="00B726E5">
          <w:rPr>
            <w:rFonts w:asciiTheme="majorBidi" w:eastAsia="Times New Roman" w:hAnsiTheme="majorBidi" w:cstheme="majorBidi"/>
            <w:kern w:val="36"/>
            <w:sz w:val="28"/>
            <w:szCs w:val="28"/>
          </w:rPr>
          <w:t>Secretary-General</w:t>
        </w:r>
      </w:hyperlink>
      <w:r w:rsidRPr="00B726E5">
        <w:rPr>
          <w:rFonts w:asciiTheme="majorBidi" w:eastAsia="Times New Roman" w:hAnsiTheme="majorBidi" w:cstheme="majorBidi"/>
          <w:kern w:val="36"/>
          <w:sz w:val="28"/>
          <w:szCs w:val="28"/>
        </w:rPr>
        <w:t xml:space="preserve">, </w:t>
      </w:r>
      <w:hyperlink r:id="rId236" w:history="1">
        <w:r w:rsidRPr="00B726E5">
          <w:rPr>
            <w:rFonts w:asciiTheme="majorBidi" w:eastAsia="Times New Roman" w:hAnsiTheme="majorBidi" w:cstheme="majorBidi"/>
            <w:kern w:val="36"/>
            <w:sz w:val="28"/>
            <w:szCs w:val="28"/>
          </w:rPr>
          <w:t>Press Release</w:t>
        </w:r>
      </w:hyperlink>
      <w:r w:rsidRPr="00B726E5">
        <w:rPr>
          <w:rFonts w:asciiTheme="majorBidi" w:eastAsia="Times New Roman" w:hAnsiTheme="majorBidi" w:cstheme="majorBidi"/>
          <w:kern w:val="36"/>
          <w:sz w:val="28"/>
          <w:szCs w:val="28"/>
        </w:rPr>
        <w:t>, 20 June 2007, Sg/Sm/11053-Hrc/8</w:t>
      </w:r>
      <w:r>
        <w:rPr>
          <w:rFonts w:asciiTheme="majorBidi" w:eastAsia="Times New Roman" w:hAnsiTheme="majorBidi" w:cstheme="majorBidi"/>
          <w:kern w:val="36"/>
          <w:sz w:val="28"/>
          <w:szCs w:val="28"/>
        </w:rPr>
        <w:t>.</w:t>
      </w:r>
    </w:p>
    <w:p w:rsidR="009B636F" w:rsidRPr="00B726E5" w:rsidRDefault="009B636F" w:rsidP="009B636F">
      <w:pPr>
        <w:pStyle w:val="a5"/>
        <w:bidi w:val="0"/>
        <w:spacing w:line="360" w:lineRule="auto"/>
        <w:jc w:val="both"/>
        <w:rPr>
          <w:rFonts w:asciiTheme="majorBidi" w:eastAsia="Times New Roman" w:hAnsiTheme="majorBidi" w:cstheme="majorBidi"/>
          <w:sz w:val="28"/>
          <w:szCs w:val="28"/>
        </w:rPr>
      </w:pPr>
      <w:hyperlink r:id="rId237" w:history="1">
        <w:r w:rsidRPr="00B726E5">
          <w:rPr>
            <w:rStyle w:val="Hyperlink"/>
            <w:rFonts w:asciiTheme="majorBidi" w:eastAsia="Times New Roman" w:hAnsiTheme="majorBidi" w:cstheme="majorBidi"/>
            <w:sz w:val="28"/>
            <w:szCs w:val="28"/>
          </w:rPr>
          <w:t>http://www.un.org/press/en/2007/sgsm11053.doc.htm</w:t>
        </w:r>
      </w:hyperlink>
    </w:p>
    <w:p w:rsidR="009B636F" w:rsidRPr="00B726E5" w:rsidRDefault="009B636F" w:rsidP="009B636F">
      <w:pPr>
        <w:pStyle w:val="a5"/>
        <w:bidi w:val="0"/>
        <w:spacing w:line="360" w:lineRule="auto"/>
        <w:jc w:val="both"/>
        <w:rPr>
          <w:rFonts w:asciiTheme="majorBidi" w:hAnsiTheme="majorBidi" w:cstheme="majorBidi"/>
          <w:sz w:val="28"/>
          <w:szCs w:val="28"/>
          <w:rtl/>
        </w:rPr>
      </w:pPr>
    </w:p>
    <w:p w:rsidR="009B636F" w:rsidRPr="00B726E5" w:rsidRDefault="009B636F" w:rsidP="009B636F">
      <w:pPr>
        <w:pStyle w:val="a5"/>
        <w:bidi w:val="0"/>
        <w:spacing w:line="360" w:lineRule="auto"/>
        <w:jc w:val="both"/>
        <w:rPr>
          <w:rFonts w:asciiTheme="majorBidi" w:hAnsiTheme="majorBidi" w:cstheme="majorBidi"/>
          <w:sz w:val="28"/>
          <w:szCs w:val="28"/>
        </w:rPr>
      </w:pPr>
      <w:r w:rsidRPr="00B726E5">
        <w:rPr>
          <w:rFonts w:asciiTheme="majorBidi" w:hAnsiTheme="majorBidi" w:cstheme="majorBidi"/>
          <w:sz w:val="28"/>
          <w:szCs w:val="28"/>
        </w:rPr>
        <w:t>Security Council to Discuss Draft Resolution on Middle East</w:t>
      </w:r>
      <w:r>
        <w:rPr>
          <w:rFonts w:asciiTheme="majorBidi" w:hAnsiTheme="majorBidi" w:cstheme="majorBidi"/>
          <w:sz w:val="28"/>
          <w:szCs w:val="28"/>
        </w:rPr>
        <w:t>.</w:t>
      </w:r>
    </w:p>
    <w:p w:rsidR="009B636F" w:rsidRPr="00057035" w:rsidRDefault="009B636F" w:rsidP="009B636F">
      <w:pPr>
        <w:pStyle w:val="a5"/>
        <w:bidi w:val="0"/>
        <w:spacing w:line="360" w:lineRule="auto"/>
        <w:jc w:val="both"/>
        <w:rPr>
          <w:rStyle w:val="Hyperlink"/>
          <w:rFonts w:asciiTheme="majorBidi" w:eastAsia="Times New Roman" w:hAnsiTheme="majorBidi" w:cstheme="majorBidi"/>
          <w:sz w:val="28"/>
          <w:szCs w:val="28"/>
        </w:rPr>
      </w:pPr>
      <w:hyperlink r:id="rId238" w:history="1">
        <w:r w:rsidRPr="00057035">
          <w:rPr>
            <w:rStyle w:val="Hyperlink"/>
            <w:rFonts w:asciiTheme="majorBidi" w:eastAsia="Times New Roman" w:hAnsiTheme="majorBidi" w:cstheme="majorBidi"/>
            <w:sz w:val="28"/>
            <w:szCs w:val="28"/>
          </w:rPr>
          <w:t>https://unispal.un.org/DPA/DPR/unispal.nsf/0/CC2BA38AD897B94985256F24006BC5C3</w:t>
        </w:r>
      </w:hyperlink>
    </w:p>
    <w:p w:rsidR="009B636F" w:rsidRPr="00057035" w:rsidRDefault="009B636F" w:rsidP="009B636F">
      <w:pPr>
        <w:pStyle w:val="a5"/>
        <w:spacing w:line="360" w:lineRule="auto"/>
        <w:jc w:val="both"/>
        <w:rPr>
          <w:rFonts w:asciiTheme="majorBidi" w:hAnsiTheme="majorBidi" w:cstheme="majorBidi"/>
          <w:sz w:val="28"/>
          <w:szCs w:val="28"/>
          <w:rtl/>
        </w:rPr>
      </w:pPr>
    </w:p>
    <w:p w:rsidR="009B636F" w:rsidRPr="00B726E5" w:rsidRDefault="009B636F" w:rsidP="009B636F">
      <w:pPr>
        <w:pStyle w:val="a5"/>
        <w:bidi w:val="0"/>
        <w:spacing w:line="360" w:lineRule="auto"/>
        <w:jc w:val="both"/>
        <w:rPr>
          <w:rFonts w:asciiTheme="majorBidi" w:hAnsiTheme="majorBidi" w:cstheme="majorBidi"/>
          <w:sz w:val="28"/>
          <w:szCs w:val="28"/>
        </w:rPr>
      </w:pPr>
      <w:r w:rsidRPr="00B726E5">
        <w:rPr>
          <w:rFonts w:asciiTheme="majorBidi" w:hAnsiTheme="majorBidi" w:cstheme="majorBidi"/>
          <w:sz w:val="28"/>
          <w:szCs w:val="28"/>
        </w:rPr>
        <w:t>The Draft Model Rules of Fact-Finding Procedure for UN Bodies Dealing with Violations of Human Rights, issued in 1970 by the Secretary General and adopted in 1974 by the UN Economic and Social Council</w:t>
      </w:r>
      <w:r>
        <w:rPr>
          <w:rFonts w:asciiTheme="majorBidi" w:hAnsiTheme="majorBidi" w:cstheme="majorBidi"/>
          <w:sz w:val="28"/>
          <w:szCs w:val="28"/>
        </w:rPr>
        <w:t>.</w:t>
      </w:r>
    </w:p>
    <w:p w:rsidR="009B636F" w:rsidRPr="00B726E5" w:rsidRDefault="009B636F" w:rsidP="009B636F">
      <w:pPr>
        <w:pStyle w:val="a5"/>
        <w:spacing w:line="360" w:lineRule="auto"/>
        <w:jc w:val="both"/>
        <w:rPr>
          <w:rFonts w:asciiTheme="majorBidi" w:hAnsiTheme="majorBidi" w:cstheme="majorBidi"/>
          <w:sz w:val="28"/>
          <w:szCs w:val="28"/>
          <w:rtl/>
        </w:rPr>
      </w:pPr>
    </w:p>
    <w:p w:rsidR="009B636F" w:rsidRPr="00B726E5" w:rsidRDefault="009B636F" w:rsidP="009B636F">
      <w:pPr>
        <w:bidi w:val="0"/>
        <w:spacing w:after="0" w:line="360" w:lineRule="auto"/>
        <w:jc w:val="both"/>
        <w:rPr>
          <w:rFonts w:asciiTheme="majorBidi" w:eastAsia="Times New Roman" w:hAnsiTheme="majorBidi" w:cstheme="majorBidi"/>
          <w:sz w:val="28"/>
          <w:szCs w:val="28"/>
        </w:rPr>
      </w:pPr>
      <w:r w:rsidRPr="00B726E5">
        <w:rPr>
          <w:rFonts w:asciiTheme="majorBidi" w:eastAsia="Times New Roman" w:hAnsiTheme="majorBidi" w:cstheme="majorBidi"/>
          <w:sz w:val="28"/>
          <w:szCs w:val="28"/>
        </w:rPr>
        <w:t>UN Human Rights Council, Report of the Commission of Inquiry on Lebanon Pursuant to Human Rights Council Resolution S-2/1, 23 November 2006, A/HRC/3/2</w:t>
      </w:r>
      <w:r>
        <w:rPr>
          <w:rFonts w:asciiTheme="majorBidi" w:eastAsia="Times New Roman" w:hAnsiTheme="majorBidi" w:cstheme="majorBidi"/>
          <w:sz w:val="28"/>
          <w:szCs w:val="28"/>
        </w:rPr>
        <w:t>.</w:t>
      </w:r>
      <w:r w:rsidRPr="00B726E5">
        <w:rPr>
          <w:rFonts w:asciiTheme="majorBidi" w:eastAsia="Times New Roman" w:hAnsiTheme="majorBidi" w:cstheme="majorBidi"/>
          <w:sz w:val="28"/>
          <w:szCs w:val="28"/>
        </w:rPr>
        <w:t xml:space="preserve"> </w:t>
      </w:r>
    </w:p>
    <w:p w:rsidR="009B636F" w:rsidRPr="00B726E5" w:rsidRDefault="009B636F" w:rsidP="009B636F">
      <w:pPr>
        <w:bidi w:val="0"/>
        <w:spacing w:after="0" w:line="360" w:lineRule="auto"/>
        <w:jc w:val="both"/>
        <w:rPr>
          <w:rFonts w:asciiTheme="majorBidi" w:eastAsia="Times New Roman" w:hAnsiTheme="majorBidi" w:cstheme="majorBidi"/>
          <w:sz w:val="28"/>
          <w:szCs w:val="28"/>
        </w:rPr>
      </w:pPr>
      <w:hyperlink r:id="rId239" w:history="1">
        <w:r w:rsidRPr="00B726E5">
          <w:rPr>
            <w:rStyle w:val="Hyperlink"/>
            <w:rFonts w:asciiTheme="majorBidi" w:eastAsia="Times New Roman" w:hAnsiTheme="majorBidi" w:cstheme="majorBidi"/>
            <w:sz w:val="28"/>
            <w:szCs w:val="28"/>
          </w:rPr>
          <w:t>http://www.securitycouncilreport.org/atf/cf/%7B65BFCF9B-6D27-4E9C-8CD3-CF6E4FF96FF9%7D/Lebanon%20A%20HRC%203%202.pdf</w:t>
        </w:r>
      </w:hyperlink>
    </w:p>
    <w:p w:rsidR="009B636F" w:rsidRPr="00B726E5" w:rsidRDefault="009B636F" w:rsidP="009B636F">
      <w:pPr>
        <w:bidi w:val="0"/>
        <w:spacing w:after="0" w:line="360" w:lineRule="auto"/>
        <w:jc w:val="both"/>
        <w:rPr>
          <w:rFonts w:asciiTheme="majorBidi" w:eastAsia="Times New Roman" w:hAnsiTheme="majorBidi" w:cstheme="majorBidi"/>
          <w:sz w:val="28"/>
          <w:szCs w:val="28"/>
        </w:rPr>
      </w:pPr>
    </w:p>
    <w:p w:rsidR="009B636F" w:rsidRPr="00B726E5" w:rsidRDefault="009B636F" w:rsidP="009B636F">
      <w:pPr>
        <w:pStyle w:val="a5"/>
        <w:bidi w:val="0"/>
        <w:spacing w:line="360" w:lineRule="auto"/>
        <w:jc w:val="both"/>
        <w:rPr>
          <w:rFonts w:asciiTheme="majorBidi" w:hAnsiTheme="majorBidi" w:cstheme="majorBidi"/>
          <w:sz w:val="28"/>
          <w:szCs w:val="28"/>
          <w:shd w:val="clear" w:color="auto" w:fill="FFFFFF"/>
        </w:rPr>
      </w:pPr>
      <w:r w:rsidRPr="00B726E5">
        <w:rPr>
          <w:rFonts w:asciiTheme="majorBidi" w:hAnsiTheme="majorBidi" w:cstheme="majorBidi"/>
          <w:sz w:val="28"/>
          <w:szCs w:val="28"/>
          <w:shd w:val="clear" w:color="auto" w:fill="FFFFFF"/>
        </w:rPr>
        <w:t>UN Human Rights Council, Report of the United Nations Fact-Finding Mission on the Gaza Conflict, A/HRC/12/48</w:t>
      </w:r>
      <w:r>
        <w:rPr>
          <w:rFonts w:asciiTheme="majorBidi" w:hAnsiTheme="majorBidi" w:cstheme="majorBidi"/>
          <w:sz w:val="28"/>
          <w:szCs w:val="28"/>
          <w:shd w:val="clear" w:color="auto" w:fill="FFFFFF"/>
        </w:rPr>
        <w:t>.</w:t>
      </w:r>
      <w:r w:rsidRPr="00B726E5">
        <w:rPr>
          <w:rFonts w:asciiTheme="majorBidi" w:hAnsiTheme="majorBidi" w:cstheme="majorBidi"/>
          <w:sz w:val="28"/>
          <w:szCs w:val="28"/>
          <w:shd w:val="clear" w:color="auto" w:fill="FFFFFF"/>
        </w:rPr>
        <w:t xml:space="preserve"> </w:t>
      </w:r>
    </w:p>
    <w:p w:rsidR="009B636F" w:rsidRPr="00B726E5" w:rsidRDefault="009B636F" w:rsidP="009B636F">
      <w:pPr>
        <w:pStyle w:val="a5"/>
        <w:bidi w:val="0"/>
        <w:spacing w:line="360" w:lineRule="auto"/>
        <w:jc w:val="both"/>
        <w:rPr>
          <w:rFonts w:asciiTheme="majorBidi" w:hAnsiTheme="majorBidi" w:cstheme="majorBidi"/>
          <w:sz w:val="28"/>
          <w:szCs w:val="28"/>
          <w:shd w:val="clear" w:color="auto" w:fill="FFFFFF"/>
        </w:rPr>
      </w:pPr>
      <w:hyperlink r:id="rId240" w:history="1">
        <w:r w:rsidRPr="00B726E5">
          <w:rPr>
            <w:rStyle w:val="Hyperlink"/>
            <w:rFonts w:asciiTheme="majorBidi" w:hAnsiTheme="majorBidi" w:cstheme="majorBidi"/>
            <w:sz w:val="28"/>
            <w:szCs w:val="28"/>
            <w:shd w:val="clear" w:color="auto" w:fill="FFFFFF"/>
          </w:rPr>
          <w:t>http://www2.ohchr.org/english/bodies/hrcouncil/docs/12session/A-HRC-12-48.pdf</w:t>
        </w:r>
      </w:hyperlink>
    </w:p>
    <w:p w:rsidR="009B636F" w:rsidRPr="00B726E5" w:rsidRDefault="009B636F" w:rsidP="009B636F">
      <w:pPr>
        <w:pStyle w:val="a5"/>
        <w:bidi w:val="0"/>
        <w:spacing w:line="360" w:lineRule="auto"/>
        <w:jc w:val="both"/>
        <w:rPr>
          <w:rFonts w:asciiTheme="majorBidi" w:hAnsiTheme="majorBidi" w:cstheme="majorBidi"/>
          <w:sz w:val="28"/>
          <w:szCs w:val="28"/>
          <w:shd w:val="clear" w:color="auto" w:fill="FFFFFF"/>
        </w:rPr>
      </w:pPr>
    </w:p>
    <w:p w:rsidR="009B636F" w:rsidRPr="00B726E5" w:rsidRDefault="009B636F" w:rsidP="009B636F">
      <w:pPr>
        <w:pStyle w:val="a5"/>
        <w:bidi w:val="0"/>
        <w:spacing w:line="360" w:lineRule="auto"/>
        <w:jc w:val="both"/>
        <w:rPr>
          <w:rFonts w:asciiTheme="majorBidi" w:hAnsiTheme="majorBidi" w:cstheme="majorBidi"/>
          <w:sz w:val="28"/>
          <w:szCs w:val="28"/>
          <w:shd w:val="clear" w:color="auto" w:fill="FFFFFF"/>
        </w:rPr>
      </w:pPr>
      <w:r w:rsidRPr="00B726E5">
        <w:rPr>
          <w:rFonts w:asciiTheme="majorBidi" w:hAnsiTheme="majorBidi" w:cstheme="majorBidi"/>
          <w:sz w:val="28"/>
          <w:szCs w:val="28"/>
        </w:rPr>
        <w:t xml:space="preserve">UN Human Rights Council, </w:t>
      </w:r>
      <w:r w:rsidRPr="00B726E5">
        <w:rPr>
          <w:rFonts w:asciiTheme="majorBidi" w:hAnsiTheme="majorBidi" w:cstheme="majorBidi"/>
          <w:sz w:val="28"/>
          <w:szCs w:val="28"/>
          <w:shd w:val="clear" w:color="auto" w:fill="FFFFFF"/>
        </w:rPr>
        <w:t>Report of the High-Level Fact-Finding Mission to Beit Hanoun</w:t>
      </w:r>
      <w:r>
        <w:rPr>
          <w:rFonts w:asciiTheme="majorBidi" w:hAnsiTheme="majorBidi" w:cstheme="majorBidi"/>
          <w:sz w:val="28"/>
          <w:szCs w:val="28"/>
          <w:shd w:val="clear" w:color="auto" w:fill="FFFFFF"/>
        </w:rPr>
        <w:t xml:space="preserve"> </w:t>
      </w:r>
      <w:r w:rsidRPr="00B726E5">
        <w:rPr>
          <w:rFonts w:asciiTheme="majorBidi" w:hAnsiTheme="majorBidi" w:cstheme="majorBidi"/>
          <w:sz w:val="28"/>
          <w:szCs w:val="28"/>
          <w:shd w:val="clear" w:color="auto" w:fill="FFFFFF"/>
        </w:rPr>
        <w:t>established under resolution S-3/1*</w:t>
      </w:r>
      <w:r w:rsidRPr="00B726E5">
        <w:rPr>
          <w:rFonts w:asciiTheme="majorBidi" w:hAnsiTheme="majorBidi" w:cstheme="majorBidi"/>
          <w:sz w:val="28"/>
          <w:szCs w:val="28"/>
        </w:rPr>
        <w:t xml:space="preserve">, </w:t>
      </w:r>
      <w:r w:rsidRPr="00B726E5">
        <w:rPr>
          <w:rFonts w:asciiTheme="majorBidi" w:hAnsiTheme="majorBidi" w:cstheme="majorBidi"/>
          <w:sz w:val="28"/>
          <w:szCs w:val="28"/>
          <w:shd w:val="clear" w:color="auto" w:fill="FFFFFF"/>
        </w:rPr>
        <w:t>A/HRC/5/20</w:t>
      </w:r>
      <w:r>
        <w:rPr>
          <w:rFonts w:asciiTheme="majorBidi" w:hAnsiTheme="majorBidi" w:cstheme="majorBidi"/>
          <w:sz w:val="28"/>
          <w:szCs w:val="28"/>
          <w:shd w:val="clear" w:color="auto" w:fill="FFFFFF"/>
        </w:rPr>
        <w:t>.</w:t>
      </w:r>
    </w:p>
    <w:p w:rsidR="009B636F" w:rsidRPr="00B726E5" w:rsidRDefault="009B636F" w:rsidP="009B636F">
      <w:pPr>
        <w:pStyle w:val="a5"/>
        <w:bidi w:val="0"/>
        <w:spacing w:line="360" w:lineRule="auto"/>
        <w:jc w:val="both"/>
        <w:rPr>
          <w:rFonts w:asciiTheme="majorBidi" w:hAnsiTheme="majorBidi" w:cstheme="majorBidi"/>
          <w:sz w:val="28"/>
          <w:szCs w:val="28"/>
          <w:shd w:val="clear" w:color="auto" w:fill="FFFFFF"/>
        </w:rPr>
      </w:pPr>
      <w:hyperlink r:id="rId241" w:history="1">
        <w:r w:rsidRPr="00B726E5">
          <w:rPr>
            <w:rStyle w:val="Hyperlink"/>
            <w:rFonts w:asciiTheme="majorBidi" w:hAnsiTheme="majorBidi" w:cstheme="majorBidi"/>
            <w:sz w:val="28"/>
            <w:szCs w:val="28"/>
            <w:shd w:val="clear" w:color="auto" w:fill="FFFFFF"/>
          </w:rPr>
          <w:t>https://unispal.un.org/DPA/DPR/UNISPAL.NSF/fd807e46661e3689852570d00069e918/73d6eb7043cc08c785257305005049de?OpenDocument</w:t>
        </w:r>
      </w:hyperlink>
    </w:p>
    <w:p w:rsidR="009B636F" w:rsidRPr="00B726E5" w:rsidRDefault="009B636F" w:rsidP="009B636F">
      <w:pPr>
        <w:bidi w:val="0"/>
        <w:spacing w:after="0" w:line="360" w:lineRule="auto"/>
        <w:jc w:val="both"/>
        <w:rPr>
          <w:rFonts w:asciiTheme="majorBidi" w:eastAsia="Times New Roman" w:hAnsiTheme="majorBidi" w:cstheme="majorBidi"/>
          <w:sz w:val="28"/>
          <w:szCs w:val="28"/>
        </w:rPr>
      </w:pPr>
    </w:p>
    <w:p w:rsidR="009B636F" w:rsidRPr="00B726E5" w:rsidRDefault="009B636F" w:rsidP="009B636F">
      <w:pPr>
        <w:pStyle w:val="a5"/>
        <w:bidi w:val="0"/>
        <w:spacing w:line="360" w:lineRule="auto"/>
        <w:jc w:val="both"/>
        <w:rPr>
          <w:rFonts w:asciiTheme="majorBidi" w:hAnsiTheme="majorBidi" w:cstheme="majorBidi"/>
          <w:sz w:val="28"/>
          <w:szCs w:val="28"/>
        </w:rPr>
      </w:pPr>
      <w:r w:rsidRPr="00B726E5">
        <w:rPr>
          <w:rFonts w:asciiTheme="majorBidi" w:hAnsiTheme="majorBidi" w:cstheme="majorBidi"/>
          <w:sz w:val="28"/>
          <w:szCs w:val="28"/>
        </w:rPr>
        <w:t xml:space="preserve">UN Human Rights Council, </w:t>
      </w:r>
      <w:r w:rsidRPr="00B726E5">
        <w:rPr>
          <w:rFonts w:asciiTheme="majorBidi" w:hAnsiTheme="majorBidi" w:cstheme="majorBidi"/>
          <w:sz w:val="28"/>
          <w:szCs w:val="28"/>
          <w:shd w:val="clear" w:color="auto" w:fill="FFFFFF"/>
        </w:rPr>
        <w:t>Report of the High-Level Fact-Finding Mission to Beit Hanoun</w:t>
      </w:r>
      <w:r>
        <w:rPr>
          <w:rFonts w:asciiTheme="majorBidi" w:hAnsiTheme="majorBidi" w:cstheme="majorBidi"/>
          <w:sz w:val="28"/>
          <w:szCs w:val="28"/>
          <w:shd w:val="clear" w:color="auto" w:fill="FFFFFF"/>
        </w:rPr>
        <w:t xml:space="preserve"> </w:t>
      </w:r>
      <w:r w:rsidRPr="00B726E5">
        <w:rPr>
          <w:rFonts w:asciiTheme="majorBidi" w:hAnsiTheme="majorBidi" w:cstheme="majorBidi"/>
          <w:sz w:val="28"/>
          <w:szCs w:val="28"/>
          <w:shd w:val="clear" w:color="auto" w:fill="FFFFFF"/>
        </w:rPr>
        <w:t>established under resolution S-3/1*</w:t>
      </w:r>
      <w:r w:rsidRPr="00B726E5">
        <w:rPr>
          <w:rFonts w:asciiTheme="majorBidi" w:hAnsiTheme="majorBidi" w:cstheme="majorBidi"/>
          <w:sz w:val="28"/>
          <w:szCs w:val="28"/>
        </w:rPr>
        <w:t xml:space="preserve">, </w:t>
      </w:r>
      <w:r w:rsidRPr="00B726E5">
        <w:rPr>
          <w:rFonts w:asciiTheme="majorBidi" w:hAnsiTheme="majorBidi" w:cstheme="majorBidi"/>
          <w:sz w:val="28"/>
          <w:szCs w:val="28"/>
          <w:shd w:val="clear" w:color="auto" w:fill="FFFFFF"/>
        </w:rPr>
        <w:t>A/HRC/</w:t>
      </w:r>
      <w:r w:rsidRPr="00B726E5">
        <w:rPr>
          <w:rFonts w:asciiTheme="majorBidi" w:hAnsiTheme="majorBidi" w:cstheme="majorBidi"/>
          <w:sz w:val="28"/>
          <w:szCs w:val="28"/>
        </w:rPr>
        <w:t>9/26</w:t>
      </w:r>
      <w:r>
        <w:rPr>
          <w:rFonts w:asciiTheme="majorBidi" w:hAnsiTheme="majorBidi" w:cstheme="majorBidi"/>
          <w:sz w:val="28"/>
          <w:szCs w:val="28"/>
        </w:rPr>
        <w:t>.</w:t>
      </w:r>
    </w:p>
    <w:p w:rsidR="009B636F" w:rsidRPr="00B726E5" w:rsidRDefault="009B636F" w:rsidP="009B636F">
      <w:pPr>
        <w:pStyle w:val="a5"/>
        <w:bidi w:val="0"/>
        <w:spacing w:line="360" w:lineRule="auto"/>
        <w:jc w:val="both"/>
        <w:rPr>
          <w:rFonts w:asciiTheme="majorBidi" w:hAnsiTheme="majorBidi" w:cstheme="majorBidi"/>
          <w:sz w:val="28"/>
          <w:szCs w:val="28"/>
        </w:rPr>
      </w:pPr>
      <w:hyperlink r:id="rId242" w:history="1">
        <w:r w:rsidRPr="00B726E5">
          <w:rPr>
            <w:rStyle w:val="Hyperlink"/>
            <w:rFonts w:asciiTheme="majorBidi" w:hAnsiTheme="majorBidi" w:cstheme="majorBidi"/>
            <w:sz w:val="28"/>
            <w:szCs w:val="28"/>
          </w:rPr>
          <w:t>https://documents-dds-ny.un.org/doc/UNDOC/GEN/G08/153/11/PDF/G0815311.pdf?OpenElement</w:t>
        </w:r>
      </w:hyperlink>
    </w:p>
    <w:p w:rsidR="009B636F" w:rsidRPr="00B726E5" w:rsidRDefault="009B636F" w:rsidP="009B636F">
      <w:pPr>
        <w:bidi w:val="0"/>
        <w:spacing w:after="0" w:line="360" w:lineRule="auto"/>
        <w:jc w:val="both"/>
        <w:rPr>
          <w:rFonts w:asciiTheme="majorBidi" w:eastAsia="Times New Roman" w:hAnsiTheme="majorBidi" w:cstheme="majorBidi"/>
          <w:sz w:val="28"/>
          <w:szCs w:val="28"/>
          <w:rtl/>
        </w:rPr>
      </w:pPr>
    </w:p>
    <w:p w:rsidR="009B636F" w:rsidRPr="00057035" w:rsidRDefault="009B636F" w:rsidP="009B636F">
      <w:pPr>
        <w:pStyle w:val="a5"/>
        <w:spacing w:line="360" w:lineRule="auto"/>
        <w:jc w:val="both"/>
        <w:rPr>
          <w:rFonts w:cs="David"/>
          <w:sz w:val="28"/>
          <w:szCs w:val="28"/>
        </w:rPr>
      </w:pPr>
      <w:r w:rsidRPr="00057035">
        <w:rPr>
          <w:rFonts w:cs="David" w:hint="cs"/>
          <w:sz w:val="28"/>
          <w:szCs w:val="28"/>
          <w:rtl/>
        </w:rPr>
        <w:t>בתי דין פליליים בינלאומיים</w:t>
      </w:r>
    </w:p>
    <w:p w:rsidR="009B636F" w:rsidRPr="00057035" w:rsidRDefault="009B636F" w:rsidP="009B636F">
      <w:pPr>
        <w:pStyle w:val="a5"/>
        <w:spacing w:line="360" w:lineRule="auto"/>
        <w:jc w:val="both"/>
        <w:rPr>
          <w:rFonts w:cs="David"/>
          <w:smallCaps/>
          <w:sz w:val="28"/>
          <w:szCs w:val="28"/>
          <w:rtl/>
        </w:rPr>
      </w:pPr>
    </w:p>
    <w:p w:rsidR="009B636F" w:rsidRPr="00B726E5" w:rsidRDefault="009B636F" w:rsidP="009B636F">
      <w:pPr>
        <w:pStyle w:val="a5"/>
        <w:bidi w:val="0"/>
        <w:spacing w:line="360" w:lineRule="auto"/>
        <w:jc w:val="both"/>
        <w:rPr>
          <w:rFonts w:asciiTheme="majorBidi" w:hAnsiTheme="majorBidi" w:cstheme="majorBidi"/>
          <w:sz w:val="28"/>
          <w:szCs w:val="28"/>
        </w:rPr>
      </w:pPr>
      <w:r w:rsidRPr="00B726E5">
        <w:rPr>
          <w:rFonts w:asciiTheme="majorBidi" w:hAnsiTheme="majorBidi" w:cstheme="majorBidi"/>
          <w:sz w:val="28"/>
          <w:szCs w:val="28"/>
        </w:rPr>
        <w:t>Final Report to the Prosecutor by the Committee Established to Review the NATO Bombing Campaign against the Federal Republic of Yugoslavia</w:t>
      </w:r>
      <w:r>
        <w:rPr>
          <w:rFonts w:asciiTheme="majorBidi" w:hAnsiTheme="majorBidi" w:cstheme="majorBidi"/>
          <w:sz w:val="28"/>
          <w:szCs w:val="28"/>
        </w:rPr>
        <w:t>.</w:t>
      </w:r>
      <w:r w:rsidRPr="00B726E5">
        <w:rPr>
          <w:rFonts w:asciiTheme="majorBidi" w:hAnsiTheme="majorBidi" w:cstheme="majorBidi"/>
          <w:sz w:val="28"/>
          <w:szCs w:val="28"/>
        </w:rPr>
        <w:t xml:space="preserve"> </w:t>
      </w:r>
    </w:p>
    <w:p w:rsidR="009B636F" w:rsidRPr="00B726E5" w:rsidRDefault="009B636F" w:rsidP="009B636F">
      <w:pPr>
        <w:pStyle w:val="a5"/>
        <w:bidi w:val="0"/>
        <w:spacing w:line="360" w:lineRule="auto"/>
        <w:jc w:val="both"/>
        <w:rPr>
          <w:rFonts w:asciiTheme="majorBidi" w:hAnsiTheme="majorBidi" w:cstheme="majorBidi"/>
          <w:sz w:val="28"/>
          <w:szCs w:val="28"/>
        </w:rPr>
      </w:pPr>
      <w:hyperlink r:id="rId243" w:history="1">
        <w:r w:rsidRPr="00B726E5">
          <w:rPr>
            <w:rStyle w:val="Hyperlink"/>
            <w:rFonts w:asciiTheme="majorBidi" w:hAnsiTheme="majorBidi" w:cstheme="majorBidi"/>
            <w:sz w:val="28"/>
            <w:szCs w:val="28"/>
          </w:rPr>
          <w:t>http://www.icty.org/en/press/final-report-prosecutor-committee-established-review-nato-bombing-campaign-against-federal</w:t>
        </w:r>
      </w:hyperlink>
    </w:p>
    <w:p w:rsidR="009B636F" w:rsidRPr="00057035" w:rsidRDefault="009B636F" w:rsidP="009B636F">
      <w:pPr>
        <w:spacing w:after="0" w:line="360" w:lineRule="auto"/>
        <w:jc w:val="both"/>
        <w:rPr>
          <w:rFonts w:asciiTheme="majorBidi" w:hAnsiTheme="majorBidi" w:cstheme="majorBidi"/>
          <w:sz w:val="28"/>
          <w:szCs w:val="28"/>
        </w:rPr>
      </w:pPr>
    </w:p>
    <w:p w:rsidR="009B636F" w:rsidRPr="00057035" w:rsidRDefault="009B636F" w:rsidP="009B636F">
      <w:pPr>
        <w:pStyle w:val="a5"/>
        <w:bidi w:val="0"/>
        <w:spacing w:line="360" w:lineRule="auto"/>
        <w:jc w:val="both"/>
        <w:rPr>
          <w:rFonts w:asciiTheme="majorBidi" w:hAnsiTheme="majorBidi" w:cstheme="majorBidi"/>
          <w:sz w:val="28"/>
          <w:szCs w:val="28"/>
        </w:rPr>
      </w:pPr>
      <w:r w:rsidRPr="00057035">
        <w:rPr>
          <w:rFonts w:asciiTheme="majorBidi" w:hAnsiTheme="majorBidi" w:cstheme="majorBidi"/>
          <w:sz w:val="28"/>
          <w:szCs w:val="28"/>
        </w:rPr>
        <w:t xml:space="preserve">OTP response to communications received concerning Iraq. </w:t>
      </w:r>
    </w:p>
    <w:p w:rsidR="009B636F" w:rsidRPr="00057035" w:rsidRDefault="009B636F" w:rsidP="009B636F">
      <w:pPr>
        <w:pStyle w:val="a5"/>
        <w:bidi w:val="0"/>
        <w:spacing w:line="360" w:lineRule="auto"/>
        <w:jc w:val="both"/>
        <w:rPr>
          <w:rFonts w:asciiTheme="majorBidi" w:hAnsiTheme="majorBidi" w:cstheme="majorBidi"/>
          <w:sz w:val="28"/>
          <w:szCs w:val="28"/>
          <w:rtl/>
        </w:rPr>
      </w:pPr>
      <w:hyperlink r:id="rId244" w:history="1">
        <w:r w:rsidRPr="00057035">
          <w:rPr>
            <w:rStyle w:val="Hyperlink"/>
            <w:rFonts w:asciiTheme="majorBidi" w:hAnsiTheme="majorBidi" w:cstheme="majorBidi"/>
            <w:sz w:val="28"/>
            <w:szCs w:val="28"/>
          </w:rPr>
          <w:t>https://www.icc-cpi.int/NR/rdonlyres/04D143C8-19FB-466C-AB77-4CDB2FDEBEF7/143682/OTP_letter_to_senders_re_Iraq_9_February_2006.pdf</w:t>
        </w:r>
      </w:hyperlink>
    </w:p>
    <w:p w:rsidR="009B636F" w:rsidRPr="00057035" w:rsidRDefault="009B636F" w:rsidP="009B636F">
      <w:pPr>
        <w:pStyle w:val="a5"/>
        <w:bidi w:val="0"/>
        <w:spacing w:line="360" w:lineRule="auto"/>
        <w:jc w:val="both"/>
        <w:rPr>
          <w:rFonts w:asciiTheme="majorBidi" w:hAnsiTheme="majorBidi" w:cstheme="majorBidi"/>
          <w:sz w:val="28"/>
          <w:szCs w:val="28"/>
          <w:rtl/>
        </w:rPr>
      </w:pPr>
    </w:p>
    <w:p w:rsidR="009B636F" w:rsidRPr="00057035" w:rsidRDefault="009B636F" w:rsidP="009B636F">
      <w:pPr>
        <w:pStyle w:val="a5"/>
        <w:bidi w:val="0"/>
        <w:spacing w:line="360" w:lineRule="auto"/>
        <w:jc w:val="both"/>
        <w:rPr>
          <w:rFonts w:asciiTheme="majorBidi" w:hAnsiTheme="majorBidi" w:cstheme="majorBidi"/>
          <w:sz w:val="28"/>
          <w:szCs w:val="28"/>
        </w:rPr>
      </w:pPr>
      <w:r w:rsidRPr="00057035">
        <w:rPr>
          <w:rFonts w:asciiTheme="majorBidi" w:hAnsiTheme="majorBidi" w:cstheme="majorBidi"/>
          <w:sz w:val="28"/>
          <w:szCs w:val="28"/>
        </w:rPr>
        <w:lastRenderedPageBreak/>
        <w:t>Policy Paper on Preliminary Examinations, ICC, The Office of the Prosecutor, November 2013.</w:t>
      </w:r>
    </w:p>
    <w:p w:rsidR="009B636F" w:rsidRPr="00057035" w:rsidRDefault="009B636F" w:rsidP="009B636F">
      <w:pPr>
        <w:pStyle w:val="a5"/>
        <w:bidi w:val="0"/>
        <w:spacing w:line="360" w:lineRule="auto"/>
        <w:jc w:val="both"/>
        <w:rPr>
          <w:rFonts w:asciiTheme="majorBidi" w:hAnsiTheme="majorBidi" w:cstheme="majorBidi"/>
          <w:sz w:val="28"/>
          <w:szCs w:val="28"/>
          <w:rtl/>
        </w:rPr>
      </w:pPr>
      <w:hyperlink r:id="rId245" w:history="1">
        <w:r w:rsidRPr="00057035">
          <w:rPr>
            <w:rStyle w:val="Hyperlink"/>
            <w:rFonts w:asciiTheme="majorBidi" w:hAnsiTheme="majorBidi" w:cstheme="majorBidi"/>
            <w:sz w:val="28"/>
            <w:szCs w:val="28"/>
          </w:rPr>
          <w:t>https://www.icc-cpi.int/en_menus/icc/press%20and%20media/press%20releases/Documents/OTP%20Preliminary%20Examinations/OTP%20-%20Policy%20Paper%20Preliminary%20Examinations%20%202013.pdf</w:t>
        </w:r>
      </w:hyperlink>
      <w:r w:rsidRPr="00057035">
        <w:rPr>
          <w:rFonts w:asciiTheme="majorBidi" w:hAnsiTheme="majorBidi" w:cstheme="majorBidi"/>
          <w:sz w:val="28"/>
          <w:szCs w:val="28"/>
        </w:rPr>
        <w:t>, paragraph 73</w:t>
      </w:r>
    </w:p>
    <w:p w:rsidR="009B636F" w:rsidRPr="00057035" w:rsidRDefault="009B636F" w:rsidP="009B636F">
      <w:pPr>
        <w:pStyle w:val="a5"/>
        <w:bidi w:val="0"/>
        <w:spacing w:line="360" w:lineRule="auto"/>
        <w:jc w:val="both"/>
        <w:rPr>
          <w:rFonts w:asciiTheme="majorBidi" w:hAnsiTheme="majorBidi" w:cstheme="majorBidi"/>
          <w:sz w:val="28"/>
          <w:szCs w:val="28"/>
        </w:rPr>
      </w:pPr>
    </w:p>
    <w:p w:rsidR="009B636F" w:rsidRPr="00057035" w:rsidRDefault="009B636F" w:rsidP="009B636F">
      <w:pPr>
        <w:pStyle w:val="a5"/>
        <w:bidi w:val="0"/>
        <w:spacing w:line="360" w:lineRule="auto"/>
        <w:jc w:val="both"/>
        <w:rPr>
          <w:rFonts w:asciiTheme="majorBidi" w:hAnsiTheme="majorBidi" w:cstheme="majorBidi"/>
          <w:sz w:val="28"/>
          <w:szCs w:val="28"/>
        </w:rPr>
      </w:pPr>
      <w:r w:rsidRPr="00057035">
        <w:rPr>
          <w:rFonts w:asciiTheme="majorBidi" w:hAnsiTheme="majorBidi" w:cstheme="majorBidi"/>
          <w:sz w:val="28"/>
          <w:szCs w:val="28"/>
        </w:rPr>
        <w:t xml:space="preserve">Preliminary Examinations – Afghanistan. </w:t>
      </w:r>
    </w:p>
    <w:p w:rsidR="009B636F" w:rsidRPr="00057035" w:rsidRDefault="009B636F" w:rsidP="009B636F">
      <w:pPr>
        <w:pStyle w:val="a5"/>
        <w:bidi w:val="0"/>
        <w:spacing w:line="360" w:lineRule="auto"/>
        <w:jc w:val="both"/>
        <w:rPr>
          <w:rStyle w:val="Hyperlink"/>
          <w:rFonts w:asciiTheme="majorBidi" w:hAnsiTheme="majorBidi" w:cstheme="majorBidi"/>
          <w:sz w:val="28"/>
          <w:szCs w:val="28"/>
        </w:rPr>
      </w:pPr>
      <w:hyperlink r:id="rId246" w:history="1">
        <w:r w:rsidRPr="00057035">
          <w:rPr>
            <w:rStyle w:val="Hyperlink"/>
            <w:rFonts w:asciiTheme="majorBidi" w:hAnsiTheme="majorBidi" w:cstheme="majorBidi"/>
            <w:sz w:val="28"/>
            <w:szCs w:val="28"/>
          </w:rPr>
          <w:t>https://www.icc-cpi.int/en_menus/icc/structure%20of%20the%20court/office%20of%20the%20prosecutor/comm%20and%20ref/pe-ongoing/afghanistan/Pages/afghanistan.aspx</w:t>
        </w:r>
      </w:hyperlink>
    </w:p>
    <w:p w:rsidR="009B636F" w:rsidRPr="00057035" w:rsidRDefault="009B636F" w:rsidP="009B636F">
      <w:pPr>
        <w:pStyle w:val="a5"/>
        <w:bidi w:val="0"/>
        <w:spacing w:line="360" w:lineRule="auto"/>
        <w:jc w:val="both"/>
        <w:rPr>
          <w:rFonts w:asciiTheme="majorBidi" w:eastAsia="Times New Roman" w:hAnsiTheme="majorBidi" w:cstheme="majorBidi"/>
          <w:kern w:val="36"/>
          <w:sz w:val="28"/>
          <w:szCs w:val="28"/>
        </w:rPr>
      </w:pPr>
    </w:p>
    <w:p w:rsidR="009B636F" w:rsidRPr="00057035" w:rsidRDefault="009B636F" w:rsidP="009B636F">
      <w:pPr>
        <w:pStyle w:val="a5"/>
        <w:bidi w:val="0"/>
        <w:spacing w:line="360" w:lineRule="auto"/>
        <w:jc w:val="both"/>
        <w:rPr>
          <w:rFonts w:asciiTheme="majorBidi" w:hAnsiTheme="majorBidi" w:cstheme="majorBidi"/>
          <w:sz w:val="28"/>
          <w:szCs w:val="28"/>
        </w:rPr>
      </w:pPr>
      <w:r w:rsidRPr="00057035">
        <w:rPr>
          <w:rFonts w:asciiTheme="majorBidi" w:hAnsiTheme="majorBidi" w:cstheme="majorBidi"/>
          <w:sz w:val="28"/>
          <w:szCs w:val="28"/>
        </w:rPr>
        <w:t xml:space="preserve">Preliminary Examinations – Iraq. </w:t>
      </w:r>
    </w:p>
    <w:p w:rsidR="009B636F" w:rsidRPr="00057035" w:rsidRDefault="009B636F" w:rsidP="009B636F">
      <w:pPr>
        <w:pStyle w:val="a5"/>
        <w:bidi w:val="0"/>
        <w:spacing w:line="360" w:lineRule="auto"/>
        <w:jc w:val="both"/>
        <w:rPr>
          <w:rFonts w:asciiTheme="majorBidi" w:hAnsiTheme="majorBidi" w:cstheme="majorBidi"/>
          <w:sz w:val="28"/>
          <w:szCs w:val="28"/>
        </w:rPr>
      </w:pPr>
      <w:hyperlink r:id="rId247" w:history="1">
        <w:r w:rsidRPr="00057035">
          <w:rPr>
            <w:rStyle w:val="Hyperlink"/>
            <w:rFonts w:asciiTheme="majorBidi" w:hAnsiTheme="majorBidi" w:cstheme="majorBidi"/>
            <w:sz w:val="28"/>
            <w:szCs w:val="28"/>
          </w:rPr>
          <w:t>https://www.icc-cpi.int/EN_Menus/icc/structure%20of%20the%20court/office%20of%20the%20prosecutor/comm%20and%20ref/pe-ongoing/iraq/pages/iraq.aspx</w:t>
        </w:r>
      </w:hyperlink>
    </w:p>
    <w:p w:rsidR="009B636F" w:rsidRPr="00057035" w:rsidRDefault="009B636F" w:rsidP="009B636F">
      <w:pPr>
        <w:pStyle w:val="a5"/>
        <w:bidi w:val="0"/>
        <w:spacing w:line="360" w:lineRule="auto"/>
        <w:jc w:val="both"/>
        <w:rPr>
          <w:rFonts w:asciiTheme="majorBidi" w:hAnsiTheme="majorBidi" w:cstheme="majorBidi"/>
          <w:sz w:val="28"/>
          <w:szCs w:val="28"/>
        </w:rPr>
      </w:pPr>
    </w:p>
    <w:p w:rsidR="009B636F" w:rsidRPr="00057035" w:rsidRDefault="009B636F" w:rsidP="009B636F">
      <w:pPr>
        <w:pStyle w:val="a5"/>
        <w:bidi w:val="0"/>
        <w:spacing w:line="360" w:lineRule="auto"/>
        <w:jc w:val="both"/>
        <w:rPr>
          <w:rFonts w:asciiTheme="majorBidi" w:hAnsiTheme="majorBidi" w:cstheme="majorBidi"/>
          <w:sz w:val="28"/>
          <w:szCs w:val="28"/>
        </w:rPr>
      </w:pPr>
      <w:r w:rsidRPr="00057035">
        <w:rPr>
          <w:rFonts w:asciiTheme="majorBidi" w:hAnsiTheme="majorBidi" w:cstheme="majorBidi"/>
          <w:sz w:val="28"/>
          <w:szCs w:val="28"/>
        </w:rPr>
        <w:t xml:space="preserve">Situation on Registered Vessels of Comoros, Greece and Cambodia, Article 53(1) Report, 6 November 2014. </w:t>
      </w:r>
    </w:p>
    <w:p w:rsidR="009B636F" w:rsidRPr="00057035" w:rsidRDefault="009B636F" w:rsidP="009B636F">
      <w:pPr>
        <w:pStyle w:val="a5"/>
        <w:bidi w:val="0"/>
        <w:spacing w:line="360" w:lineRule="auto"/>
        <w:jc w:val="both"/>
        <w:rPr>
          <w:rFonts w:asciiTheme="majorBidi" w:hAnsiTheme="majorBidi" w:cstheme="majorBidi"/>
          <w:sz w:val="28"/>
          <w:szCs w:val="28"/>
        </w:rPr>
      </w:pPr>
      <w:hyperlink r:id="rId248" w:history="1">
        <w:r w:rsidRPr="00057035">
          <w:rPr>
            <w:rStyle w:val="Hyperlink"/>
            <w:rFonts w:asciiTheme="majorBidi" w:hAnsiTheme="majorBidi" w:cstheme="majorBidi"/>
            <w:sz w:val="28"/>
            <w:szCs w:val="28"/>
          </w:rPr>
          <w:t>https://www.icc-cpi.int/iccdocs/otp/OTP-COM-Article_53(1)-Report-06Nov2014Eng.pdf</w:t>
        </w:r>
      </w:hyperlink>
    </w:p>
    <w:p w:rsidR="009B636F" w:rsidRPr="00057035" w:rsidRDefault="009B636F" w:rsidP="009B636F">
      <w:pPr>
        <w:pStyle w:val="a5"/>
        <w:bidi w:val="0"/>
        <w:spacing w:line="360" w:lineRule="auto"/>
        <w:jc w:val="both"/>
        <w:rPr>
          <w:rFonts w:asciiTheme="majorBidi" w:hAnsiTheme="majorBidi" w:cstheme="majorBidi"/>
          <w:sz w:val="28"/>
          <w:szCs w:val="28"/>
        </w:rPr>
      </w:pPr>
    </w:p>
    <w:p w:rsidR="009B636F" w:rsidRPr="00057035" w:rsidRDefault="009B636F" w:rsidP="009B636F">
      <w:pPr>
        <w:pStyle w:val="a5"/>
        <w:bidi w:val="0"/>
        <w:spacing w:line="360" w:lineRule="auto"/>
        <w:jc w:val="both"/>
        <w:rPr>
          <w:rFonts w:asciiTheme="majorBidi" w:hAnsiTheme="majorBidi" w:cstheme="majorBidi"/>
          <w:sz w:val="28"/>
          <w:szCs w:val="28"/>
        </w:rPr>
      </w:pPr>
      <w:r w:rsidRPr="00057035">
        <w:rPr>
          <w:rFonts w:asciiTheme="majorBidi" w:hAnsiTheme="majorBidi" w:cstheme="majorBidi"/>
          <w:sz w:val="28"/>
          <w:szCs w:val="28"/>
        </w:rPr>
        <w:t>Situation in the Republic of Kenya, Decision Pursuant to Article 15 of the Rome Statute on the Authorization of an Investigation into the Situation in the Republic of Kenya, ICC-01/09-19-Corr, 31 March 2010.</w:t>
      </w:r>
    </w:p>
    <w:p w:rsidR="009B636F" w:rsidRPr="00057035" w:rsidRDefault="009B636F" w:rsidP="009B636F">
      <w:pPr>
        <w:pStyle w:val="a5"/>
        <w:bidi w:val="0"/>
        <w:spacing w:line="360" w:lineRule="auto"/>
        <w:jc w:val="both"/>
        <w:rPr>
          <w:rFonts w:asciiTheme="majorBidi" w:hAnsiTheme="majorBidi" w:cstheme="majorBidi"/>
          <w:sz w:val="28"/>
          <w:szCs w:val="28"/>
        </w:rPr>
      </w:pPr>
      <w:r w:rsidRPr="00057035">
        <w:rPr>
          <w:rStyle w:val="Hyperlink"/>
          <w:rFonts w:asciiTheme="majorBidi" w:hAnsiTheme="majorBidi" w:cstheme="majorBidi"/>
          <w:sz w:val="28"/>
          <w:szCs w:val="28"/>
        </w:rPr>
        <w:t>https://www.icc-cpi.int/iccdocs/doc/doc854562.pdf</w:t>
      </w:r>
      <w:r w:rsidRPr="00057035">
        <w:rPr>
          <w:rFonts w:asciiTheme="majorBidi" w:hAnsiTheme="majorBidi" w:cstheme="majorBidi"/>
          <w:sz w:val="28"/>
          <w:szCs w:val="28"/>
        </w:rPr>
        <w:t>, para. 35</w:t>
      </w:r>
    </w:p>
    <w:p w:rsidR="009B636F" w:rsidRPr="00057035" w:rsidRDefault="009B636F" w:rsidP="009B636F">
      <w:pPr>
        <w:pStyle w:val="a5"/>
        <w:bidi w:val="0"/>
        <w:spacing w:line="360" w:lineRule="auto"/>
        <w:jc w:val="both"/>
        <w:rPr>
          <w:rFonts w:asciiTheme="majorBidi" w:hAnsiTheme="majorBidi" w:cstheme="majorBidi"/>
          <w:sz w:val="28"/>
          <w:szCs w:val="28"/>
        </w:rPr>
      </w:pPr>
    </w:p>
    <w:p w:rsidR="009B636F" w:rsidRPr="00057035" w:rsidRDefault="009B636F" w:rsidP="009B636F">
      <w:pPr>
        <w:pStyle w:val="a5"/>
        <w:bidi w:val="0"/>
        <w:spacing w:line="360" w:lineRule="auto"/>
        <w:jc w:val="both"/>
        <w:rPr>
          <w:rFonts w:asciiTheme="majorBidi" w:hAnsiTheme="majorBidi" w:cstheme="majorBidi"/>
          <w:sz w:val="28"/>
          <w:szCs w:val="28"/>
        </w:rPr>
      </w:pPr>
      <w:r w:rsidRPr="00057035">
        <w:rPr>
          <w:rFonts w:asciiTheme="majorBidi" w:eastAsia="Times New Roman" w:hAnsiTheme="majorBidi" w:cstheme="majorBidi"/>
          <w:sz w:val="28"/>
          <w:szCs w:val="28"/>
        </w:rPr>
        <w:lastRenderedPageBreak/>
        <w:t xml:space="preserve">The Prosecutor of the International Criminal Court, Fatou Bensouda, opens a preliminary examination of the situation in Palestine, </w:t>
      </w:r>
      <w:r w:rsidRPr="00057035">
        <w:rPr>
          <w:rFonts w:asciiTheme="majorBidi" w:hAnsiTheme="majorBidi" w:cstheme="majorBidi"/>
          <w:sz w:val="28"/>
          <w:szCs w:val="28"/>
        </w:rPr>
        <w:t xml:space="preserve">ICC-OTP-20150116-PR1083. </w:t>
      </w:r>
    </w:p>
    <w:p w:rsidR="009B636F" w:rsidRPr="00057035" w:rsidRDefault="009B636F" w:rsidP="009B636F">
      <w:pPr>
        <w:pStyle w:val="a5"/>
        <w:bidi w:val="0"/>
        <w:spacing w:line="360" w:lineRule="auto"/>
        <w:jc w:val="both"/>
        <w:rPr>
          <w:rFonts w:asciiTheme="majorBidi" w:hAnsiTheme="majorBidi" w:cstheme="majorBidi"/>
          <w:sz w:val="28"/>
          <w:szCs w:val="28"/>
        </w:rPr>
      </w:pPr>
      <w:hyperlink r:id="rId249" w:history="1">
        <w:r w:rsidRPr="00057035">
          <w:rPr>
            <w:rStyle w:val="Hyperlink"/>
            <w:rFonts w:asciiTheme="majorBidi" w:hAnsiTheme="majorBidi" w:cstheme="majorBidi"/>
            <w:sz w:val="28"/>
            <w:szCs w:val="28"/>
          </w:rPr>
          <w:t>https://www.icc-cpi.int/en_menus/icc/press%20and%20media/press%20releases/Pages/pr1083.aspx</w:t>
        </w:r>
      </w:hyperlink>
    </w:p>
    <w:p w:rsidR="009B636F" w:rsidRPr="00057035" w:rsidRDefault="009B636F" w:rsidP="009B636F">
      <w:pPr>
        <w:pStyle w:val="a5"/>
        <w:spacing w:line="360" w:lineRule="auto"/>
        <w:jc w:val="both"/>
        <w:rPr>
          <w:rFonts w:asciiTheme="majorBidi" w:hAnsiTheme="majorBidi" w:cstheme="majorBidi" w:hint="cs"/>
          <w:smallCaps/>
          <w:sz w:val="28"/>
          <w:szCs w:val="28"/>
        </w:rPr>
      </w:pPr>
    </w:p>
    <w:p w:rsidR="009B636F" w:rsidRPr="00FA11B8" w:rsidRDefault="009B636F" w:rsidP="009B636F">
      <w:pPr>
        <w:pStyle w:val="a5"/>
        <w:spacing w:line="360" w:lineRule="auto"/>
        <w:jc w:val="both"/>
        <w:rPr>
          <w:rFonts w:cs="David"/>
          <w:smallCaps/>
          <w:sz w:val="28"/>
          <w:szCs w:val="28"/>
          <w:rtl/>
        </w:rPr>
      </w:pPr>
      <w:r w:rsidRPr="00FA11B8">
        <w:rPr>
          <w:rFonts w:cs="David" w:hint="cs"/>
          <w:smallCaps/>
          <w:sz w:val="28"/>
          <w:szCs w:val="28"/>
          <w:rtl/>
        </w:rPr>
        <w:t>ארגונים לא-ממשלתיים</w:t>
      </w:r>
    </w:p>
    <w:p w:rsidR="009B636F" w:rsidRPr="00FA11B8" w:rsidRDefault="009B636F" w:rsidP="009B636F">
      <w:pPr>
        <w:pStyle w:val="a5"/>
        <w:spacing w:line="360" w:lineRule="auto"/>
        <w:jc w:val="both"/>
        <w:rPr>
          <w:rFonts w:cs="David"/>
          <w:smallCaps/>
          <w:sz w:val="28"/>
          <w:szCs w:val="28"/>
          <w:rtl/>
        </w:rPr>
      </w:pPr>
    </w:p>
    <w:p w:rsidR="009B636F" w:rsidRPr="00057035" w:rsidRDefault="009B636F" w:rsidP="009B636F">
      <w:pPr>
        <w:pStyle w:val="a5"/>
        <w:bidi w:val="0"/>
        <w:spacing w:line="360" w:lineRule="auto"/>
        <w:jc w:val="both"/>
        <w:rPr>
          <w:rFonts w:asciiTheme="majorBidi" w:hAnsiTheme="majorBidi" w:cstheme="majorBidi"/>
          <w:sz w:val="28"/>
          <w:szCs w:val="28"/>
        </w:rPr>
      </w:pPr>
      <w:r w:rsidRPr="00057035">
        <w:rPr>
          <w:rFonts w:asciiTheme="majorBidi" w:hAnsiTheme="majorBidi" w:cstheme="majorBidi"/>
          <w:sz w:val="28"/>
          <w:szCs w:val="28"/>
        </w:rPr>
        <w:t xml:space="preserve">2014 Gaza War Assessment: The New Face of Conflict, A report by the JINSA-commissioned Gaza Conflict Task Force, March 2015, Chapter III. Observations, Implications, and Recommendations. </w:t>
      </w:r>
    </w:p>
    <w:p w:rsidR="009B636F" w:rsidRPr="00057035" w:rsidRDefault="009B636F" w:rsidP="009B636F">
      <w:pPr>
        <w:pStyle w:val="a5"/>
        <w:bidi w:val="0"/>
        <w:spacing w:line="360" w:lineRule="auto"/>
        <w:jc w:val="both"/>
        <w:rPr>
          <w:rFonts w:asciiTheme="majorBidi" w:hAnsiTheme="majorBidi" w:cstheme="majorBidi"/>
          <w:sz w:val="28"/>
          <w:szCs w:val="28"/>
        </w:rPr>
      </w:pPr>
      <w:hyperlink r:id="rId250" w:history="1">
        <w:r w:rsidRPr="00057035">
          <w:rPr>
            <w:rStyle w:val="Hyperlink"/>
            <w:rFonts w:asciiTheme="majorBidi" w:hAnsiTheme="majorBidi" w:cstheme="majorBidi"/>
            <w:sz w:val="28"/>
            <w:szCs w:val="28"/>
          </w:rPr>
          <w:t>http://www.jinsa.org/files/2014GazaAssessmentReport.pdf</w:t>
        </w:r>
      </w:hyperlink>
    </w:p>
    <w:p w:rsidR="009B636F" w:rsidRPr="00057035" w:rsidRDefault="009B636F" w:rsidP="009B636F">
      <w:pPr>
        <w:pStyle w:val="a5"/>
        <w:bidi w:val="0"/>
        <w:spacing w:line="360" w:lineRule="auto"/>
        <w:jc w:val="both"/>
        <w:rPr>
          <w:rFonts w:asciiTheme="majorBidi" w:hAnsiTheme="majorBidi" w:cstheme="majorBidi"/>
          <w:sz w:val="28"/>
          <w:szCs w:val="28"/>
          <w:shd w:val="clear" w:color="auto" w:fill="FFFFFF"/>
        </w:rPr>
      </w:pPr>
    </w:p>
    <w:p w:rsidR="009B636F" w:rsidRPr="00057035" w:rsidRDefault="009B636F" w:rsidP="009B636F">
      <w:pPr>
        <w:pStyle w:val="a5"/>
        <w:bidi w:val="0"/>
        <w:spacing w:line="360" w:lineRule="auto"/>
        <w:jc w:val="both"/>
        <w:rPr>
          <w:rFonts w:asciiTheme="majorBidi" w:hAnsiTheme="majorBidi" w:cstheme="majorBidi"/>
          <w:sz w:val="28"/>
          <w:szCs w:val="28"/>
        </w:rPr>
      </w:pPr>
      <w:r w:rsidRPr="00057035">
        <w:rPr>
          <w:rFonts w:asciiTheme="majorBidi" w:hAnsiTheme="majorBidi" w:cstheme="majorBidi"/>
          <w:sz w:val="28"/>
          <w:szCs w:val="28"/>
        </w:rPr>
        <w:t xml:space="preserve">An Assessment of the 2014 Gaza Conflict, High Level Military Group, October 2015. </w:t>
      </w:r>
    </w:p>
    <w:p w:rsidR="009B636F" w:rsidRPr="00057035" w:rsidRDefault="009B636F" w:rsidP="009B636F">
      <w:pPr>
        <w:pStyle w:val="a5"/>
        <w:bidi w:val="0"/>
        <w:spacing w:line="360" w:lineRule="auto"/>
        <w:jc w:val="both"/>
        <w:rPr>
          <w:rFonts w:asciiTheme="majorBidi" w:hAnsiTheme="majorBidi" w:cstheme="majorBidi"/>
          <w:sz w:val="28"/>
          <w:szCs w:val="28"/>
        </w:rPr>
      </w:pPr>
      <w:hyperlink r:id="rId251" w:history="1">
        <w:r w:rsidRPr="00057035">
          <w:rPr>
            <w:rStyle w:val="Hyperlink"/>
            <w:rFonts w:asciiTheme="majorBidi" w:hAnsiTheme="majorBidi" w:cstheme="majorBidi"/>
            <w:sz w:val="28"/>
            <w:szCs w:val="28"/>
          </w:rPr>
          <w:t>http://www.high-level-military-group.org/pdf/hlmg-assessment-2014-gaza-conflict.pdf</w:t>
        </w:r>
      </w:hyperlink>
    </w:p>
    <w:p w:rsidR="009B636F" w:rsidRPr="00057035" w:rsidRDefault="009B636F" w:rsidP="009B636F">
      <w:pPr>
        <w:pStyle w:val="a5"/>
        <w:bidi w:val="0"/>
        <w:spacing w:line="360" w:lineRule="auto"/>
        <w:jc w:val="both"/>
        <w:rPr>
          <w:rFonts w:asciiTheme="majorBidi" w:hAnsiTheme="majorBidi" w:cstheme="majorBidi"/>
          <w:sz w:val="28"/>
          <w:szCs w:val="28"/>
        </w:rPr>
      </w:pPr>
    </w:p>
    <w:p w:rsidR="009B636F" w:rsidRPr="00057035" w:rsidRDefault="009B636F" w:rsidP="009B636F">
      <w:pPr>
        <w:pStyle w:val="a5"/>
        <w:bidi w:val="0"/>
        <w:spacing w:line="360" w:lineRule="auto"/>
        <w:jc w:val="both"/>
        <w:rPr>
          <w:rFonts w:asciiTheme="majorBidi" w:hAnsiTheme="majorBidi" w:cstheme="majorBidi"/>
          <w:sz w:val="28"/>
          <w:szCs w:val="28"/>
        </w:rPr>
      </w:pPr>
      <w:r w:rsidRPr="00057035">
        <w:rPr>
          <w:rFonts w:asciiTheme="majorBidi" w:hAnsiTheme="majorBidi" w:cstheme="majorBidi"/>
          <w:sz w:val="28"/>
          <w:szCs w:val="28"/>
        </w:rPr>
        <w:t>Court References to Fact-Finding Missions, International Bar Association.</w:t>
      </w:r>
    </w:p>
    <w:p w:rsidR="009B636F" w:rsidRPr="00057035" w:rsidRDefault="009B636F" w:rsidP="009B636F">
      <w:pPr>
        <w:pStyle w:val="a5"/>
        <w:bidi w:val="0"/>
        <w:spacing w:line="360" w:lineRule="auto"/>
        <w:jc w:val="both"/>
        <w:rPr>
          <w:rFonts w:asciiTheme="majorBidi" w:hAnsiTheme="majorBidi" w:cstheme="majorBidi"/>
          <w:sz w:val="28"/>
          <w:szCs w:val="28"/>
        </w:rPr>
      </w:pPr>
    </w:p>
    <w:p w:rsidR="009B636F" w:rsidRPr="00057035" w:rsidRDefault="009B636F" w:rsidP="009B636F">
      <w:pPr>
        <w:pStyle w:val="a5"/>
        <w:bidi w:val="0"/>
        <w:spacing w:line="360" w:lineRule="auto"/>
        <w:jc w:val="both"/>
        <w:rPr>
          <w:rFonts w:asciiTheme="majorBidi" w:hAnsiTheme="majorBidi" w:cstheme="majorBidi"/>
          <w:sz w:val="28"/>
          <w:szCs w:val="28"/>
        </w:rPr>
      </w:pPr>
      <w:r w:rsidRPr="00057035">
        <w:rPr>
          <w:rFonts w:asciiTheme="majorBidi" w:hAnsiTheme="majorBidi" w:cstheme="majorBidi"/>
          <w:sz w:val="28"/>
          <w:szCs w:val="28"/>
        </w:rPr>
        <w:t>Families Under the Rubble - Israeli Attacks on Inhabited Homes, Amnesty International, 5 November 2014.</w:t>
      </w:r>
    </w:p>
    <w:p w:rsidR="009B636F" w:rsidRPr="00057035" w:rsidRDefault="009B636F" w:rsidP="009B636F">
      <w:pPr>
        <w:pStyle w:val="a5"/>
        <w:bidi w:val="0"/>
        <w:spacing w:line="360" w:lineRule="auto"/>
        <w:jc w:val="both"/>
        <w:rPr>
          <w:rFonts w:asciiTheme="majorBidi" w:hAnsiTheme="majorBidi" w:cstheme="majorBidi"/>
          <w:sz w:val="28"/>
          <w:szCs w:val="28"/>
        </w:rPr>
      </w:pPr>
      <w:hyperlink r:id="rId252" w:history="1">
        <w:r w:rsidRPr="00057035">
          <w:rPr>
            <w:rStyle w:val="Hyperlink"/>
            <w:rFonts w:asciiTheme="majorBidi" w:hAnsiTheme="majorBidi" w:cstheme="majorBidi"/>
            <w:sz w:val="28"/>
            <w:szCs w:val="28"/>
          </w:rPr>
          <w:t>https://www.amnesty.org/download/Documents/MDE150322014ENGLISH.PDF</w:t>
        </w:r>
      </w:hyperlink>
    </w:p>
    <w:p w:rsidR="009B636F" w:rsidRPr="00057035" w:rsidRDefault="009B636F" w:rsidP="009B636F">
      <w:pPr>
        <w:pStyle w:val="a5"/>
        <w:bidi w:val="0"/>
        <w:spacing w:line="360" w:lineRule="auto"/>
        <w:jc w:val="both"/>
        <w:rPr>
          <w:rFonts w:asciiTheme="majorBidi" w:hAnsiTheme="majorBidi" w:cstheme="majorBidi"/>
          <w:sz w:val="28"/>
          <w:szCs w:val="28"/>
        </w:rPr>
      </w:pPr>
    </w:p>
    <w:p w:rsidR="009B636F" w:rsidRPr="00057035" w:rsidRDefault="009B636F" w:rsidP="009B636F">
      <w:pPr>
        <w:pStyle w:val="a5"/>
        <w:bidi w:val="0"/>
        <w:spacing w:line="360" w:lineRule="auto"/>
        <w:jc w:val="both"/>
        <w:rPr>
          <w:rFonts w:asciiTheme="majorBidi" w:hAnsiTheme="majorBidi" w:cstheme="majorBidi"/>
          <w:sz w:val="28"/>
          <w:szCs w:val="28"/>
        </w:rPr>
      </w:pPr>
      <w:r w:rsidRPr="00057035">
        <w:rPr>
          <w:rFonts w:asciiTheme="majorBidi" w:hAnsiTheme="majorBidi" w:cstheme="majorBidi"/>
          <w:sz w:val="28"/>
          <w:szCs w:val="28"/>
        </w:rPr>
        <w:lastRenderedPageBreak/>
        <w:t xml:space="preserve">Filling in the Blanks: Documenting Missing Dimensions in UN and NGO Investigations of the Gaza Conflict, </w:t>
      </w:r>
      <w:r w:rsidRPr="00057035">
        <w:rPr>
          <w:rFonts w:asciiTheme="majorBidi" w:hAnsiTheme="majorBidi" w:cstheme="majorBidi"/>
          <w:b/>
          <w:bCs/>
          <w:sz w:val="28"/>
          <w:szCs w:val="28"/>
        </w:rPr>
        <w:t>NGO Monitor and UN Watch</w:t>
      </w:r>
      <w:r w:rsidRPr="00057035">
        <w:rPr>
          <w:rFonts w:asciiTheme="majorBidi" w:hAnsiTheme="majorBidi" w:cstheme="majorBidi"/>
          <w:sz w:val="28"/>
          <w:szCs w:val="28"/>
        </w:rPr>
        <w:t xml:space="preserve">, pp. 73-143. </w:t>
      </w:r>
    </w:p>
    <w:p w:rsidR="009B636F" w:rsidRPr="00057035" w:rsidRDefault="009B636F" w:rsidP="009B636F">
      <w:pPr>
        <w:pStyle w:val="a5"/>
        <w:bidi w:val="0"/>
        <w:spacing w:line="360" w:lineRule="auto"/>
        <w:jc w:val="both"/>
        <w:rPr>
          <w:rFonts w:asciiTheme="majorBidi" w:hAnsiTheme="majorBidi" w:cstheme="majorBidi"/>
          <w:sz w:val="28"/>
          <w:szCs w:val="28"/>
        </w:rPr>
      </w:pPr>
      <w:hyperlink r:id="rId253" w:history="1">
        <w:r w:rsidRPr="00057035">
          <w:rPr>
            <w:rStyle w:val="Hyperlink"/>
            <w:rFonts w:asciiTheme="majorBidi" w:hAnsiTheme="majorBidi" w:cstheme="majorBidi"/>
            <w:sz w:val="28"/>
            <w:szCs w:val="28"/>
          </w:rPr>
          <w:t>http://www.ngo-monitor.org/nm/wp-content/uploads/2015/06/2014_Gaza_Conflict.pdf</w:t>
        </w:r>
      </w:hyperlink>
    </w:p>
    <w:p w:rsidR="009B636F" w:rsidRPr="00057035" w:rsidRDefault="009B636F" w:rsidP="009B636F">
      <w:pPr>
        <w:pStyle w:val="a5"/>
        <w:bidi w:val="0"/>
        <w:spacing w:line="360" w:lineRule="auto"/>
        <w:jc w:val="both"/>
        <w:rPr>
          <w:rFonts w:asciiTheme="majorBidi" w:hAnsiTheme="majorBidi" w:cstheme="majorBidi"/>
          <w:sz w:val="28"/>
          <w:szCs w:val="28"/>
        </w:rPr>
      </w:pPr>
    </w:p>
    <w:p w:rsidR="009B636F" w:rsidRPr="00057035" w:rsidRDefault="009B636F" w:rsidP="009B636F">
      <w:pPr>
        <w:pStyle w:val="a5"/>
        <w:bidi w:val="0"/>
        <w:spacing w:line="360" w:lineRule="auto"/>
        <w:jc w:val="both"/>
        <w:rPr>
          <w:rFonts w:asciiTheme="majorBidi" w:hAnsiTheme="majorBidi" w:cstheme="majorBidi"/>
          <w:sz w:val="28"/>
          <w:szCs w:val="28"/>
        </w:rPr>
      </w:pPr>
      <w:r w:rsidRPr="00057035">
        <w:rPr>
          <w:rFonts w:asciiTheme="majorBidi" w:hAnsiTheme="majorBidi" w:cstheme="majorBidi"/>
          <w:sz w:val="28"/>
          <w:szCs w:val="28"/>
        </w:rPr>
        <w:t xml:space="preserve">Goldstone II - Questions on the Impartiality of the U.N. Tomuschat Committee, </w:t>
      </w:r>
      <w:r w:rsidRPr="00057035">
        <w:rPr>
          <w:rFonts w:asciiTheme="majorBidi" w:hAnsiTheme="majorBidi" w:cstheme="majorBidi"/>
          <w:b/>
          <w:bCs/>
          <w:sz w:val="28"/>
          <w:szCs w:val="28"/>
        </w:rPr>
        <w:t>UN Watch</w:t>
      </w:r>
      <w:r w:rsidRPr="00057035">
        <w:rPr>
          <w:rFonts w:asciiTheme="majorBidi" w:hAnsiTheme="majorBidi" w:cstheme="majorBidi"/>
          <w:sz w:val="28"/>
          <w:szCs w:val="28"/>
        </w:rPr>
        <w:t>, October 21, 2010, Geneva.</w:t>
      </w:r>
    </w:p>
    <w:p w:rsidR="009B636F" w:rsidRPr="00057035" w:rsidRDefault="009B636F" w:rsidP="009B636F">
      <w:pPr>
        <w:pStyle w:val="a5"/>
        <w:bidi w:val="0"/>
        <w:spacing w:line="360" w:lineRule="auto"/>
        <w:jc w:val="both"/>
        <w:rPr>
          <w:rFonts w:asciiTheme="majorBidi" w:hAnsiTheme="majorBidi" w:cstheme="majorBidi"/>
          <w:sz w:val="28"/>
          <w:szCs w:val="28"/>
        </w:rPr>
      </w:pPr>
      <w:hyperlink r:id="rId254" w:history="1">
        <w:r w:rsidRPr="00057035">
          <w:rPr>
            <w:rStyle w:val="Hyperlink"/>
            <w:rFonts w:asciiTheme="majorBidi" w:hAnsiTheme="majorBidi" w:cstheme="majorBidi"/>
            <w:sz w:val="28"/>
            <w:szCs w:val="28"/>
          </w:rPr>
          <w:t>http://iccforum.com/media/background/gaza/2010-10-21-UN_Watch-Rpt_on_Tomuschat_Impartiality.pdf</w:t>
        </w:r>
      </w:hyperlink>
    </w:p>
    <w:p w:rsidR="009B636F" w:rsidRPr="00057035" w:rsidRDefault="009B636F" w:rsidP="009B636F">
      <w:pPr>
        <w:pStyle w:val="a5"/>
        <w:bidi w:val="0"/>
        <w:spacing w:line="360" w:lineRule="auto"/>
        <w:jc w:val="both"/>
        <w:rPr>
          <w:rFonts w:asciiTheme="majorBidi" w:hAnsiTheme="majorBidi" w:cstheme="majorBidi"/>
          <w:sz w:val="28"/>
          <w:szCs w:val="28"/>
          <w:rtl/>
        </w:rPr>
      </w:pPr>
    </w:p>
    <w:p w:rsidR="009B636F" w:rsidRPr="00057035" w:rsidRDefault="009B636F" w:rsidP="009B636F">
      <w:pPr>
        <w:pStyle w:val="a5"/>
        <w:bidi w:val="0"/>
        <w:spacing w:line="360" w:lineRule="auto"/>
        <w:jc w:val="both"/>
        <w:rPr>
          <w:rFonts w:asciiTheme="majorBidi" w:hAnsiTheme="majorBidi" w:cstheme="majorBidi"/>
          <w:sz w:val="28"/>
          <w:szCs w:val="28"/>
        </w:rPr>
      </w:pPr>
      <w:r w:rsidRPr="00057035">
        <w:rPr>
          <w:rFonts w:asciiTheme="majorBidi" w:hAnsiTheme="majorBidi" w:cstheme="majorBidi"/>
          <w:sz w:val="28"/>
          <w:szCs w:val="28"/>
        </w:rPr>
        <w:t>Guidelines on International Human Rights Fact-Finding Visits and Reports by Non-Governmental Organisations (The Lund-London Guidelines), International Bar Association, Raoul Wallenberg Institute of Human Rights and Humanitarian Law.</w:t>
      </w:r>
    </w:p>
    <w:p w:rsidR="009B636F" w:rsidRPr="00057035" w:rsidRDefault="009B636F" w:rsidP="009B636F">
      <w:pPr>
        <w:pStyle w:val="a5"/>
        <w:bidi w:val="0"/>
        <w:spacing w:line="360" w:lineRule="auto"/>
        <w:jc w:val="both"/>
        <w:rPr>
          <w:rFonts w:asciiTheme="majorBidi" w:hAnsiTheme="majorBidi" w:cstheme="majorBidi"/>
          <w:sz w:val="28"/>
          <w:szCs w:val="28"/>
        </w:rPr>
      </w:pPr>
      <w:hyperlink r:id="rId255" w:history="1">
        <w:r w:rsidRPr="00057035">
          <w:rPr>
            <w:rStyle w:val="Hyperlink"/>
            <w:rFonts w:asciiTheme="majorBidi" w:hAnsiTheme="majorBidi" w:cstheme="majorBidi"/>
            <w:sz w:val="28"/>
            <w:szCs w:val="28"/>
          </w:rPr>
          <w:t>file:///C:/Users/user/Downloads/Lund-London%20Guidelines%202015%20ENGLISH.pdf</w:t>
        </w:r>
      </w:hyperlink>
    </w:p>
    <w:p w:rsidR="009B636F" w:rsidRPr="00057035" w:rsidRDefault="009B636F" w:rsidP="009B636F">
      <w:pPr>
        <w:pStyle w:val="a5"/>
        <w:bidi w:val="0"/>
        <w:spacing w:line="360" w:lineRule="auto"/>
        <w:jc w:val="both"/>
        <w:rPr>
          <w:rFonts w:asciiTheme="majorBidi" w:hAnsiTheme="majorBidi" w:cstheme="majorBidi"/>
          <w:sz w:val="28"/>
          <w:szCs w:val="28"/>
          <w:rtl/>
        </w:rPr>
      </w:pPr>
    </w:p>
    <w:p w:rsidR="009B636F" w:rsidRPr="00057035" w:rsidRDefault="009B636F" w:rsidP="009B636F">
      <w:pPr>
        <w:pStyle w:val="a5"/>
        <w:bidi w:val="0"/>
        <w:spacing w:line="360" w:lineRule="auto"/>
        <w:jc w:val="both"/>
        <w:rPr>
          <w:rFonts w:asciiTheme="majorBidi" w:hAnsiTheme="majorBidi" w:cstheme="majorBidi"/>
          <w:sz w:val="28"/>
          <w:szCs w:val="28"/>
        </w:rPr>
      </w:pPr>
      <w:r w:rsidRPr="00057035">
        <w:rPr>
          <w:rFonts w:asciiTheme="majorBidi" w:hAnsiTheme="majorBidi" w:cstheme="majorBidi"/>
          <w:sz w:val="28"/>
          <w:szCs w:val="28"/>
        </w:rPr>
        <w:t xml:space="preserve">Herzberg Anne (2011), NGOs &amp; The Goldstone Report, </w:t>
      </w:r>
      <w:r w:rsidRPr="00057035">
        <w:rPr>
          <w:rFonts w:asciiTheme="majorBidi" w:hAnsiTheme="majorBidi" w:cstheme="majorBidi"/>
          <w:b/>
          <w:bCs/>
          <w:sz w:val="28"/>
          <w:szCs w:val="28"/>
        </w:rPr>
        <w:t>The Goldstone Report "Reconsidered" – A Critical Analysis</w:t>
      </w:r>
      <w:r w:rsidRPr="00057035">
        <w:rPr>
          <w:rFonts w:asciiTheme="majorBidi" w:hAnsiTheme="majorBidi" w:cstheme="majorBidi"/>
          <w:sz w:val="28"/>
          <w:szCs w:val="28"/>
        </w:rPr>
        <w:t>, Jerusalem, NGO Monitor &amp; Jerusalem Center for Public Affairs, pp. 69-88.</w:t>
      </w:r>
    </w:p>
    <w:p w:rsidR="009B636F" w:rsidRPr="00057035" w:rsidRDefault="009B636F" w:rsidP="009B636F">
      <w:pPr>
        <w:pStyle w:val="a5"/>
        <w:bidi w:val="0"/>
        <w:spacing w:line="360" w:lineRule="auto"/>
        <w:jc w:val="both"/>
        <w:rPr>
          <w:rFonts w:asciiTheme="majorBidi" w:hAnsiTheme="majorBidi" w:cstheme="majorBidi"/>
          <w:sz w:val="28"/>
          <w:szCs w:val="28"/>
        </w:rPr>
      </w:pPr>
      <w:hyperlink r:id="rId256" w:history="1">
        <w:r w:rsidRPr="00057035">
          <w:rPr>
            <w:rStyle w:val="Hyperlink"/>
            <w:rFonts w:asciiTheme="majorBidi" w:hAnsiTheme="majorBidi" w:cstheme="majorBidi"/>
            <w:sz w:val="28"/>
            <w:szCs w:val="28"/>
          </w:rPr>
          <w:t>http://www.ngo-monitor.org.il/data/images/File/The_Goldstone_Report_Reconsidered.pdf</w:t>
        </w:r>
      </w:hyperlink>
    </w:p>
    <w:p w:rsidR="009B636F" w:rsidRPr="00057035" w:rsidRDefault="009B636F" w:rsidP="009B636F">
      <w:pPr>
        <w:pStyle w:val="a5"/>
        <w:bidi w:val="0"/>
        <w:spacing w:line="360" w:lineRule="auto"/>
        <w:jc w:val="both"/>
        <w:rPr>
          <w:rFonts w:asciiTheme="majorBidi" w:hAnsiTheme="majorBidi" w:cstheme="majorBidi"/>
          <w:sz w:val="28"/>
          <w:szCs w:val="28"/>
          <w:rtl/>
        </w:rPr>
      </w:pPr>
    </w:p>
    <w:p w:rsidR="009B636F" w:rsidRPr="00057035" w:rsidRDefault="009B636F" w:rsidP="009B636F">
      <w:pPr>
        <w:pStyle w:val="a5"/>
        <w:bidi w:val="0"/>
        <w:spacing w:line="360" w:lineRule="auto"/>
        <w:jc w:val="both"/>
        <w:rPr>
          <w:rFonts w:asciiTheme="majorBidi" w:hAnsiTheme="majorBidi" w:cstheme="majorBidi"/>
          <w:sz w:val="28"/>
          <w:szCs w:val="28"/>
        </w:rPr>
      </w:pPr>
      <w:r w:rsidRPr="00057035">
        <w:rPr>
          <w:rFonts w:asciiTheme="majorBidi" w:hAnsiTheme="majorBidi" w:cstheme="majorBidi"/>
          <w:sz w:val="28"/>
          <w:szCs w:val="28"/>
        </w:rPr>
        <w:t>International Non-Governmental Organisations Accountability Charter, December 20, 2005.</w:t>
      </w:r>
    </w:p>
    <w:p w:rsidR="009B636F" w:rsidRPr="00057035" w:rsidRDefault="009B636F" w:rsidP="009B636F">
      <w:pPr>
        <w:pStyle w:val="a5"/>
        <w:bidi w:val="0"/>
        <w:spacing w:line="360" w:lineRule="auto"/>
        <w:jc w:val="both"/>
        <w:rPr>
          <w:rFonts w:asciiTheme="majorBidi" w:hAnsiTheme="majorBidi" w:cstheme="majorBidi"/>
          <w:sz w:val="28"/>
          <w:szCs w:val="28"/>
        </w:rPr>
      </w:pPr>
      <w:hyperlink r:id="rId257" w:history="1">
        <w:r w:rsidRPr="00057035">
          <w:rPr>
            <w:rStyle w:val="Hyperlink"/>
            <w:rFonts w:asciiTheme="majorBidi" w:hAnsiTheme="majorBidi" w:cstheme="majorBidi"/>
            <w:sz w:val="28"/>
            <w:szCs w:val="28"/>
          </w:rPr>
          <w:t>http://www.ingoaccountabilitycharter.org/wpcms/wp-content/uploads/INGO_CHARTER_web.pdf</w:t>
        </w:r>
      </w:hyperlink>
    </w:p>
    <w:p w:rsidR="009B636F" w:rsidRPr="00057035" w:rsidRDefault="009B636F" w:rsidP="009B636F">
      <w:pPr>
        <w:pStyle w:val="a5"/>
        <w:bidi w:val="0"/>
        <w:spacing w:line="360" w:lineRule="auto"/>
        <w:jc w:val="both"/>
        <w:rPr>
          <w:rFonts w:asciiTheme="majorBidi" w:hAnsiTheme="majorBidi" w:cstheme="majorBidi"/>
          <w:sz w:val="28"/>
          <w:szCs w:val="28"/>
        </w:rPr>
      </w:pPr>
    </w:p>
    <w:p w:rsidR="009B636F" w:rsidRPr="00057035" w:rsidRDefault="009B636F" w:rsidP="009B636F">
      <w:pPr>
        <w:pStyle w:val="a5"/>
        <w:bidi w:val="0"/>
        <w:spacing w:line="360" w:lineRule="auto"/>
        <w:jc w:val="both"/>
        <w:rPr>
          <w:rFonts w:asciiTheme="majorBidi" w:hAnsiTheme="majorBidi" w:cstheme="majorBidi"/>
          <w:sz w:val="28"/>
          <w:szCs w:val="28"/>
        </w:rPr>
      </w:pPr>
      <w:r w:rsidRPr="00057035">
        <w:rPr>
          <w:rFonts w:asciiTheme="majorBidi" w:hAnsiTheme="majorBidi" w:cstheme="majorBidi"/>
          <w:sz w:val="28"/>
          <w:szCs w:val="28"/>
        </w:rPr>
        <w:lastRenderedPageBreak/>
        <w:t xml:space="preserve">‘Nothing Is Immune’ - Israel’s Destruction of Landmark Buildings in Gaza, Amnesty International, 9 December 2014. </w:t>
      </w:r>
    </w:p>
    <w:p w:rsidR="009B636F" w:rsidRPr="00057035" w:rsidRDefault="009B636F" w:rsidP="009B636F">
      <w:pPr>
        <w:pStyle w:val="a5"/>
        <w:bidi w:val="0"/>
        <w:spacing w:line="360" w:lineRule="auto"/>
        <w:jc w:val="both"/>
        <w:rPr>
          <w:rFonts w:asciiTheme="majorBidi" w:hAnsiTheme="majorBidi" w:cstheme="majorBidi"/>
          <w:sz w:val="28"/>
          <w:szCs w:val="28"/>
        </w:rPr>
      </w:pPr>
      <w:hyperlink r:id="rId258" w:history="1">
        <w:r w:rsidRPr="00057035">
          <w:rPr>
            <w:rStyle w:val="Hyperlink"/>
            <w:rFonts w:asciiTheme="majorBidi" w:hAnsiTheme="majorBidi" w:cstheme="majorBidi"/>
            <w:sz w:val="28"/>
            <w:szCs w:val="28"/>
          </w:rPr>
          <w:t>file:///C:/Users/user/Downloads/MDE1500292014ENGLISH.PDF</w:t>
        </w:r>
      </w:hyperlink>
    </w:p>
    <w:p w:rsidR="009B636F" w:rsidRPr="00057035" w:rsidRDefault="009B636F" w:rsidP="009B636F">
      <w:pPr>
        <w:pStyle w:val="a5"/>
        <w:bidi w:val="0"/>
        <w:spacing w:line="360" w:lineRule="auto"/>
        <w:jc w:val="both"/>
        <w:rPr>
          <w:rFonts w:asciiTheme="majorBidi" w:hAnsiTheme="majorBidi" w:cstheme="majorBidi"/>
          <w:sz w:val="28"/>
          <w:szCs w:val="28"/>
        </w:rPr>
      </w:pPr>
    </w:p>
    <w:p w:rsidR="009B636F" w:rsidRPr="00057035" w:rsidRDefault="009B636F" w:rsidP="009B636F">
      <w:pPr>
        <w:pStyle w:val="a5"/>
        <w:bidi w:val="0"/>
        <w:spacing w:line="360" w:lineRule="auto"/>
        <w:jc w:val="both"/>
        <w:rPr>
          <w:rStyle w:val="aa"/>
          <w:rFonts w:asciiTheme="majorBidi" w:hAnsiTheme="majorBidi" w:cstheme="majorBidi"/>
          <w:sz w:val="28"/>
          <w:szCs w:val="28"/>
          <w:shd w:val="clear" w:color="auto" w:fill="FFFFFF"/>
        </w:rPr>
      </w:pPr>
      <w:r w:rsidRPr="00057035">
        <w:rPr>
          <w:rFonts w:asciiTheme="majorBidi" w:hAnsiTheme="majorBidi" w:cstheme="majorBidi"/>
          <w:sz w:val="28"/>
          <w:szCs w:val="28"/>
        </w:rPr>
        <w:t xml:space="preserve">Report: In 9 Years’ Existence, UNHRC Condemned Israel More Times Than Rest of World Combined, UN Watch, </w:t>
      </w:r>
      <w:r w:rsidRPr="00057035">
        <w:rPr>
          <w:rStyle w:val="aa"/>
          <w:rFonts w:asciiTheme="majorBidi" w:hAnsiTheme="majorBidi" w:cstheme="majorBidi"/>
          <w:bCs w:val="0"/>
          <w:sz w:val="28"/>
          <w:szCs w:val="28"/>
          <w:shd w:val="clear" w:color="auto" w:fill="FFFFFF"/>
        </w:rPr>
        <w:t>June 25, 2015</w:t>
      </w:r>
      <w:r w:rsidRPr="00057035">
        <w:rPr>
          <w:rStyle w:val="aa"/>
          <w:rFonts w:asciiTheme="majorBidi" w:hAnsiTheme="majorBidi" w:cstheme="majorBidi"/>
          <w:sz w:val="28"/>
          <w:szCs w:val="28"/>
          <w:shd w:val="clear" w:color="auto" w:fill="FFFFFF"/>
        </w:rPr>
        <w:t>.</w:t>
      </w:r>
    </w:p>
    <w:p w:rsidR="009B636F" w:rsidRPr="00057035" w:rsidRDefault="009B636F" w:rsidP="009B636F">
      <w:pPr>
        <w:pStyle w:val="a5"/>
        <w:bidi w:val="0"/>
        <w:spacing w:line="360" w:lineRule="auto"/>
        <w:jc w:val="both"/>
        <w:rPr>
          <w:rFonts w:asciiTheme="majorBidi" w:hAnsiTheme="majorBidi" w:cstheme="majorBidi"/>
          <w:b/>
          <w:bCs/>
          <w:sz w:val="28"/>
          <w:szCs w:val="28"/>
        </w:rPr>
      </w:pPr>
      <w:hyperlink r:id="rId259" w:history="1">
        <w:r w:rsidRPr="00057035">
          <w:rPr>
            <w:rStyle w:val="Hyperlink"/>
            <w:rFonts w:asciiTheme="majorBidi" w:hAnsiTheme="majorBidi" w:cstheme="majorBidi"/>
            <w:bCs/>
            <w:sz w:val="28"/>
            <w:szCs w:val="28"/>
            <w:shd w:val="clear" w:color="auto" w:fill="FFFFFF"/>
          </w:rPr>
          <w:t>http://www.unwatch.org/report-in-9-years-existence-unhrc-condemned-israel-more-times-than-rest-of-world-combined/</w:t>
        </w:r>
      </w:hyperlink>
    </w:p>
    <w:p w:rsidR="009B636F" w:rsidRPr="00057035" w:rsidRDefault="009B636F" w:rsidP="009B636F">
      <w:pPr>
        <w:pStyle w:val="a5"/>
        <w:bidi w:val="0"/>
        <w:spacing w:line="360" w:lineRule="auto"/>
        <w:jc w:val="both"/>
        <w:rPr>
          <w:rFonts w:asciiTheme="majorBidi" w:hAnsiTheme="majorBidi" w:cstheme="majorBidi"/>
          <w:sz w:val="28"/>
          <w:szCs w:val="28"/>
        </w:rPr>
      </w:pPr>
    </w:p>
    <w:p w:rsidR="009B636F" w:rsidRPr="00057035" w:rsidRDefault="009B636F" w:rsidP="009B636F">
      <w:pPr>
        <w:pStyle w:val="a5"/>
        <w:bidi w:val="0"/>
        <w:spacing w:line="360" w:lineRule="auto"/>
        <w:jc w:val="both"/>
        <w:rPr>
          <w:rFonts w:asciiTheme="majorBidi" w:hAnsiTheme="majorBidi" w:cstheme="majorBidi"/>
          <w:sz w:val="28"/>
          <w:szCs w:val="28"/>
        </w:rPr>
      </w:pPr>
      <w:r w:rsidRPr="00057035">
        <w:rPr>
          <w:rFonts w:asciiTheme="majorBidi" w:hAnsiTheme="majorBidi" w:cstheme="majorBidi"/>
          <w:sz w:val="28"/>
          <w:szCs w:val="28"/>
        </w:rPr>
        <w:t xml:space="preserve">Request for William Schabas to Recuse Himself for Bias or the Appearance Thereof, </w:t>
      </w:r>
      <w:r w:rsidRPr="00057035">
        <w:rPr>
          <w:rFonts w:asciiTheme="majorBidi" w:hAnsiTheme="majorBidi" w:cstheme="majorBidi"/>
          <w:b/>
          <w:bCs/>
          <w:sz w:val="28"/>
          <w:szCs w:val="28"/>
        </w:rPr>
        <w:t>UN Watch</w:t>
      </w:r>
      <w:r w:rsidRPr="00057035">
        <w:rPr>
          <w:rFonts w:asciiTheme="majorBidi" w:hAnsiTheme="majorBidi" w:cstheme="majorBidi"/>
          <w:sz w:val="28"/>
          <w:szCs w:val="28"/>
        </w:rPr>
        <w:t>.</w:t>
      </w:r>
    </w:p>
    <w:p w:rsidR="009B636F" w:rsidRPr="00057035" w:rsidRDefault="009B636F" w:rsidP="009B636F">
      <w:pPr>
        <w:pStyle w:val="a5"/>
        <w:bidi w:val="0"/>
        <w:spacing w:line="360" w:lineRule="auto"/>
        <w:jc w:val="both"/>
        <w:rPr>
          <w:rFonts w:asciiTheme="majorBidi" w:hAnsiTheme="majorBidi" w:cstheme="majorBidi"/>
          <w:sz w:val="28"/>
          <w:szCs w:val="28"/>
        </w:rPr>
      </w:pPr>
      <w:hyperlink r:id="rId260" w:history="1">
        <w:r w:rsidRPr="00057035">
          <w:rPr>
            <w:rStyle w:val="Hyperlink"/>
            <w:rFonts w:asciiTheme="majorBidi" w:hAnsiTheme="majorBidi" w:cstheme="majorBidi"/>
            <w:sz w:val="28"/>
            <w:szCs w:val="28"/>
          </w:rPr>
          <w:t>http://www.humanrightsvoices.org/assets/attachments/documents/UN_WATCH_REQUEST_TO_DISQUALIFY_WILLIAM_SCHABAS.pdf</w:t>
        </w:r>
      </w:hyperlink>
    </w:p>
    <w:p w:rsidR="009B636F" w:rsidRPr="00057035" w:rsidRDefault="009B636F" w:rsidP="009B636F">
      <w:pPr>
        <w:pStyle w:val="a5"/>
        <w:bidi w:val="0"/>
        <w:spacing w:line="360" w:lineRule="auto"/>
        <w:jc w:val="both"/>
        <w:rPr>
          <w:rFonts w:asciiTheme="majorBidi" w:hAnsiTheme="majorBidi" w:cstheme="majorBidi"/>
          <w:sz w:val="28"/>
          <w:szCs w:val="28"/>
        </w:rPr>
      </w:pPr>
    </w:p>
    <w:p w:rsidR="009B636F" w:rsidRPr="00057035" w:rsidRDefault="009B636F" w:rsidP="009B636F">
      <w:pPr>
        <w:pStyle w:val="a5"/>
        <w:bidi w:val="0"/>
        <w:spacing w:line="360" w:lineRule="auto"/>
        <w:jc w:val="both"/>
        <w:rPr>
          <w:rStyle w:val="aa"/>
          <w:rFonts w:asciiTheme="majorBidi" w:hAnsiTheme="majorBidi" w:cstheme="majorBidi"/>
          <w:b w:val="0"/>
          <w:bCs w:val="0"/>
          <w:color w:val="000000"/>
          <w:sz w:val="28"/>
          <w:szCs w:val="28"/>
        </w:rPr>
      </w:pPr>
      <w:r w:rsidRPr="00057035">
        <w:rPr>
          <w:rStyle w:val="aa"/>
          <w:rFonts w:asciiTheme="majorBidi" w:hAnsiTheme="majorBidi" w:cstheme="majorBidi"/>
          <w:bCs w:val="0"/>
          <w:color w:val="000000"/>
          <w:sz w:val="28"/>
          <w:szCs w:val="28"/>
        </w:rPr>
        <w:t>Request to Disqualify Prof. Christine Chinkin</w:t>
      </w:r>
      <w:r w:rsidR="00057035">
        <w:rPr>
          <w:rStyle w:val="aa"/>
          <w:rFonts w:asciiTheme="majorBidi" w:hAnsiTheme="majorBidi" w:cstheme="majorBidi"/>
          <w:bCs w:val="0"/>
          <w:color w:val="000000"/>
          <w:sz w:val="28"/>
          <w:szCs w:val="28"/>
        </w:rPr>
        <w:t xml:space="preserve"> </w:t>
      </w:r>
      <w:r w:rsidRPr="00057035">
        <w:rPr>
          <w:rStyle w:val="aa"/>
          <w:rFonts w:asciiTheme="majorBidi" w:hAnsiTheme="majorBidi" w:cstheme="majorBidi"/>
          <w:bCs w:val="0"/>
          <w:color w:val="000000"/>
          <w:sz w:val="28"/>
          <w:szCs w:val="28"/>
        </w:rPr>
        <w:t xml:space="preserve">from UN Fact Finding Mission on the Gaza Conflict, </w:t>
      </w:r>
      <w:r w:rsidRPr="00057035">
        <w:rPr>
          <w:rStyle w:val="aa"/>
          <w:rFonts w:asciiTheme="majorBidi" w:hAnsiTheme="majorBidi" w:cstheme="majorBidi"/>
          <w:color w:val="000000"/>
          <w:sz w:val="28"/>
          <w:szCs w:val="28"/>
        </w:rPr>
        <w:t>UN Watch</w:t>
      </w:r>
      <w:r w:rsidRPr="00057035">
        <w:rPr>
          <w:rStyle w:val="aa"/>
          <w:rFonts w:asciiTheme="majorBidi" w:hAnsiTheme="majorBidi" w:cstheme="majorBidi"/>
          <w:bCs w:val="0"/>
          <w:color w:val="000000"/>
          <w:sz w:val="28"/>
          <w:szCs w:val="28"/>
        </w:rPr>
        <w:t xml:space="preserve">. </w:t>
      </w:r>
    </w:p>
    <w:p w:rsidR="009B636F" w:rsidRPr="00057035" w:rsidRDefault="009B636F" w:rsidP="009B636F">
      <w:pPr>
        <w:pStyle w:val="a5"/>
        <w:bidi w:val="0"/>
        <w:spacing w:line="360" w:lineRule="auto"/>
        <w:jc w:val="both"/>
        <w:rPr>
          <w:rFonts w:asciiTheme="majorBidi" w:hAnsiTheme="majorBidi" w:cstheme="majorBidi"/>
          <w:b/>
          <w:bCs/>
          <w:sz w:val="28"/>
          <w:szCs w:val="28"/>
        </w:rPr>
      </w:pPr>
      <w:hyperlink r:id="rId261" w:history="1">
        <w:r w:rsidRPr="00057035">
          <w:rPr>
            <w:rStyle w:val="Hyperlink"/>
            <w:rFonts w:asciiTheme="majorBidi" w:hAnsiTheme="majorBidi" w:cstheme="majorBidi"/>
            <w:bCs/>
            <w:sz w:val="28"/>
            <w:szCs w:val="28"/>
          </w:rPr>
          <w:t>http://docslide.us/documents/un-watch-request-to-disqualify-prof-christine-chinkin-from-un-gaza-inquiry.html</w:t>
        </w:r>
      </w:hyperlink>
    </w:p>
    <w:p w:rsidR="009B636F" w:rsidRPr="00057035" w:rsidRDefault="009B636F" w:rsidP="009B636F">
      <w:pPr>
        <w:pStyle w:val="a5"/>
        <w:bidi w:val="0"/>
        <w:spacing w:line="360" w:lineRule="auto"/>
        <w:jc w:val="both"/>
        <w:rPr>
          <w:rFonts w:asciiTheme="majorBidi" w:hAnsiTheme="majorBidi" w:cstheme="majorBidi"/>
          <w:sz w:val="28"/>
          <w:szCs w:val="28"/>
        </w:rPr>
      </w:pPr>
    </w:p>
    <w:p w:rsidR="009B636F" w:rsidRPr="00057035" w:rsidRDefault="009B636F" w:rsidP="009B636F">
      <w:pPr>
        <w:pStyle w:val="a5"/>
        <w:bidi w:val="0"/>
        <w:spacing w:line="360" w:lineRule="auto"/>
        <w:jc w:val="both"/>
        <w:rPr>
          <w:rFonts w:asciiTheme="majorBidi" w:hAnsiTheme="majorBidi" w:cstheme="majorBidi"/>
          <w:sz w:val="28"/>
          <w:szCs w:val="28"/>
        </w:rPr>
      </w:pPr>
      <w:r w:rsidRPr="00057035">
        <w:rPr>
          <w:rFonts w:asciiTheme="majorBidi" w:hAnsiTheme="majorBidi" w:cstheme="majorBidi"/>
          <w:sz w:val="28"/>
          <w:szCs w:val="28"/>
        </w:rPr>
        <w:t>‘Strangling Necks’ - Abductions, Torture and Summary Killings of Palestinians by Hamas Forces During the 2014 Gaza/Israel Conflict, Amnesty International, 27 May 2015.</w:t>
      </w:r>
    </w:p>
    <w:p w:rsidR="009B636F" w:rsidRPr="00057035" w:rsidRDefault="009B636F" w:rsidP="009B636F">
      <w:pPr>
        <w:pStyle w:val="a5"/>
        <w:bidi w:val="0"/>
        <w:spacing w:line="360" w:lineRule="auto"/>
        <w:jc w:val="both"/>
        <w:rPr>
          <w:rFonts w:asciiTheme="majorBidi" w:hAnsiTheme="majorBidi" w:cstheme="majorBidi"/>
          <w:sz w:val="28"/>
          <w:szCs w:val="28"/>
        </w:rPr>
      </w:pPr>
      <w:hyperlink r:id="rId262" w:history="1">
        <w:r w:rsidRPr="00057035">
          <w:rPr>
            <w:rStyle w:val="Hyperlink"/>
            <w:rFonts w:asciiTheme="majorBidi" w:hAnsiTheme="majorBidi" w:cstheme="majorBidi"/>
            <w:sz w:val="28"/>
            <w:szCs w:val="28"/>
          </w:rPr>
          <w:t>file:///C:/Users/user/Downloads/MDE2116432015ENGLISH.PDF</w:t>
        </w:r>
      </w:hyperlink>
    </w:p>
    <w:p w:rsidR="009B636F" w:rsidRPr="00057035" w:rsidRDefault="009B636F" w:rsidP="009B636F">
      <w:pPr>
        <w:pStyle w:val="a5"/>
        <w:bidi w:val="0"/>
        <w:spacing w:line="360" w:lineRule="auto"/>
        <w:jc w:val="both"/>
        <w:rPr>
          <w:rFonts w:asciiTheme="majorBidi" w:hAnsiTheme="majorBidi" w:cstheme="majorBidi"/>
          <w:sz w:val="28"/>
          <w:szCs w:val="28"/>
        </w:rPr>
      </w:pPr>
    </w:p>
    <w:p w:rsidR="009B636F" w:rsidRPr="00057035" w:rsidRDefault="009B636F" w:rsidP="009B636F">
      <w:pPr>
        <w:pStyle w:val="a5"/>
        <w:bidi w:val="0"/>
        <w:spacing w:line="360" w:lineRule="auto"/>
        <w:jc w:val="both"/>
        <w:rPr>
          <w:rStyle w:val="aa"/>
          <w:rFonts w:asciiTheme="majorBidi" w:hAnsiTheme="majorBidi" w:cstheme="majorBidi"/>
          <w:b w:val="0"/>
          <w:bCs w:val="0"/>
          <w:sz w:val="28"/>
          <w:szCs w:val="28"/>
          <w:shd w:val="clear" w:color="auto" w:fill="FFFFFF"/>
        </w:rPr>
      </w:pPr>
      <w:r w:rsidRPr="00057035">
        <w:rPr>
          <w:rFonts w:asciiTheme="majorBidi" w:hAnsiTheme="majorBidi" w:cstheme="majorBidi"/>
          <w:sz w:val="28"/>
          <w:szCs w:val="28"/>
        </w:rPr>
        <w:t xml:space="preserve">UN adopts 20 resolutions against Israel, 3 on rest of the world, </w:t>
      </w:r>
      <w:r w:rsidRPr="00057035">
        <w:rPr>
          <w:rFonts w:asciiTheme="majorBidi" w:hAnsiTheme="majorBidi" w:cstheme="majorBidi"/>
          <w:b/>
          <w:bCs/>
          <w:sz w:val="28"/>
          <w:szCs w:val="28"/>
        </w:rPr>
        <w:t>UN Watch</w:t>
      </w:r>
      <w:r w:rsidRPr="00057035">
        <w:rPr>
          <w:rFonts w:asciiTheme="majorBidi" w:hAnsiTheme="majorBidi" w:cstheme="majorBidi"/>
          <w:sz w:val="28"/>
          <w:szCs w:val="28"/>
        </w:rPr>
        <w:t xml:space="preserve">, </w:t>
      </w:r>
      <w:r w:rsidRPr="00057035">
        <w:rPr>
          <w:rStyle w:val="aa"/>
          <w:rFonts w:asciiTheme="majorBidi" w:hAnsiTheme="majorBidi" w:cstheme="majorBidi"/>
          <w:bCs w:val="0"/>
          <w:sz w:val="28"/>
          <w:szCs w:val="28"/>
          <w:shd w:val="clear" w:color="auto" w:fill="FFFFFF"/>
        </w:rPr>
        <w:t>25 November 2015.</w:t>
      </w:r>
    </w:p>
    <w:p w:rsidR="009B636F" w:rsidRPr="00057035" w:rsidRDefault="009B636F" w:rsidP="009B636F">
      <w:pPr>
        <w:pStyle w:val="a5"/>
        <w:bidi w:val="0"/>
        <w:spacing w:line="360" w:lineRule="auto"/>
        <w:jc w:val="both"/>
        <w:rPr>
          <w:rStyle w:val="aa"/>
          <w:rFonts w:asciiTheme="majorBidi" w:hAnsiTheme="majorBidi" w:cstheme="majorBidi"/>
          <w:b w:val="0"/>
          <w:bCs w:val="0"/>
          <w:sz w:val="28"/>
          <w:szCs w:val="28"/>
          <w:shd w:val="clear" w:color="auto" w:fill="FFFFFF"/>
        </w:rPr>
      </w:pPr>
      <w:hyperlink r:id="rId263" w:history="1">
        <w:r w:rsidRPr="00057035">
          <w:rPr>
            <w:rStyle w:val="Hyperlink"/>
            <w:rFonts w:asciiTheme="majorBidi" w:hAnsiTheme="majorBidi" w:cstheme="majorBidi"/>
            <w:bCs/>
            <w:sz w:val="28"/>
            <w:szCs w:val="28"/>
            <w:shd w:val="clear" w:color="auto" w:fill="FFFFFF"/>
          </w:rPr>
          <w:t>http://www.unwatch.org/un-to-adopt-20-resolutions-against-israel-3-on-rest-of-the-world/</w:t>
        </w:r>
      </w:hyperlink>
    </w:p>
    <w:p w:rsidR="009B636F" w:rsidRPr="00057035" w:rsidRDefault="009B636F" w:rsidP="009B636F">
      <w:pPr>
        <w:pStyle w:val="a5"/>
        <w:bidi w:val="0"/>
        <w:spacing w:line="360" w:lineRule="auto"/>
        <w:jc w:val="both"/>
        <w:rPr>
          <w:rFonts w:asciiTheme="majorBidi" w:hAnsiTheme="majorBidi" w:cstheme="majorBidi"/>
          <w:sz w:val="28"/>
          <w:szCs w:val="28"/>
        </w:rPr>
      </w:pPr>
    </w:p>
    <w:p w:rsidR="009B636F" w:rsidRPr="00057035" w:rsidRDefault="009B636F" w:rsidP="009B636F">
      <w:pPr>
        <w:pStyle w:val="a5"/>
        <w:bidi w:val="0"/>
        <w:spacing w:line="360" w:lineRule="auto"/>
        <w:jc w:val="both"/>
        <w:rPr>
          <w:rFonts w:asciiTheme="majorBidi" w:hAnsiTheme="majorBidi" w:cstheme="majorBidi"/>
          <w:sz w:val="28"/>
          <w:szCs w:val="28"/>
        </w:rPr>
      </w:pPr>
      <w:r w:rsidRPr="00057035">
        <w:rPr>
          <w:rFonts w:asciiTheme="majorBidi" w:hAnsiTheme="majorBidi" w:cstheme="majorBidi"/>
          <w:sz w:val="28"/>
          <w:szCs w:val="28"/>
        </w:rPr>
        <w:lastRenderedPageBreak/>
        <w:t xml:space="preserve">Unlawful and Deadly - Rocket and Mortar Attacks by Palestinian Armed Groups </w:t>
      </w:r>
      <w:r w:rsidR="00057035" w:rsidRPr="00057035">
        <w:rPr>
          <w:rFonts w:asciiTheme="majorBidi" w:hAnsiTheme="majorBidi" w:cstheme="majorBidi"/>
          <w:sz w:val="28"/>
          <w:szCs w:val="28"/>
        </w:rPr>
        <w:t>during</w:t>
      </w:r>
      <w:r w:rsidRPr="00057035">
        <w:rPr>
          <w:rFonts w:asciiTheme="majorBidi" w:hAnsiTheme="majorBidi" w:cstheme="majorBidi"/>
          <w:sz w:val="28"/>
          <w:szCs w:val="28"/>
        </w:rPr>
        <w:t xml:space="preserve"> the 2014 Gaza/Israel Conflict, Amnesty International, 26 March 2015.</w:t>
      </w:r>
    </w:p>
    <w:p w:rsidR="009B636F" w:rsidRPr="00057035" w:rsidRDefault="009B636F" w:rsidP="009B636F">
      <w:pPr>
        <w:pStyle w:val="a5"/>
        <w:bidi w:val="0"/>
        <w:spacing w:line="360" w:lineRule="auto"/>
        <w:jc w:val="both"/>
        <w:rPr>
          <w:rFonts w:asciiTheme="majorBidi" w:hAnsiTheme="majorBidi" w:cstheme="majorBidi"/>
          <w:sz w:val="28"/>
          <w:szCs w:val="28"/>
        </w:rPr>
      </w:pPr>
      <w:hyperlink r:id="rId264" w:history="1">
        <w:r w:rsidRPr="00057035">
          <w:rPr>
            <w:rStyle w:val="Hyperlink"/>
            <w:rFonts w:asciiTheme="majorBidi" w:hAnsiTheme="majorBidi" w:cstheme="majorBidi"/>
            <w:sz w:val="28"/>
            <w:szCs w:val="28"/>
          </w:rPr>
          <w:t>file:///C:/Users/user/Downloads/MDE2111782015ENGLISH.PDF</w:t>
        </w:r>
      </w:hyperlink>
    </w:p>
    <w:p w:rsidR="009B636F" w:rsidRPr="00057035" w:rsidRDefault="009B636F" w:rsidP="009B636F">
      <w:pPr>
        <w:pStyle w:val="a5"/>
        <w:bidi w:val="0"/>
        <w:spacing w:line="360" w:lineRule="auto"/>
        <w:jc w:val="both"/>
        <w:rPr>
          <w:rFonts w:asciiTheme="majorBidi" w:hAnsiTheme="majorBidi" w:cstheme="majorBidi"/>
          <w:sz w:val="28"/>
          <w:szCs w:val="28"/>
        </w:rPr>
      </w:pPr>
    </w:p>
    <w:p w:rsidR="009B636F" w:rsidRPr="00057035" w:rsidRDefault="009B636F" w:rsidP="009B636F">
      <w:pPr>
        <w:pStyle w:val="a5"/>
        <w:bidi w:val="0"/>
        <w:spacing w:line="360" w:lineRule="auto"/>
        <w:jc w:val="both"/>
        <w:rPr>
          <w:rStyle w:val="apple-converted-space"/>
          <w:rFonts w:asciiTheme="majorBidi" w:hAnsiTheme="majorBidi" w:cstheme="majorBidi"/>
          <w:sz w:val="28"/>
          <w:szCs w:val="28"/>
        </w:rPr>
      </w:pPr>
      <w:r w:rsidRPr="00057035">
        <w:rPr>
          <w:rStyle w:val="aa"/>
          <w:rFonts w:asciiTheme="majorBidi" w:hAnsiTheme="majorBidi" w:cstheme="majorBidi"/>
          <w:bCs w:val="0"/>
          <w:sz w:val="28"/>
          <w:szCs w:val="28"/>
        </w:rPr>
        <w:t>Watchdog Urges Ex-U.N. Rights Chief Mary Robinson to Answer Allegations</w:t>
      </w:r>
      <w:r w:rsidRPr="00057035">
        <w:rPr>
          <w:rStyle w:val="apple-converted-space"/>
          <w:rFonts w:asciiTheme="majorBidi" w:hAnsiTheme="majorBidi" w:cstheme="majorBidi"/>
          <w:b/>
          <w:bCs/>
          <w:sz w:val="28"/>
          <w:szCs w:val="28"/>
        </w:rPr>
        <w:t>, UN Watch</w:t>
      </w:r>
      <w:r w:rsidRPr="00057035">
        <w:rPr>
          <w:rStyle w:val="apple-converted-space"/>
          <w:rFonts w:asciiTheme="majorBidi" w:hAnsiTheme="majorBidi" w:cstheme="majorBidi"/>
          <w:sz w:val="28"/>
          <w:szCs w:val="28"/>
        </w:rPr>
        <w:t>.</w:t>
      </w:r>
    </w:p>
    <w:p w:rsidR="009B636F" w:rsidRPr="00057035" w:rsidRDefault="009B636F" w:rsidP="009B636F">
      <w:pPr>
        <w:pStyle w:val="a5"/>
        <w:bidi w:val="0"/>
        <w:spacing w:line="360" w:lineRule="auto"/>
        <w:jc w:val="both"/>
        <w:rPr>
          <w:rFonts w:asciiTheme="majorBidi" w:hAnsiTheme="majorBidi" w:cstheme="majorBidi"/>
          <w:sz w:val="28"/>
          <w:szCs w:val="28"/>
        </w:rPr>
      </w:pPr>
      <w:hyperlink r:id="rId265" w:history="1">
        <w:r w:rsidRPr="00057035">
          <w:rPr>
            <w:rStyle w:val="Hyperlink"/>
            <w:rFonts w:asciiTheme="majorBidi" w:hAnsiTheme="majorBidi" w:cstheme="majorBidi"/>
            <w:sz w:val="28"/>
            <w:szCs w:val="28"/>
          </w:rPr>
          <w:t>http://secure.unwatch.org/site/apps/nlnet/content2.aspx?c=bdKKISNqEmG&amp;b=1316871&amp;ct=7299449</w:t>
        </w:r>
      </w:hyperlink>
    </w:p>
    <w:p w:rsidR="009B636F" w:rsidRPr="00057035" w:rsidRDefault="009B636F" w:rsidP="009B636F">
      <w:pPr>
        <w:pStyle w:val="a5"/>
        <w:bidi w:val="0"/>
        <w:spacing w:line="360" w:lineRule="auto"/>
        <w:jc w:val="both"/>
        <w:rPr>
          <w:rFonts w:asciiTheme="majorBidi" w:hAnsiTheme="majorBidi" w:cstheme="majorBidi"/>
          <w:sz w:val="28"/>
          <w:szCs w:val="28"/>
          <w:rtl/>
        </w:rPr>
      </w:pPr>
    </w:p>
    <w:p w:rsidR="009B636F" w:rsidRPr="00FA11B8" w:rsidRDefault="009B636F" w:rsidP="009B636F">
      <w:pPr>
        <w:spacing w:after="0" w:line="360" w:lineRule="auto"/>
        <w:jc w:val="both"/>
        <w:rPr>
          <w:rFonts w:asciiTheme="majorBidi" w:hAnsiTheme="majorBidi" w:cs="David"/>
          <w:b/>
          <w:bCs/>
          <w:sz w:val="28"/>
          <w:szCs w:val="28"/>
          <w:rtl/>
        </w:rPr>
      </w:pPr>
      <w:r w:rsidRPr="00FA11B8">
        <w:rPr>
          <w:rFonts w:asciiTheme="majorBidi" w:hAnsiTheme="majorBidi" w:cs="David"/>
          <w:b/>
          <w:bCs/>
          <w:sz w:val="28"/>
          <w:szCs w:val="28"/>
          <w:rtl/>
        </w:rPr>
        <w:t xml:space="preserve">ראיונות </w:t>
      </w:r>
      <w:r w:rsidRPr="00FA11B8">
        <w:rPr>
          <w:rFonts w:asciiTheme="majorBidi" w:hAnsiTheme="majorBidi" w:cs="David"/>
          <w:sz w:val="28"/>
          <w:szCs w:val="28"/>
          <w:rtl/>
        </w:rPr>
        <w:t>(בכתובים בידי המחבר)</w:t>
      </w:r>
    </w:p>
    <w:p w:rsidR="009B636F" w:rsidRPr="00FA11B8" w:rsidRDefault="009B636F" w:rsidP="009B636F">
      <w:pPr>
        <w:spacing w:after="0" w:line="360" w:lineRule="auto"/>
        <w:jc w:val="both"/>
        <w:rPr>
          <w:rFonts w:asciiTheme="majorBidi" w:hAnsiTheme="majorBidi" w:cs="David"/>
          <w:sz w:val="28"/>
          <w:szCs w:val="28"/>
          <w:rtl/>
        </w:rPr>
      </w:pPr>
    </w:p>
    <w:p w:rsidR="009B636F" w:rsidRPr="00FA11B8" w:rsidRDefault="009B636F" w:rsidP="009B636F">
      <w:pPr>
        <w:spacing w:after="0" w:line="360" w:lineRule="auto"/>
        <w:jc w:val="both"/>
        <w:rPr>
          <w:rFonts w:asciiTheme="majorBidi" w:hAnsiTheme="majorBidi" w:cs="David"/>
          <w:sz w:val="28"/>
          <w:szCs w:val="28"/>
          <w:rtl/>
        </w:rPr>
      </w:pPr>
      <w:r w:rsidRPr="00FA11B8">
        <w:rPr>
          <w:rFonts w:asciiTheme="majorBidi" w:hAnsiTheme="majorBidi" w:cs="David"/>
          <w:sz w:val="28"/>
          <w:szCs w:val="28"/>
          <w:rtl/>
        </w:rPr>
        <w:t xml:space="preserve">אושפיז אלון (2016), </w:t>
      </w:r>
      <w:r w:rsidRPr="00FA11B8">
        <w:rPr>
          <w:rFonts w:asciiTheme="majorBidi" w:hAnsiTheme="majorBidi" w:cs="David"/>
          <w:b/>
          <w:bCs/>
          <w:sz w:val="28"/>
          <w:szCs w:val="28"/>
          <w:rtl/>
        </w:rPr>
        <w:t>ראש המערך המדיני במשרד החוץ</w:t>
      </w:r>
      <w:r w:rsidRPr="00FA11B8">
        <w:rPr>
          <w:rFonts w:asciiTheme="majorBidi" w:hAnsiTheme="majorBidi" w:cs="David"/>
          <w:sz w:val="28"/>
          <w:szCs w:val="28"/>
          <w:rtl/>
        </w:rPr>
        <w:t>, פגישה מיום 13.03.16.</w:t>
      </w:r>
    </w:p>
    <w:p w:rsidR="009B636F" w:rsidRPr="00FA11B8" w:rsidRDefault="009B636F" w:rsidP="009B636F">
      <w:pPr>
        <w:spacing w:after="0" w:line="360" w:lineRule="auto"/>
        <w:jc w:val="both"/>
        <w:rPr>
          <w:rFonts w:asciiTheme="majorBidi" w:hAnsiTheme="majorBidi" w:cs="David"/>
          <w:sz w:val="28"/>
          <w:szCs w:val="28"/>
        </w:rPr>
      </w:pPr>
    </w:p>
    <w:p w:rsidR="009B636F" w:rsidRPr="00FA11B8" w:rsidRDefault="009B636F" w:rsidP="009B636F">
      <w:pPr>
        <w:spacing w:after="0" w:line="360" w:lineRule="auto"/>
        <w:jc w:val="both"/>
        <w:rPr>
          <w:rFonts w:asciiTheme="majorBidi" w:hAnsiTheme="majorBidi" w:cs="David"/>
          <w:sz w:val="28"/>
          <w:szCs w:val="28"/>
          <w:rtl/>
        </w:rPr>
      </w:pPr>
      <w:r w:rsidRPr="00FA11B8">
        <w:rPr>
          <w:rFonts w:asciiTheme="majorBidi" w:hAnsiTheme="majorBidi" w:cs="David"/>
          <w:sz w:val="28"/>
          <w:szCs w:val="28"/>
          <w:rtl/>
        </w:rPr>
        <w:t xml:space="preserve">בומס ניר (2016), </w:t>
      </w:r>
      <w:r w:rsidRPr="00FA11B8">
        <w:rPr>
          <w:rFonts w:asciiTheme="majorBidi" w:hAnsiTheme="majorBidi" w:cs="David"/>
          <w:b/>
          <w:bCs/>
          <w:sz w:val="28"/>
          <w:szCs w:val="28"/>
          <w:rtl/>
        </w:rPr>
        <w:t>נציג קרן הצדקה ע"ש ניוטון ורשל בקר בישראל</w:t>
      </w:r>
      <w:r w:rsidRPr="00FA11B8">
        <w:rPr>
          <w:rFonts w:asciiTheme="majorBidi" w:hAnsiTheme="majorBidi" w:cs="David"/>
          <w:sz w:val="28"/>
          <w:szCs w:val="28"/>
          <w:rtl/>
        </w:rPr>
        <w:t>, פגישה מיום 7.3.16.</w:t>
      </w:r>
    </w:p>
    <w:p w:rsidR="009B636F" w:rsidRPr="00FA11B8" w:rsidRDefault="009B636F" w:rsidP="009B636F">
      <w:pPr>
        <w:spacing w:after="0" w:line="360" w:lineRule="auto"/>
        <w:jc w:val="both"/>
        <w:rPr>
          <w:rFonts w:asciiTheme="majorBidi" w:hAnsiTheme="majorBidi" w:cs="David"/>
          <w:sz w:val="28"/>
          <w:szCs w:val="28"/>
          <w:rtl/>
        </w:rPr>
      </w:pPr>
    </w:p>
    <w:p w:rsidR="009B636F" w:rsidRPr="00FA11B8" w:rsidRDefault="009B636F" w:rsidP="009B636F">
      <w:pPr>
        <w:spacing w:after="0" w:line="360" w:lineRule="auto"/>
        <w:jc w:val="both"/>
        <w:rPr>
          <w:rFonts w:asciiTheme="majorBidi" w:hAnsiTheme="majorBidi" w:cs="David"/>
          <w:sz w:val="28"/>
          <w:szCs w:val="28"/>
          <w:rtl/>
        </w:rPr>
      </w:pPr>
      <w:r w:rsidRPr="00FA11B8">
        <w:rPr>
          <w:rFonts w:asciiTheme="majorBidi" w:hAnsiTheme="majorBidi" w:cs="David"/>
          <w:sz w:val="28"/>
          <w:szCs w:val="28"/>
          <w:rtl/>
        </w:rPr>
        <w:t xml:space="preserve">ביניש דורית (2016), </w:t>
      </w:r>
      <w:r w:rsidRPr="00FA11B8">
        <w:rPr>
          <w:rFonts w:asciiTheme="majorBidi" w:hAnsiTheme="majorBidi" w:cs="David"/>
          <w:b/>
          <w:bCs/>
          <w:sz w:val="28"/>
          <w:szCs w:val="28"/>
          <w:rtl/>
        </w:rPr>
        <w:t>נשיאת בית המשפט העליון לשעבר</w:t>
      </w:r>
      <w:r w:rsidRPr="00FA11B8">
        <w:rPr>
          <w:rFonts w:asciiTheme="majorBidi" w:hAnsiTheme="majorBidi" w:cs="David"/>
          <w:sz w:val="28"/>
          <w:szCs w:val="28"/>
          <w:rtl/>
        </w:rPr>
        <w:t>, פגישה מיום 01.03.16.</w:t>
      </w:r>
    </w:p>
    <w:p w:rsidR="009B636F" w:rsidRPr="00FA11B8" w:rsidRDefault="009B636F" w:rsidP="009B636F">
      <w:pPr>
        <w:spacing w:after="0" w:line="360" w:lineRule="auto"/>
        <w:jc w:val="both"/>
        <w:rPr>
          <w:rFonts w:asciiTheme="majorBidi" w:hAnsiTheme="majorBidi" w:cs="David"/>
          <w:sz w:val="28"/>
          <w:szCs w:val="28"/>
          <w:rtl/>
        </w:rPr>
      </w:pPr>
    </w:p>
    <w:p w:rsidR="009B636F" w:rsidRPr="00FA11B8" w:rsidRDefault="009B636F" w:rsidP="009B636F">
      <w:pPr>
        <w:spacing w:after="0" w:line="360" w:lineRule="auto"/>
        <w:jc w:val="both"/>
        <w:rPr>
          <w:rFonts w:asciiTheme="majorBidi" w:hAnsiTheme="majorBidi" w:cs="David"/>
          <w:sz w:val="28"/>
          <w:szCs w:val="28"/>
          <w:rtl/>
        </w:rPr>
      </w:pPr>
      <w:r w:rsidRPr="00FA11B8">
        <w:rPr>
          <w:rFonts w:asciiTheme="majorBidi" w:hAnsiTheme="majorBidi" w:cs="David"/>
          <w:sz w:val="28"/>
          <w:szCs w:val="28"/>
          <w:rtl/>
        </w:rPr>
        <w:t xml:space="preserve">בייקר אלן (2016), </w:t>
      </w:r>
      <w:r w:rsidRPr="00FA11B8">
        <w:rPr>
          <w:rFonts w:asciiTheme="majorBidi" w:hAnsiTheme="majorBidi" w:cs="David"/>
          <w:b/>
          <w:bCs/>
          <w:sz w:val="28"/>
          <w:szCs w:val="28"/>
          <w:rtl/>
        </w:rPr>
        <w:t>מנהל המכון לדיפלומטיה ציבורית של המרכז הירושלמי לענייני ציבור ומדינה ולשעבר היועץ המשפטי של משרד החוץ ושגריר ישראל בקנדה</w:t>
      </w:r>
      <w:r w:rsidRPr="00FA11B8">
        <w:rPr>
          <w:rFonts w:asciiTheme="majorBidi" w:hAnsiTheme="majorBidi" w:cs="David"/>
          <w:sz w:val="28"/>
          <w:szCs w:val="28"/>
          <w:rtl/>
        </w:rPr>
        <w:t>, ראיון בכתב מיום 06.06.16.</w:t>
      </w:r>
    </w:p>
    <w:p w:rsidR="009B636F" w:rsidRPr="00FA11B8" w:rsidRDefault="009B636F" w:rsidP="009B636F">
      <w:pPr>
        <w:spacing w:after="0" w:line="360" w:lineRule="auto"/>
        <w:jc w:val="both"/>
        <w:rPr>
          <w:rFonts w:asciiTheme="majorBidi" w:hAnsiTheme="majorBidi" w:cs="David"/>
          <w:sz w:val="28"/>
          <w:szCs w:val="28"/>
        </w:rPr>
      </w:pPr>
    </w:p>
    <w:p w:rsidR="009B636F" w:rsidRPr="00FA11B8" w:rsidRDefault="009B636F" w:rsidP="009B636F">
      <w:pPr>
        <w:spacing w:after="0" w:line="360" w:lineRule="auto"/>
        <w:jc w:val="both"/>
        <w:rPr>
          <w:rFonts w:asciiTheme="majorBidi" w:hAnsiTheme="majorBidi" w:cs="David"/>
          <w:sz w:val="28"/>
          <w:szCs w:val="28"/>
          <w:rtl/>
        </w:rPr>
      </w:pPr>
      <w:r w:rsidRPr="00FA11B8">
        <w:rPr>
          <w:rFonts w:asciiTheme="majorBidi" w:hAnsiTheme="majorBidi" w:cs="David"/>
          <w:sz w:val="28"/>
          <w:szCs w:val="28"/>
          <w:rtl/>
        </w:rPr>
        <w:t xml:space="preserve">בקר טל (2016), </w:t>
      </w:r>
      <w:r w:rsidRPr="00FA11B8">
        <w:rPr>
          <w:rFonts w:asciiTheme="majorBidi" w:hAnsiTheme="majorBidi" w:cs="David"/>
          <w:b/>
          <w:bCs/>
          <w:sz w:val="28"/>
          <w:szCs w:val="28"/>
          <w:rtl/>
        </w:rPr>
        <w:t>מהלשכה המשפטית של משרד החוץ</w:t>
      </w:r>
      <w:r w:rsidRPr="00FA11B8">
        <w:rPr>
          <w:rFonts w:asciiTheme="majorBidi" w:hAnsiTheme="majorBidi" w:cs="David"/>
          <w:sz w:val="28"/>
          <w:szCs w:val="28"/>
          <w:rtl/>
        </w:rPr>
        <w:t>, פגישה מיום 27.01.16.</w:t>
      </w:r>
    </w:p>
    <w:p w:rsidR="009B636F" w:rsidRPr="00FA11B8" w:rsidRDefault="009B636F" w:rsidP="009B636F">
      <w:pPr>
        <w:spacing w:after="0" w:line="360" w:lineRule="auto"/>
        <w:jc w:val="both"/>
        <w:rPr>
          <w:rFonts w:asciiTheme="majorBidi" w:hAnsiTheme="majorBidi" w:cs="David"/>
          <w:sz w:val="28"/>
          <w:szCs w:val="28"/>
          <w:rtl/>
        </w:rPr>
      </w:pPr>
    </w:p>
    <w:p w:rsidR="009B636F" w:rsidRPr="00FA11B8" w:rsidRDefault="009B636F" w:rsidP="009B636F">
      <w:pPr>
        <w:spacing w:after="0" w:line="360" w:lineRule="auto"/>
        <w:jc w:val="both"/>
        <w:rPr>
          <w:rFonts w:asciiTheme="majorBidi" w:hAnsiTheme="majorBidi" w:cs="David"/>
          <w:sz w:val="28"/>
          <w:szCs w:val="28"/>
          <w:rtl/>
        </w:rPr>
      </w:pPr>
      <w:r w:rsidRPr="00FA11B8">
        <w:rPr>
          <w:rFonts w:asciiTheme="majorBidi" w:hAnsiTheme="majorBidi" w:cs="David"/>
          <w:sz w:val="28"/>
          <w:szCs w:val="28"/>
          <w:rtl/>
        </w:rPr>
        <w:t xml:space="preserve">ברק אהרון (2016), </w:t>
      </w:r>
      <w:r w:rsidRPr="00FA11B8">
        <w:rPr>
          <w:rFonts w:asciiTheme="majorBidi" w:hAnsiTheme="majorBidi" w:cs="David"/>
          <w:b/>
          <w:bCs/>
          <w:sz w:val="28"/>
          <w:szCs w:val="28"/>
          <w:rtl/>
        </w:rPr>
        <w:t>נשיא בית המשפט העליון והיועץ המשפטי לממשלה לשעבר</w:t>
      </w:r>
      <w:r w:rsidRPr="00FA11B8">
        <w:rPr>
          <w:rFonts w:asciiTheme="majorBidi" w:hAnsiTheme="majorBidi" w:cs="David"/>
          <w:sz w:val="28"/>
          <w:szCs w:val="28"/>
          <w:rtl/>
        </w:rPr>
        <w:t>, פגישה מיום 6.3.16.</w:t>
      </w:r>
    </w:p>
    <w:p w:rsidR="009B636F" w:rsidRPr="00FA11B8" w:rsidRDefault="009B636F" w:rsidP="009B636F">
      <w:pPr>
        <w:spacing w:after="0" w:line="360" w:lineRule="auto"/>
        <w:jc w:val="both"/>
        <w:rPr>
          <w:rFonts w:asciiTheme="majorBidi" w:hAnsiTheme="majorBidi" w:cs="David"/>
          <w:sz w:val="28"/>
          <w:szCs w:val="28"/>
        </w:rPr>
      </w:pPr>
    </w:p>
    <w:p w:rsidR="009B636F" w:rsidRPr="00FA11B8" w:rsidRDefault="009B636F" w:rsidP="009B636F">
      <w:pPr>
        <w:spacing w:after="0" w:line="360" w:lineRule="auto"/>
        <w:jc w:val="both"/>
        <w:rPr>
          <w:rFonts w:asciiTheme="majorBidi" w:hAnsiTheme="majorBidi" w:cs="David"/>
          <w:sz w:val="28"/>
          <w:szCs w:val="28"/>
          <w:rtl/>
        </w:rPr>
      </w:pPr>
      <w:r w:rsidRPr="00FA11B8">
        <w:rPr>
          <w:rFonts w:asciiTheme="majorBidi" w:hAnsiTheme="majorBidi" w:cs="David"/>
          <w:sz w:val="28"/>
          <w:szCs w:val="28"/>
          <w:rtl/>
        </w:rPr>
        <w:t xml:space="preserve">גור-לביא עודד (2016), </w:t>
      </w:r>
      <w:r w:rsidRPr="00FA11B8">
        <w:rPr>
          <w:rFonts w:asciiTheme="majorBidi" w:hAnsiTheme="majorBidi" w:cs="David"/>
          <w:b/>
          <w:bCs/>
          <w:sz w:val="28"/>
          <w:szCs w:val="28"/>
          <w:rtl/>
        </w:rPr>
        <w:t>לשעבר ראש מנהלת המערכה המשפטית-מדינית בצה"ל</w:t>
      </w:r>
      <w:r w:rsidRPr="00FA11B8">
        <w:rPr>
          <w:rFonts w:asciiTheme="majorBidi" w:hAnsiTheme="majorBidi" w:cs="David"/>
          <w:sz w:val="28"/>
          <w:szCs w:val="28"/>
          <w:rtl/>
        </w:rPr>
        <w:t>, פגישה מיום 17.03.16.</w:t>
      </w:r>
    </w:p>
    <w:p w:rsidR="009B636F" w:rsidRPr="00FA11B8" w:rsidRDefault="009B636F" w:rsidP="009B636F">
      <w:pPr>
        <w:spacing w:after="0" w:line="360" w:lineRule="auto"/>
        <w:jc w:val="both"/>
        <w:rPr>
          <w:rFonts w:asciiTheme="majorBidi" w:hAnsiTheme="majorBidi" w:cs="David"/>
          <w:sz w:val="28"/>
          <w:szCs w:val="28"/>
          <w:rtl/>
        </w:rPr>
      </w:pPr>
    </w:p>
    <w:p w:rsidR="009B636F" w:rsidRPr="00FA11B8" w:rsidRDefault="009B636F" w:rsidP="009B636F">
      <w:pPr>
        <w:spacing w:after="0" w:line="360" w:lineRule="auto"/>
        <w:jc w:val="both"/>
        <w:rPr>
          <w:rFonts w:asciiTheme="majorBidi" w:hAnsiTheme="majorBidi" w:cs="David"/>
          <w:sz w:val="28"/>
          <w:szCs w:val="28"/>
          <w:rtl/>
        </w:rPr>
      </w:pPr>
      <w:r w:rsidRPr="00FA11B8">
        <w:rPr>
          <w:rFonts w:asciiTheme="majorBidi" w:hAnsiTheme="majorBidi" w:cs="David"/>
          <w:sz w:val="28"/>
          <w:szCs w:val="28"/>
          <w:rtl/>
        </w:rPr>
        <w:lastRenderedPageBreak/>
        <w:t xml:space="preserve">גרון דניאל (2016), </w:t>
      </w:r>
      <w:r w:rsidRPr="00FA11B8">
        <w:rPr>
          <w:rFonts w:asciiTheme="majorBidi" w:hAnsiTheme="majorBidi" w:cs="David"/>
          <w:b/>
          <w:bCs/>
          <w:sz w:val="28"/>
          <w:szCs w:val="28"/>
          <w:rtl/>
        </w:rPr>
        <w:t>ראש חטיבת מדיניות צדק בינלאומי במטה לביטחון לאומי ולשעבר ממלא מקום היועץ המשפטי למטה לביטחון לאומי ועורך דין במחלקה לתפקידים מיוחדים (בינלאומי) במשרד המשפטים ובמחלקת הדין הבינלאומי בפרקליטות הצבאית</w:t>
      </w:r>
      <w:r w:rsidRPr="00FA11B8">
        <w:rPr>
          <w:rFonts w:asciiTheme="majorBidi" w:hAnsiTheme="majorBidi" w:cs="David"/>
          <w:sz w:val="28"/>
          <w:szCs w:val="28"/>
          <w:rtl/>
        </w:rPr>
        <w:t>, פגישה מיום 24.03.16.</w:t>
      </w:r>
    </w:p>
    <w:p w:rsidR="009B636F" w:rsidRPr="00FA11B8" w:rsidRDefault="009B636F" w:rsidP="009B636F">
      <w:pPr>
        <w:spacing w:after="0" w:line="360" w:lineRule="auto"/>
        <w:jc w:val="both"/>
        <w:rPr>
          <w:rFonts w:asciiTheme="majorBidi" w:hAnsiTheme="majorBidi" w:cs="David"/>
          <w:sz w:val="28"/>
          <w:szCs w:val="28"/>
        </w:rPr>
      </w:pPr>
    </w:p>
    <w:p w:rsidR="009B636F" w:rsidRPr="00FA11B8" w:rsidRDefault="009B636F" w:rsidP="009B636F">
      <w:pPr>
        <w:spacing w:after="0" w:line="360" w:lineRule="auto"/>
        <w:jc w:val="both"/>
        <w:rPr>
          <w:rFonts w:asciiTheme="majorBidi" w:hAnsiTheme="majorBidi" w:cs="David"/>
          <w:sz w:val="28"/>
          <w:szCs w:val="28"/>
          <w:rtl/>
        </w:rPr>
      </w:pPr>
      <w:r w:rsidRPr="00FA11B8">
        <w:rPr>
          <w:rFonts w:asciiTheme="majorBidi" w:hAnsiTheme="majorBidi" w:cs="David"/>
          <w:sz w:val="28"/>
          <w:szCs w:val="28"/>
          <w:rtl/>
        </w:rPr>
        <w:t xml:space="preserve">דינשטיין יורם (2016), </w:t>
      </w:r>
      <w:r w:rsidRPr="00FA11B8">
        <w:rPr>
          <w:rFonts w:asciiTheme="majorBidi" w:hAnsiTheme="majorBidi" w:cs="David"/>
          <w:b/>
          <w:bCs/>
          <w:sz w:val="28"/>
          <w:szCs w:val="28"/>
          <w:rtl/>
        </w:rPr>
        <w:t>מרצה למשפט בינלאומי באוניברסיטת תל אביב</w:t>
      </w:r>
      <w:r w:rsidRPr="00FA11B8">
        <w:rPr>
          <w:rFonts w:asciiTheme="majorBidi" w:hAnsiTheme="majorBidi" w:cs="David"/>
          <w:sz w:val="28"/>
          <w:szCs w:val="28"/>
          <w:rtl/>
        </w:rPr>
        <w:t>, פגישה מיום 22.03.16.</w:t>
      </w:r>
    </w:p>
    <w:p w:rsidR="009B636F" w:rsidRPr="00FA11B8" w:rsidRDefault="009B636F" w:rsidP="009B636F">
      <w:pPr>
        <w:spacing w:after="0" w:line="360" w:lineRule="auto"/>
        <w:jc w:val="both"/>
        <w:rPr>
          <w:rFonts w:asciiTheme="majorBidi" w:hAnsiTheme="majorBidi" w:cs="David"/>
          <w:sz w:val="28"/>
          <w:szCs w:val="28"/>
        </w:rPr>
      </w:pPr>
    </w:p>
    <w:p w:rsidR="009B636F" w:rsidRPr="00FA11B8" w:rsidRDefault="009B636F" w:rsidP="009B636F">
      <w:pPr>
        <w:spacing w:after="0" w:line="360" w:lineRule="auto"/>
        <w:jc w:val="both"/>
        <w:rPr>
          <w:rFonts w:asciiTheme="majorBidi" w:hAnsiTheme="majorBidi" w:cs="David"/>
          <w:sz w:val="28"/>
          <w:szCs w:val="28"/>
          <w:rtl/>
        </w:rPr>
      </w:pPr>
      <w:r w:rsidRPr="00FA11B8">
        <w:rPr>
          <w:rFonts w:asciiTheme="majorBidi" w:hAnsiTheme="majorBidi" w:cs="David"/>
          <w:sz w:val="28"/>
          <w:szCs w:val="28"/>
          <w:rtl/>
        </w:rPr>
        <w:t xml:space="preserve">טאוב דניאל (2016), </w:t>
      </w:r>
      <w:r w:rsidRPr="00FA11B8">
        <w:rPr>
          <w:rFonts w:asciiTheme="majorBidi" w:hAnsiTheme="majorBidi" w:cs="David"/>
          <w:b/>
          <w:bCs/>
          <w:sz w:val="28"/>
          <w:szCs w:val="28"/>
          <w:rtl/>
        </w:rPr>
        <w:t>סגן היועץ המשפטי של משרד החוץ ולשעבר שגריר ישראל בבריטניה</w:t>
      </w:r>
      <w:r w:rsidRPr="00FA11B8">
        <w:rPr>
          <w:rFonts w:asciiTheme="majorBidi" w:hAnsiTheme="majorBidi" w:cs="David"/>
          <w:sz w:val="28"/>
          <w:szCs w:val="28"/>
          <w:rtl/>
        </w:rPr>
        <w:t>, פגישה מיום 25.01.16.</w:t>
      </w:r>
    </w:p>
    <w:p w:rsidR="009B636F" w:rsidRPr="00FA11B8" w:rsidRDefault="009B636F" w:rsidP="009B636F">
      <w:pPr>
        <w:spacing w:after="0" w:line="360" w:lineRule="auto"/>
        <w:jc w:val="both"/>
        <w:rPr>
          <w:rFonts w:asciiTheme="majorBidi" w:hAnsiTheme="majorBidi" w:cs="David"/>
          <w:sz w:val="28"/>
          <w:szCs w:val="28"/>
        </w:rPr>
      </w:pPr>
    </w:p>
    <w:p w:rsidR="009B636F" w:rsidRPr="00FA11B8" w:rsidRDefault="009B636F" w:rsidP="009B636F">
      <w:pPr>
        <w:spacing w:after="0" w:line="360" w:lineRule="auto"/>
        <w:jc w:val="both"/>
        <w:rPr>
          <w:rFonts w:asciiTheme="majorBidi" w:hAnsiTheme="majorBidi" w:cs="David"/>
          <w:sz w:val="28"/>
          <w:szCs w:val="28"/>
          <w:rtl/>
        </w:rPr>
      </w:pPr>
      <w:r w:rsidRPr="00FA11B8">
        <w:rPr>
          <w:rFonts w:asciiTheme="majorBidi" w:hAnsiTheme="majorBidi" w:cs="David"/>
          <w:sz w:val="28"/>
          <w:szCs w:val="28"/>
          <w:rtl/>
        </w:rPr>
        <w:t>כהן</w:t>
      </w:r>
      <w:r w:rsidR="00F85F80">
        <w:rPr>
          <w:rFonts w:asciiTheme="majorBidi" w:hAnsiTheme="majorBidi" w:cs="David" w:hint="cs"/>
          <w:sz w:val="28"/>
          <w:szCs w:val="28"/>
          <w:rtl/>
        </w:rPr>
        <w:t xml:space="preserve"> </w:t>
      </w:r>
      <w:r w:rsidRPr="00FA11B8">
        <w:rPr>
          <w:rFonts w:asciiTheme="majorBidi" w:hAnsiTheme="majorBidi" w:cs="David"/>
          <w:sz w:val="28"/>
          <w:szCs w:val="28"/>
          <w:rtl/>
        </w:rPr>
        <w:t xml:space="preserve">גלעד (2016), </w:t>
      </w:r>
      <w:r w:rsidRPr="00FA11B8">
        <w:rPr>
          <w:rFonts w:asciiTheme="majorBidi" w:hAnsiTheme="majorBidi" w:cs="David"/>
          <w:b/>
          <w:bCs/>
          <w:sz w:val="28"/>
          <w:szCs w:val="28"/>
          <w:rtl/>
        </w:rPr>
        <w:t>סמנכ"ל תיאום במשרד החוץ ולשעבר דיפלומט במשלחת ישראל לאו"ם בניו יורק</w:t>
      </w:r>
      <w:r w:rsidRPr="00FA11B8">
        <w:rPr>
          <w:rFonts w:asciiTheme="majorBidi" w:hAnsiTheme="majorBidi" w:cs="David"/>
          <w:sz w:val="28"/>
          <w:szCs w:val="28"/>
          <w:rtl/>
        </w:rPr>
        <w:t>, פגישה מיום 27.01.16.</w:t>
      </w:r>
    </w:p>
    <w:p w:rsidR="009B636F" w:rsidRPr="00FA11B8" w:rsidRDefault="009B636F" w:rsidP="009B636F">
      <w:pPr>
        <w:spacing w:after="0" w:line="360" w:lineRule="auto"/>
        <w:jc w:val="both"/>
        <w:rPr>
          <w:rFonts w:asciiTheme="majorBidi" w:hAnsiTheme="majorBidi" w:cs="David"/>
          <w:sz w:val="28"/>
          <w:szCs w:val="28"/>
          <w:rtl/>
        </w:rPr>
      </w:pPr>
    </w:p>
    <w:p w:rsidR="009B636F" w:rsidRPr="00FA11B8" w:rsidRDefault="009B636F" w:rsidP="009B636F">
      <w:pPr>
        <w:spacing w:after="0" w:line="360" w:lineRule="auto"/>
        <w:jc w:val="both"/>
        <w:rPr>
          <w:rFonts w:asciiTheme="majorBidi" w:hAnsiTheme="majorBidi" w:cs="David"/>
          <w:sz w:val="28"/>
          <w:szCs w:val="28"/>
        </w:rPr>
      </w:pPr>
      <w:r w:rsidRPr="00FA11B8">
        <w:rPr>
          <w:rFonts w:asciiTheme="majorBidi" w:hAnsiTheme="majorBidi" w:cs="David"/>
          <w:sz w:val="28"/>
          <w:szCs w:val="28"/>
          <w:rtl/>
        </w:rPr>
        <w:t xml:space="preserve">ליבמן לירון (2016), </w:t>
      </w:r>
      <w:r w:rsidRPr="00FA11B8">
        <w:rPr>
          <w:rFonts w:asciiTheme="majorBidi" w:hAnsiTheme="majorBidi" w:cs="David"/>
          <w:b/>
          <w:bCs/>
          <w:sz w:val="28"/>
          <w:szCs w:val="28"/>
          <w:rtl/>
        </w:rPr>
        <w:t>לשעבר התובע הצבאי הראשי וראש מחלקת הדין הבינלאומי בפרקליטות הצבאית</w:t>
      </w:r>
      <w:r w:rsidRPr="00FA11B8">
        <w:rPr>
          <w:rFonts w:asciiTheme="majorBidi" w:hAnsiTheme="majorBidi" w:cs="David"/>
          <w:sz w:val="28"/>
          <w:szCs w:val="28"/>
          <w:rtl/>
        </w:rPr>
        <w:t>, ראיון טלפוני מיום 14.03.16.</w:t>
      </w:r>
    </w:p>
    <w:p w:rsidR="009B636F" w:rsidRPr="00FA11B8" w:rsidRDefault="009B636F" w:rsidP="009B636F">
      <w:pPr>
        <w:spacing w:after="0" w:line="360" w:lineRule="auto"/>
        <w:jc w:val="both"/>
        <w:rPr>
          <w:rFonts w:asciiTheme="majorBidi" w:hAnsiTheme="majorBidi" w:cs="David"/>
          <w:sz w:val="28"/>
          <w:szCs w:val="28"/>
        </w:rPr>
      </w:pPr>
    </w:p>
    <w:p w:rsidR="009B636F" w:rsidRPr="00FA11B8" w:rsidRDefault="009B636F" w:rsidP="009B636F">
      <w:pPr>
        <w:spacing w:after="0" w:line="360" w:lineRule="auto"/>
        <w:jc w:val="both"/>
        <w:rPr>
          <w:rFonts w:asciiTheme="majorBidi" w:hAnsiTheme="majorBidi" w:cs="David"/>
          <w:sz w:val="28"/>
          <w:szCs w:val="28"/>
          <w:rtl/>
        </w:rPr>
      </w:pPr>
      <w:r w:rsidRPr="00FA11B8">
        <w:rPr>
          <w:rFonts w:asciiTheme="majorBidi" w:hAnsiTheme="majorBidi" w:cs="David"/>
          <w:sz w:val="28"/>
          <w:szCs w:val="28"/>
          <w:rtl/>
        </w:rPr>
        <w:t xml:space="preserve">לימון גיל (2016), </w:t>
      </w:r>
      <w:r w:rsidRPr="00FA11B8">
        <w:rPr>
          <w:rFonts w:asciiTheme="majorBidi" w:hAnsiTheme="majorBidi" w:cs="David"/>
          <w:b/>
          <w:bCs/>
          <w:sz w:val="28"/>
          <w:szCs w:val="28"/>
          <w:rtl/>
        </w:rPr>
        <w:t>עוזר ביועץ המשפטי לממשלה ולשעבר עוזר מזכיר הממשלה וראש מדור ביטחוני ומשפטי במחלקת הדין הבינלאומי בפרקליטות הצבאית</w:t>
      </w:r>
      <w:r w:rsidRPr="00FA11B8">
        <w:rPr>
          <w:rFonts w:asciiTheme="majorBidi" w:hAnsiTheme="majorBidi" w:cs="David"/>
          <w:sz w:val="28"/>
          <w:szCs w:val="28"/>
          <w:rtl/>
        </w:rPr>
        <w:t>, פגישה מיום 28.02.16.</w:t>
      </w:r>
    </w:p>
    <w:p w:rsidR="009B636F" w:rsidRPr="00FA11B8" w:rsidRDefault="009B636F" w:rsidP="009B636F">
      <w:pPr>
        <w:spacing w:after="0" w:line="360" w:lineRule="auto"/>
        <w:jc w:val="both"/>
        <w:rPr>
          <w:rFonts w:asciiTheme="majorBidi" w:hAnsiTheme="majorBidi" w:cs="David"/>
          <w:sz w:val="28"/>
          <w:szCs w:val="28"/>
          <w:rtl/>
        </w:rPr>
      </w:pPr>
    </w:p>
    <w:p w:rsidR="009B636F" w:rsidRPr="00FA11B8" w:rsidRDefault="009B636F" w:rsidP="009B636F">
      <w:pPr>
        <w:spacing w:after="0" w:line="360" w:lineRule="auto"/>
        <w:jc w:val="both"/>
        <w:rPr>
          <w:rFonts w:asciiTheme="majorBidi" w:hAnsiTheme="majorBidi" w:cs="David"/>
          <w:sz w:val="28"/>
          <w:szCs w:val="28"/>
          <w:rtl/>
        </w:rPr>
      </w:pPr>
      <w:r w:rsidRPr="00FA11B8">
        <w:rPr>
          <w:rFonts w:asciiTheme="majorBidi" w:hAnsiTheme="majorBidi" w:cs="David"/>
          <w:sz w:val="28"/>
          <w:szCs w:val="28"/>
          <w:rtl/>
        </w:rPr>
        <w:t xml:space="preserve">לרמן ערן (2016), </w:t>
      </w:r>
      <w:r w:rsidRPr="00FA11B8">
        <w:rPr>
          <w:rFonts w:asciiTheme="majorBidi" w:hAnsiTheme="majorBidi" w:cs="David"/>
          <w:b/>
          <w:bCs/>
          <w:sz w:val="28"/>
          <w:szCs w:val="28"/>
          <w:rtl/>
        </w:rPr>
        <w:t>סגן יו"ר למטה לביטחון לאומי בשנים 2009-2015</w:t>
      </w:r>
      <w:r w:rsidRPr="00FA11B8">
        <w:rPr>
          <w:rFonts w:asciiTheme="majorBidi" w:hAnsiTheme="majorBidi" w:cs="David"/>
          <w:sz w:val="28"/>
          <w:szCs w:val="28"/>
          <w:rtl/>
        </w:rPr>
        <w:t>, פגישה מיום 08.03.16.</w:t>
      </w:r>
    </w:p>
    <w:p w:rsidR="009B636F" w:rsidRPr="00FA11B8" w:rsidRDefault="009B636F" w:rsidP="009B636F">
      <w:pPr>
        <w:spacing w:after="0" w:line="360" w:lineRule="auto"/>
        <w:jc w:val="both"/>
        <w:rPr>
          <w:rFonts w:asciiTheme="majorBidi" w:hAnsiTheme="majorBidi" w:cs="David"/>
          <w:sz w:val="28"/>
          <w:szCs w:val="28"/>
        </w:rPr>
      </w:pPr>
    </w:p>
    <w:p w:rsidR="009B636F" w:rsidRPr="00FA11B8" w:rsidRDefault="009B636F" w:rsidP="009B636F">
      <w:pPr>
        <w:spacing w:after="0" w:line="360" w:lineRule="auto"/>
        <w:jc w:val="both"/>
        <w:rPr>
          <w:rFonts w:asciiTheme="majorBidi" w:hAnsiTheme="majorBidi" w:cs="David"/>
          <w:sz w:val="28"/>
          <w:szCs w:val="28"/>
          <w:rtl/>
        </w:rPr>
      </w:pPr>
      <w:r w:rsidRPr="00FA11B8">
        <w:rPr>
          <w:rFonts w:asciiTheme="majorBidi" w:hAnsiTheme="majorBidi" w:cs="David"/>
          <w:sz w:val="28"/>
          <w:szCs w:val="28"/>
          <w:rtl/>
        </w:rPr>
        <w:t xml:space="preserve">לשנו-יעררוני (2016), </w:t>
      </w:r>
      <w:r w:rsidRPr="00FA11B8">
        <w:rPr>
          <w:rFonts w:asciiTheme="majorBidi" w:hAnsiTheme="majorBidi" w:cs="David"/>
          <w:b/>
          <w:bCs/>
          <w:sz w:val="28"/>
          <w:szCs w:val="28"/>
          <w:rtl/>
        </w:rPr>
        <w:t>סמנכ"ל ארגונים בינלאומיים במשרד החוץ ולשעבר שגריר ישראל למוסדות האו"ם בג'נבה</w:t>
      </w:r>
      <w:r w:rsidRPr="00FA11B8">
        <w:rPr>
          <w:rFonts w:asciiTheme="majorBidi" w:hAnsiTheme="majorBidi" w:cs="David"/>
          <w:sz w:val="28"/>
          <w:szCs w:val="28"/>
          <w:rtl/>
        </w:rPr>
        <w:t>, פגישה מיום 25.01.16.</w:t>
      </w:r>
    </w:p>
    <w:p w:rsidR="009B636F" w:rsidRPr="00FA11B8" w:rsidRDefault="009B636F" w:rsidP="009B636F">
      <w:pPr>
        <w:spacing w:after="0" w:line="360" w:lineRule="auto"/>
        <w:jc w:val="both"/>
        <w:rPr>
          <w:rFonts w:asciiTheme="majorBidi" w:hAnsiTheme="majorBidi" w:cs="David"/>
          <w:sz w:val="28"/>
          <w:szCs w:val="28"/>
          <w:rtl/>
        </w:rPr>
      </w:pPr>
    </w:p>
    <w:p w:rsidR="009B636F" w:rsidRPr="00FA11B8" w:rsidRDefault="009B636F" w:rsidP="009B636F">
      <w:pPr>
        <w:spacing w:after="0" w:line="360" w:lineRule="auto"/>
        <w:jc w:val="both"/>
        <w:rPr>
          <w:rFonts w:asciiTheme="majorBidi" w:hAnsiTheme="majorBidi" w:cs="David"/>
          <w:sz w:val="28"/>
          <w:szCs w:val="28"/>
          <w:rtl/>
        </w:rPr>
      </w:pPr>
      <w:r w:rsidRPr="00FA11B8">
        <w:rPr>
          <w:rFonts w:asciiTheme="majorBidi" w:hAnsiTheme="majorBidi" w:cs="David"/>
          <w:sz w:val="28"/>
          <w:szCs w:val="28"/>
          <w:rtl/>
        </w:rPr>
        <w:t xml:space="preserve">מנור אביתר (2016), </w:t>
      </w:r>
      <w:r w:rsidRPr="00FA11B8">
        <w:rPr>
          <w:rFonts w:asciiTheme="majorBidi" w:hAnsiTheme="majorBidi" w:cs="David"/>
          <w:b/>
          <w:bCs/>
          <w:sz w:val="28"/>
          <w:szCs w:val="28"/>
          <w:rtl/>
        </w:rPr>
        <w:t>שגריר ישראל למוסדות האו"ם בג'נבה</w:t>
      </w:r>
      <w:r w:rsidRPr="00FA11B8">
        <w:rPr>
          <w:rFonts w:asciiTheme="majorBidi" w:hAnsiTheme="majorBidi" w:cs="David"/>
          <w:sz w:val="28"/>
          <w:szCs w:val="28"/>
          <w:rtl/>
        </w:rPr>
        <w:t>, ראיון טלפוני מיום 21.02.16.</w:t>
      </w:r>
    </w:p>
    <w:p w:rsidR="009B636F" w:rsidRPr="00FA11B8" w:rsidRDefault="009B636F" w:rsidP="009B636F">
      <w:pPr>
        <w:spacing w:after="0" w:line="360" w:lineRule="auto"/>
        <w:jc w:val="both"/>
        <w:rPr>
          <w:rFonts w:asciiTheme="majorBidi" w:hAnsiTheme="majorBidi" w:cs="David"/>
          <w:sz w:val="28"/>
          <w:szCs w:val="28"/>
        </w:rPr>
      </w:pPr>
    </w:p>
    <w:p w:rsidR="009B636F" w:rsidRPr="00FA11B8" w:rsidRDefault="009B636F" w:rsidP="009B636F">
      <w:pPr>
        <w:spacing w:after="0" w:line="360" w:lineRule="auto"/>
        <w:jc w:val="both"/>
        <w:rPr>
          <w:rFonts w:asciiTheme="majorBidi" w:hAnsiTheme="majorBidi" w:cs="David"/>
          <w:sz w:val="28"/>
          <w:szCs w:val="28"/>
          <w:rtl/>
        </w:rPr>
      </w:pPr>
      <w:r w:rsidRPr="00FA11B8">
        <w:rPr>
          <w:rFonts w:asciiTheme="majorBidi" w:hAnsiTheme="majorBidi" w:cs="David"/>
          <w:sz w:val="28"/>
          <w:szCs w:val="28"/>
          <w:rtl/>
        </w:rPr>
        <w:t xml:space="preserve">מתיאס שביט (2016), </w:t>
      </w:r>
      <w:r w:rsidRPr="00FA11B8">
        <w:rPr>
          <w:rFonts w:asciiTheme="majorBidi" w:hAnsiTheme="majorBidi" w:cs="David"/>
          <w:b/>
          <w:bCs/>
          <w:sz w:val="28"/>
          <w:szCs w:val="28"/>
          <w:rtl/>
        </w:rPr>
        <w:t>מרצה למשפט בינלאומי במרכז הבינתחומי ולשעבר המשנה ליועץ המשפטי לממשלה (בינלאומי)</w:t>
      </w:r>
      <w:r w:rsidRPr="00FA11B8">
        <w:rPr>
          <w:rFonts w:asciiTheme="majorBidi" w:hAnsiTheme="majorBidi" w:cs="David"/>
          <w:sz w:val="28"/>
          <w:szCs w:val="28"/>
          <w:rtl/>
        </w:rPr>
        <w:t>, פגישה מיום 9.2.16.</w:t>
      </w:r>
    </w:p>
    <w:p w:rsidR="009B636F" w:rsidRPr="00FA11B8" w:rsidRDefault="009B636F" w:rsidP="009B636F">
      <w:pPr>
        <w:spacing w:after="0" w:line="360" w:lineRule="auto"/>
        <w:jc w:val="both"/>
        <w:rPr>
          <w:rFonts w:asciiTheme="majorBidi" w:hAnsiTheme="majorBidi" w:cs="David"/>
          <w:sz w:val="28"/>
          <w:szCs w:val="28"/>
        </w:rPr>
      </w:pPr>
    </w:p>
    <w:p w:rsidR="009B636F" w:rsidRPr="00FA11B8" w:rsidRDefault="009B636F" w:rsidP="009B636F">
      <w:pPr>
        <w:spacing w:after="0" w:line="360" w:lineRule="auto"/>
        <w:jc w:val="both"/>
        <w:rPr>
          <w:rFonts w:asciiTheme="majorBidi" w:hAnsiTheme="majorBidi" w:cs="David"/>
          <w:sz w:val="28"/>
          <w:szCs w:val="28"/>
          <w:rtl/>
        </w:rPr>
      </w:pPr>
      <w:r w:rsidRPr="00FA11B8">
        <w:rPr>
          <w:rFonts w:asciiTheme="majorBidi" w:hAnsiTheme="majorBidi" w:cs="David"/>
          <w:sz w:val="28"/>
          <w:szCs w:val="28"/>
          <w:rtl/>
        </w:rPr>
        <w:t xml:space="preserve">נוייר הלל (2016), </w:t>
      </w:r>
      <w:r w:rsidRPr="00FA11B8">
        <w:rPr>
          <w:rFonts w:asciiTheme="majorBidi" w:hAnsiTheme="majorBidi" w:cs="David"/>
          <w:b/>
          <w:bCs/>
          <w:sz w:val="28"/>
          <w:szCs w:val="28"/>
          <w:rtl/>
        </w:rPr>
        <w:t xml:space="preserve">מנכ"ל ארגון </w:t>
      </w:r>
      <w:r w:rsidRPr="00FA11B8">
        <w:rPr>
          <w:rFonts w:asciiTheme="majorBidi" w:hAnsiTheme="majorBidi" w:cs="David"/>
          <w:b/>
          <w:bCs/>
          <w:sz w:val="28"/>
          <w:szCs w:val="28"/>
        </w:rPr>
        <w:t>UN Watch</w:t>
      </w:r>
      <w:r w:rsidRPr="00FA11B8">
        <w:rPr>
          <w:rFonts w:asciiTheme="majorBidi" w:hAnsiTheme="majorBidi" w:cs="David"/>
          <w:sz w:val="28"/>
          <w:szCs w:val="28"/>
          <w:rtl/>
        </w:rPr>
        <w:t>, פגישה מיום 02.03.16.</w:t>
      </w:r>
    </w:p>
    <w:p w:rsidR="009B636F" w:rsidRPr="00FA11B8" w:rsidRDefault="009B636F" w:rsidP="009B636F">
      <w:pPr>
        <w:spacing w:after="0" w:line="360" w:lineRule="auto"/>
        <w:jc w:val="both"/>
        <w:rPr>
          <w:rFonts w:asciiTheme="majorBidi" w:hAnsiTheme="majorBidi" w:cs="David"/>
          <w:sz w:val="28"/>
          <w:szCs w:val="28"/>
        </w:rPr>
      </w:pPr>
    </w:p>
    <w:p w:rsidR="009B636F" w:rsidRPr="00FA11B8" w:rsidRDefault="009B636F" w:rsidP="009B636F">
      <w:pPr>
        <w:spacing w:after="0" w:line="360" w:lineRule="auto"/>
        <w:jc w:val="both"/>
        <w:rPr>
          <w:rFonts w:asciiTheme="majorBidi" w:hAnsiTheme="majorBidi" w:cs="David"/>
          <w:sz w:val="28"/>
          <w:szCs w:val="28"/>
          <w:rtl/>
        </w:rPr>
      </w:pPr>
      <w:r w:rsidRPr="00FA11B8">
        <w:rPr>
          <w:rFonts w:asciiTheme="majorBidi" w:hAnsiTheme="majorBidi" w:cs="David"/>
          <w:sz w:val="28"/>
          <w:szCs w:val="28"/>
          <w:rtl/>
        </w:rPr>
        <w:t>עמיחי כהן (2016),</w:t>
      </w:r>
      <w:r w:rsidRPr="00FA11B8">
        <w:rPr>
          <w:rFonts w:asciiTheme="majorBidi" w:hAnsiTheme="majorBidi" w:cs="David"/>
          <w:b/>
          <w:bCs/>
          <w:sz w:val="28"/>
          <w:szCs w:val="28"/>
          <w:rtl/>
        </w:rPr>
        <w:t xml:space="preserve"> דיקן הפקולטה למשפטים בקריה האקדמית אונו</w:t>
      </w:r>
      <w:r w:rsidRPr="00FA11B8">
        <w:rPr>
          <w:rFonts w:asciiTheme="majorBidi" w:hAnsiTheme="majorBidi" w:cs="David"/>
          <w:sz w:val="28"/>
          <w:szCs w:val="28"/>
          <w:rtl/>
        </w:rPr>
        <w:t>, פגישה מיום 22.02.16.</w:t>
      </w:r>
    </w:p>
    <w:p w:rsidR="009B636F" w:rsidRPr="00FA11B8" w:rsidRDefault="009B636F" w:rsidP="009B636F">
      <w:pPr>
        <w:spacing w:after="0" w:line="360" w:lineRule="auto"/>
        <w:jc w:val="both"/>
        <w:rPr>
          <w:rFonts w:asciiTheme="majorBidi" w:hAnsiTheme="majorBidi" w:cs="David"/>
          <w:sz w:val="28"/>
          <w:szCs w:val="28"/>
          <w:rtl/>
        </w:rPr>
      </w:pPr>
    </w:p>
    <w:p w:rsidR="009B636F" w:rsidRPr="00FA11B8" w:rsidRDefault="009B636F" w:rsidP="009B636F">
      <w:pPr>
        <w:spacing w:after="0" w:line="360" w:lineRule="auto"/>
        <w:jc w:val="both"/>
        <w:rPr>
          <w:rFonts w:asciiTheme="majorBidi" w:hAnsiTheme="majorBidi" w:cs="David"/>
          <w:sz w:val="28"/>
          <w:szCs w:val="28"/>
          <w:rtl/>
        </w:rPr>
      </w:pPr>
      <w:r w:rsidRPr="00FA11B8">
        <w:rPr>
          <w:rFonts w:asciiTheme="majorBidi" w:hAnsiTheme="majorBidi" w:cs="David"/>
          <w:sz w:val="28"/>
          <w:szCs w:val="28"/>
          <w:rtl/>
        </w:rPr>
        <w:t xml:space="preserve">פרושאור רון (2016), </w:t>
      </w:r>
      <w:r w:rsidRPr="00FA11B8">
        <w:rPr>
          <w:rFonts w:asciiTheme="majorBidi" w:hAnsiTheme="majorBidi" w:cs="David"/>
          <w:b/>
          <w:bCs/>
          <w:sz w:val="28"/>
          <w:szCs w:val="28"/>
          <w:rtl/>
        </w:rPr>
        <w:t>ראש הקתדרה לדיפלומטיה בינלאומית ע"ש אבא אבן במרכז הבינתחומי ולשעבר מנכ"ל משרד החוץ ושגריר ישראל בבריטניה ובאו"ם בניו יורק</w:t>
      </w:r>
      <w:r w:rsidRPr="00FA11B8">
        <w:rPr>
          <w:rFonts w:asciiTheme="majorBidi" w:hAnsiTheme="majorBidi" w:cs="David"/>
          <w:sz w:val="28"/>
          <w:szCs w:val="28"/>
          <w:rtl/>
        </w:rPr>
        <w:t>, פגישה מיום 17.03.16.</w:t>
      </w:r>
    </w:p>
    <w:p w:rsidR="009B636F" w:rsidRPr="00FA11B8" w:rsidRDefault="009B636F" w:rsidP="009B636F">
      <w:pPr>
        <w:spacing w:after="0" w:line="360" w:lineRule="auto"/>
        <w:jc w:val="both"/>
        <w:rPr>
          <w:rFonts w:asciiTheme="majorBidi" w:hAnsiTheme="majorBidi" w:cs="David"/>
          <w:sz w:val="28"/>
          <w:szCs w:val="28"/>
          <w:rtl/>
        </w:rPr>
      </w:pPr>
    </w:p>
    <w:p w:rsidR="009B636F" w:rsidRPr="00FA11B8" w:rsidRDefault="009B636F" w:rsidP="009B636F">
      <w:pPr>
        <w:spacing w:after="0" w:line="360" w:lineRule="auto"/>
        <w:jc w:val="both"/>
        <w:rPr>
          <w:rFonts w:asciiTheme="majorBidi" w:hAnsiTheme="majorBidi" w:cs="David"/>
          <w:sz w:val="28"/>
          <w:szCs w:val="28"/>
          <w:rtl/>
        </w:rPr>
      </w:pPr>
      <w:r w:rsidRPr="00FA11B8">
        <w:rPr>
          <w:rFonts w:asciiTheme="majorBidi" w:hAnsiTheme="majorBidi" w:cs="David"/>
          <w:sz w:val="28"/>
          <w:szCs w:val="28"/>
          <w:rtl/>
        </w:rPr>
        <w:t xml:space="preserve">צ'חנובר יוסי (2016), </w:t>
      </w:r>
      <w:r w:rsidRPr="00FA11B8">
        <w:rPr>
          <w:rFonts w:asciiTheme="majorBidi" w:hAnsiTheme="majorBidi" w:cs="David"/>
          <w:b/>
          <w:bCs/>
          <w:sz w:val="28"/>
          <w:szCs w:val="28"/>
          <w:rtl/>
        </w:rPr>
        <w:t>לשעבר היועץ המשפטי למשרד הביטחון ומנכ"ל משרד החוץ</w:t>
      </w:r>
      <w:r w:rsidRPr="00FA11B8">
        <w:rPr>
          <w:rFonts w:asciiTheme="majorBidi" w:hAnsiTheme="majorBidi" w:cs="David"/>
          <w:sz w:val="28"/>
          <w:szCs w:val="28"/>
          <w:rtl/>
        </w:rPr>
        <w:t>, פגישה מיום 14.03.16.</w:t>
      </w:r>
    </w:p>
    <w:p w:rsidR="009B636F" w:rsidRPr="00FA11B8" w:rsidRDefault="009B636F" w:rsidP="009B636F">
      <w:pPr>
        <w:spacing w:after="0" w:line="360" w:lineRule="auto"/>
        <w:jc w:val="both"/>
        <w:rPr>
          <w:rFonts w:asciiTheme="majorBidi" w:hAnsiTheme="majorBidi" w:cs="David"/>
          <w:sz w:val="28"/>
          <w:szCs w:val="28"/>
        </w:rPr>
      </w:pPr>
    </w:p>
    <w:p w:rsidR="009B636F" w:rsidRPr="00FA11B8" w:rsidRDefault="009B636F" w:rsidP="009B636F">
      <w:pPr>
        <w:spacing w:after="0" w:line="360" w:lineRule="auto"/>
        <w:jc w:val="both"/>
        <w:rPr>
          <w:rFonts w:asciiTheme="majorBidi" w:hAnsiTheme="majorBidi" w:cs="David"/>
          <w:sz w:val="28"/>
          <w:szCs w:val="28"/>
          <w:rtl/>
        </w:rPr>
      </w:pPr>
      <w:r w:rsidRPr="00FA11B8">
        <w:rPr>
          <w:rFonts w:asciiTheme="majorBidi" w:hAnsiTheme="majorBidi" w:cs="David"/>
          <w:sz w:val="28"/>
          <w:szCs w:val="28"/>
          <w:rtl/>
        </w:rPr>
        <w:t xml:space="preserve">קאהן עירית (2016), </w:t>
      </w:r>
      <w:r w:rsidRPr="00FA11B8">
        <w:rPr>
          <w:rFonts w:asciiTheme="majorBidi" w:hAnsiTheme="majorBidi" w:cs="David"/>
          <w:b/>
          <w:bCs/>
          <w:sz w:val="28"/>
          <w:szCs w:val="28"/>
          <w:rtl/>
        </w:rPr>
        <w:t>נשיאת הארגון הבינלאומי של עורכי דין ומשפטנים יהודים ולשעבר מנהלת המחלקה הבינלאומית במשרד המשפטים</w:t>
      </w:r>
      <w:r w:rsidRPr="00FA11B8">
        <w:rPr>
          <w:rFonts w:asciiTheme="majorBidi" w:hAnsiTheme="majorBidi" w:cs="David"/>
          <w:sz w:val="28"/>
          <w:szCs w:val="28"/>
          <w:rtl/>
        </w:rPr>
        <w:t>, פגישה מיום 30.03.16.</w:t>
      </w:r>
    </w:p>
    <w:p w:rsidR="009B636F" w:rsidRPr="00FA11B8" w:rsidRDefault="009B636F" w:rsidP="009B636F">
      <w:pPr>
        <w:spacing w:after="0" w:line="360" w:lineRule="auto"/>
        <w:jc w:val="both"/>
        <w:rPr>
          <w:rFonts w:asciiTheme="majorBidi" w:hAnsiTheme="majorBidi" w:cs="David"/>
          <w:sz w:val="28"/>
          <w:szCs w:val="28"/>
        </w:rPr>
      </w:pPr>
    </w:p>
    <w:p w:rsidR="009B636F" w:rsidRPr="00FA11B8" w:rsidRDefault="009B636F" w:rsidP="009B636F">
      <w:pPr>
        <w:spacing w:after="0" w:line="360" w:lineRule="auto"/>
        <w:jc w:val="both"/>
        <w:rPr>
          <w:rFonts w:asciiTheme="majorBidi" w:hAnsiTheme="majorBidi" w:cs="David"/>
          <w:sz w:val="28"/>
          <w:szCs w:val="28"/>
        </w:rPr>
      </w:pPr>
      <w:r w:rsidRPr="00FA11B8">
        <w:rPr>
          <w:rFonts w:asciiTheme="majorBidi" w:hAnsiTheme="majorBidi" w:cs="David"/>
          <w:sz w:val="28"/>
          <w:szCs w:val="28"/>
          <w:rtl/>
        </w:rPr>
        <w:t xml:space="preserve">קארין נמרוד (2016), </w:t>
      </w:r>
      <w:r w:rsidRPr="00FA11B8">
        <w:rPr>
          <w:rFonts w:asciiTheme="majorBidi" w:hAnsiTheme="majorBidi" w:cs="David"/>
          <w:b/>
          <w:bCs/>
          <w:sz w:val="28"/>
          <w:szCs w:val="28"/>
          <w:rtl/>
        </w:rPr>
        <w:t>לשעבר יועץ משפטי במחלקת הדין הבינלאומי בפרקליטות הצבאית</w:t>
      </w:r>
      <w:r w:rsidRPr="00FA11B8">
        <w:rPr>
          <w:rFonts w:asciiTheme="majorBidi" w:hAnsiTheme="majorBidi" w:cs="David"/>
          <w:sz w:val="28"/>
          <w:szCs w:val="28"/>
          <w:rtl/>
        </w:rPr>
        <w:t>, ראיון בכתב מיום 21.03.16.</w:t>
      </w:r>
    </w:p>
    <w:p w:rsidR="009B636F" w:rsidRPr="00FA11B8" w:rsidRDefault="009B636F" w:rsidP="009B636F">
      <w:pPr>
        <w:spacing w:after="0" w:line="360" w:lineRule="auto"/>
        <w:jc w:val="both"/>
        <w:rPr>
          <w:rFonts w:asciiTheme="majorBidi" w:hAnsiTheme="majorBidi" w:cs="David"/>
          <w:sz w:val="28"/>
          <w:szCs w:val="28"/>
          <w:rtl/>
        </w:rPr>
      </w:pPr>
    </w:p>
    <w:p w:rsidR="009B636F" w:rsidRPr="00FA11B8" w:rsidRDefault="009B636F" w:rsidP="009B636F">
      <w:pPr>
        <w:spacing w:after="0" w:line="360" w:lineRule="auto"/>
        <w:jc w:val="both"/>
        <w:rPr>
          <w:rFonts w:asciiTheme="majorBidi" w:hAnsiTheme="majorBidi" w:cs="David"/>
          <w:sz w:val="28"/>
          <w:szCs w:val="28"/>
          <w:rtl/>
        </w:rPr>
      </w:pPr>
      <w:r w:rsidRPr="00FA11B8">
        <w:rPr>
          <w:rFonts w:asciiTheme="majorBidi" w:hAnsiTheme="majorBidi" w:cs="David"/>
          <w:sz w:val="28"/>
          <w:szCs w:val="28"/>
          <w:rtl/>
        </w:rPr>
        <w:t xml:space="preserve">קידר רואי (2016), </w:t>
      </w:r>
      <w:r w:rsidRPr="00FA11B8">
        <w:rPr>
          <w:rFonts w:asciiTheme="majorBidi" w:hAnsiTheme="majorBidi" w:cs="David"/>
          <w:b/>
          <w:bCs/>
          <w:sz w:val="28"/>
          <w:szCs w:val="28"/>
          <w:rtl/>
        </w:rPr>
        <w:t>היועץ המשפטי למטה לביטחון לאומי בשנים 2004-2010</w:t>
      </w:r>
      <w:r w:rsidRPr="00FA11B8">
        <w:rPr>
          <w:rFonts w:asciiTheme="majorBidi" w:hAnsiTheme="majorBidi" w:cs="David"/>
          <w:sz w:val="28"/>
          <w:szCs w:val="28"/>
          <w:rtl/>
        </w:rPr>
        <w:t>, פגישה מיום 8.3.16.</w:t>
      </w:r>
    </w:p>
    <w:p w:rsidR="009B636F" w:rsidRPr="00FA11B8" w:rsidRDefault="009B636F" w:rsidP="009B636F">
      <w:pPr>
        <w:spacing w:after="0" w:line="360" w:lineRule="auto"/>
        <w:jc w:val="both"/>
        <w:rPr>
          <w:rFonts w:asciiTheme="majorBidi" w:hAnsiTheme="majorBidi" w:cs="David"/>
          <w:sz w:val="28"/>
          <w:szCs w:val="28"/>
        </w:rPr>
      </w:pPr>
    </w:p>
    <w:p w:rsidR="009B636F" w:rsidRPr="00FA11B8" w:rsidRDefault="009B636F" w:rsidP="009B636F">
      <w:pPr>
        <w:spacing w:after="0" w:line="360" w:lineRule="auto"/>
        <w:jc w:val="both"/>
        <w:rPr>
          <w:rFonts w:asciiTheme="majorBidi" w:hAnsiTheme="majorBidi" w:cs="David"/>
          <w:sz w:val="28"/>
          <w:szCs w:val="28"/>
        </w:rPr>
      </w:pPr>
      <w:r w:rsidRPr="00FA11B8">
        <w:rPr>
          <w:rFonts w:asciiTheme="majorBidi" w:hAnsiTheme="majorBidi" w:cs="David"/>
          <w:sz w:val="28"/>
          <w:szCs w:val="28"/>
          <w:rtl/>
        </w:rPr>
        <w:t xml:space="preserve">קינן אהוד (2016), </w:t>
      </w:r>
      <w:r w:rsidRPr="00FA11B8">
        <w:rPr>
          <w:rFonts w:asciiTheme="majorBidi" w:hAnsiTheme="majorBidi" w:cs="David"/>
          <w:b/>
          <w:bCs/>
          <w:sz w:val="28"/>
          <w:szCs w:val="28"/>
          <w:rtl/>
        </w:rPr>
        <w:t>היועץ המשפטי של משרדהחוץ</w:t>
      </w:r>
      <w:r w:rsidRPr="00FA11B8">
        <w:rPr>
          <w:rFonts w:asciiTheme="majorBidi" w:hAnsiTheme="majorBidi" w:cs="David"/>
          <w:sz w:val="28"/>
          <w:szCs w:val="28"/>
          <w:rtl/>
        </w:rPr>
        <w:t>, פגישה מיום 25.01.16.</w:t>
      </w:r>
    </w:p>
    <w:p w:rsidR="009B636F" w:rsidRPr="00FA11B8" w:rsidRDefault="009B636F" w:rsidP="009B636F">
      <w:pPr>
        <w:spacing w:after="0" w:line="360" w:lineRule="auto"/>
        <w:jc w:val="both"/>
        <w:rPr>
          <w:rFonts w:asciiTheme="majorBidi" w:hAnsiTheme="majorBidi" w:cs="David"/>
          <w:sz w:val="28"/>
          <w:szCs w:val="28"/>
        </w:rPr>
      </w:pPr>
    </w:p>
    <w:p w:rsidR="009B636F" w:rsidRPr="00FA11B8" w:rsidRDefault="009B636F" w:rsidP="009B636F">
      <w:pPr>
        <w:spacing w:after="0" w:line="360" w:lineRule="auto"/>
        <w:jc w:val="both"/>
        <w:rPr>
          <w:rFonts w:asciiTheme="majorBidi" w:hAnsiTheme="majorBidi" w:cs="David"/>
          <w:sz w:val="28"/>
          <w:szCs w:val="28"/>
          <w:rtl/>
        </w:rPr>
      </w:pPr>
      <w:r w:rsidRPr="00FA11B8">
        <w:rPr>
          <w:rFonts w:asciiTheme="majorBidi" w:hAnsiTheme="majorBidi" w:cs="David"/>
          <w:sz w:val="28"/>
          <w:szCs w:val="28"/>
          <w:rtl/>
        </w:rPr>
        <w:t xml:space="preserve">שטיינברג ג'ראלד (2016), </w:t>
      </w:r>
      <w:r w:rsidRPr="00FA11B8">
        <w:rPr>
          <w:rFonts w:asciiTheme="majorBidi" w:hAnsiTheme="majorBidi" w:cs="David"/>
          <w:b/>
          <w:bCs/>
          <w:sz w:val="28"/>
          <w:szCs w:val="28"/>
          <w:rtl/>
        </w:rPr>
        <w:t xml:space="preserve">מרצה למדעי המדינה באוניברסיטת בר אילן ומנכ"ל ארגון </w:t>
      </w:r>
      <w:r w:rsidRPr="00FA11B8">
        <w:rPr>
          <w:rFonts w:asciiTheme="majorBidi" w:hAnsiTheme="majorBidi" w:cs="David"/>
          <w:b/>
          <w:bCs/>
          <w:sz w:val="28"/>
          <w:szCs w:val="28"/>
        </w:rPr>
        <w:t>NGO Monitor</w:t>
      </w:r>
      <w:r w:rsidRPr="00FA11B8">
        <w:rPr>
          <w:rFonts w:asciiTheme="majorBidi" w:hAnsiTheme="majorBidi" w:cs="David"/>
          <w:sz w:val="28"/>
          <w:szCs w:val="28"/>
          <w:rtl/>
        </w:rPr>
        <w:t>, פגישה מיום 6.3.16.</w:t>
      </w:r>
    </w:p>
    <w:p w:rsidR="009B636F" w:rsidRPr="00FA11B8" w:rsidRDefault="009B636F" w:rsidP="009B636F">
      <w:pPr>
        <w:spacing w:after="0" w:line="360" w:lineRule="auto"/>
        <w:jc w:val="both"/>
        <w:rPr>
          <w:rFonts w:asciiTheme="majorBidi" w:hAnsiTheme="majorBidi" w:cs="David"/>
          <w:sz w:val="28"/>
          <w:szCs w:val="28"/>
          <w:rtl/>
        </w:rPr>
      </w:pPr>
    </w:p>
    <w:p w:rsidR="009B636F" w:rsidRPr="00FA11B8" w:rsidRDefault="009B636F" w:rsidP="009B636F">
      <w:pPr>
        <w:spacing w:after="0" w:line="360" w:lineRule="auto"/>
        <w:jc w:val="both"/>
        <w:rPr>
          <w:rFonts w:asciiTheme="majorBidi" w:hAnsiTheme="majorBidi" w:cs="David"/>
          <w:sz w:val="28"/>
          <w:szCs w:val="28"/>
        </w:rPr>
      </w:pPr>
      <w:r w:rsidRPr="00FA11B8">
        <w:rPr>
          <w:rFonts w:asciiTheme="majorBidi" w:hAnsiTheme="majorBidi" w:cs="David"/>
          <w:sz w:val="28"/>
          <w:szCs w:val="28"/>
          <w:rtl/>
        </w:rPr>
        <w:t xml:space="preserve">שיינדורף רועי (2016), </w:t>
      </w:r>
      <w:r w:rsidRPr="00FA11B8">
        <w:rPr>
          <w:rFonts w:asciiTheme="majorBidi" w:hAnsiTheme="majorBidi" w:cs="David"/>
          <w:b/>
          <w:bCs/>
          <w:sz w:val="28"/>
          <w:szCs w:val="28"/>
          <w:rtl/>
        </w:rPr>
        <w:t>המשנה ליועץ המשפטי לממשלה (בינלאומי)</w:t>
      </w:r>
      <w:r w:rsidRPr="00FA11B8">
        <w:rPr>
          <w:rFonts w:asciiTheme="majorBidi" w:hAnsiTheme="majorBidi" w:cs="David"/>
          <w:sz w:val="28"/>
          <w:szCs w:val="28"/>
          <w:rtl/>
        </w:rPr>
        <w:t>, פגישה מיום 31.01.16.</w:t>
      </w:r>
    </w:p>
    <w:p w:rsidR="009B636F" w:rsidRPr="00FA11B8" w:rsidRDefault="009B636F" w:rsidP="009B636F">
      <w:pPr>
        <w:spacing w:after="0" w:line="360" w:lineRule="auto"/>
        <w:jc w:val="both"/>
        <w:rPr>
          <w:rFonts w:asciiTheme="majorBidi" w:hAnsiTheme="majorBidi" w:cs="David"/>
          <w:sz w:val="28"/>
          <w:szCs w:val="28"/>
          <w:rtl/>
        </w:rPr>
      </w:pPr>
    </w:p>
    <w:p w:rsidR="009B636F" w:rsidRPr="00FA11B8" w:rsidRDefault="009B636F" w:rsidP="009B636F">
      <w:pPr>
        <w:spacing w:after="0" w:line="360" w:lineRule="auto"/>
        <w:jc w:val="both"/>
        <w:rPr>
          <w:rFonts w:asciiTheme="majorBidi" w:hAnsiTheme="majorBidi" w:cs="David"/>
          <w:sz w:val="28"/>
          <w:szCs w:val="28"/>
          <w:rtl/>
        </w:rPr>
      </w:pPr>
      <w:r w:rsidRPr="00FA11B8">
        <w:rPr>
          <w:rFonts w:asciiTheme="majorBidi" w:hAnsiTheme="majorBidi" w:cs="David"/>
          <w:sz w:val="28"/>
          <w:szCs w:val="28"/>
          <w:rtl/>
        </w:rPr>
        <w:t xml:space="preserve">שמיר-בורר ערן (2016), </w:t>
      </w:r>
      <w:r w:rsidRPr="00FA11B8">
        <w:rPr>
          <w:rFonts w:asciiTheme="majorBidi" w:hAnsiTheme="majorBidi" w:cs="David"/>
          <w:b/>
          <w:bCs/>
          <w:sz w:val="28"/>
          <w:szCs w:val="28"/>
          <w:rtl/>
        </w:rPr>
        <w:t>ראש ענף דין בינלאומי במחלקת הדין הבינלאומי בפרקליטות הצבאית</w:t>
      </w:r>
      <w:r w:rsidRPr="00FA11B8">
        <w:rPr>
          <w:rFonts w:asciiTheme="majorBidi" w:hAnsiTheme="majorBidi" w:cs="David"/>
          <w:sz w:val="28"/>
          <w:szCs w:val="28"/>
          <w:rtl/>
        </w:rPr>
        <w:t>, ריאיון בכתב מיום 26.06.16.</w:t>
      </w:r>
    </w:p>
    <w:p w:rsidR="009B636F" w:rsidRPr="00FA11B8" w:rsidRDefault="009B636F" w:rsidP="009B636F">
      <w:pPr>
        <w:spacing w:after="0" w:line="360" w:lineRule="auto"/>
        <w:jc w:val="both"/>
        <w:rPr>
          <w:rFonts w:asciiTheme="majorBidi" w:hAnsiTheme="majorBidi" w:cs="David"/>
          <w:sz w:val="28"/>
          <w:szCs w:val="28"/>
          <w:rtl/>
        </w:rPr>
      </w:pPr>
    </w:p>
    <w:p w:rsidR="009B636F" w:rsidRPr="00FA11B8" w:rsidRDefault="009B636F" w:rsidP="009B636F">
      <w:pPr>
        <w:spacing w:after="0" w:line="360" w:lineRule="auto"/>
        <w:jc w:val="both"/>
        <w:rPr>
          <w:rFonts w:asciiTheme="majorBidi" w:hAnsiTheme="majorBidi" w:cs="David"/>
          <w:sz w:val="28"/>
          <w:szCs w:val="28"/>
        </w:rPr>
      </w:pPr>
      <w:r w:rsidRPr="00FA11B8">
        <w:rPr>
          <w:rFonts w:asciiTheme="majorBidi" w:hAnsiTheme="majorBidi" w:cs="David"/>
          <w:sz w:val="28"/>
          <w:szCs w:val="28"/>
          <w:rtl/>
        </w:rPr>
        <w:t xml:space="preserve">שני יובל (2016), </w:t>
      </w:r>
      <w:r w:rsidRPr="00FA11B8">
        <w:rPr>
          <w:rFonts w:asciiTheme="majorBidi" w:hAnsiTheme="majorBidi" w:cs="David"/>
          <w:b/>
          <w:bCs/>
          <w:sz w:val="28"/>
          <w:szCs w:val="28"/>
          <w:rtl/>
        </w:rPr>
        <w:t>דיקן הפקולטה למשפטים באוניברסיטה העברית וחבר בוועדת זכויות האדם של האו"ם</w:t>
      </w:r>
      <w:r w:rsidRPr="00FA11B8">
        <w:rPr>
          <w:rFonts w:asciiTheme="majorBidi" w:hAnsiTheme="majorBidi" w:cs="David"/>
          <w:sz w:val="28"/>
          <w:szCs w:val="28"/>
          <w:rtl/>
        </w:rPr>
        <w:t>, ריאיון בכתב מיום 15.03.16.</w:t>
      </w:r>
    </w:p>
    <w:p w:rsidR="009B636F" w:rsidRPr="00FA11B8" w:rsidRDefault="009B636F" w:rsidP="009B636F">
      <w:pPr>
        <w:spacing w:after="0" w:line="360" w:lineRule="auto"/>
        <w:jc w:val="both"/>
        <w:rPr>
          <w:rFonts w:asciiTheme="majorBidi" w:hAnsiTheme="majorBidi" w:cs="David"/>
          <w:sz w:val="28"/>
          <w:szCs w:val="28"/>
          <w:rtl/>
        </w:rPr>
      </w:pPr>
    </w:p>
    <w:p w:rsidR="009B636F" w:rsidRPr="00FA11B8" w:rsidRDefault="009B636F" w:rsidP="009B636F">
      <w:pPr>
        <w:spacing w:after="0" w:line="360" w:lineRule="auto"/>
        <w:jc w:val="both"/>
        <w:rPr>
          <w:rFonts w:asciiTheme="majorBidi" w:hAnsiTheme="majorBidi" w:cs="David"/>
          <w:sz w:val="28"/>
          <w:szCs w:val="28"/>
        </w:rPr>
      </w:pPr>
      <w:r w:rsidRPr="00FA11B8">
        <w:rPr>
          <w:rFonts w:asciiTheme="majorBidi" w:hAnsiTheme="majorBidi" w:cs="David"/>
          <w:sz w:val="28"/>
          <w:szCs w:val="28"/>
          <w:rtl/>
        </w:rPr>
        <w:t xml:space="preserve">שרביט-ברוך פנינה (2016), </w:t>
      </w:r>
      <w:r w:rsidRPr="00FA11B8">
        <w:rPr>
          <w:rFonts w:asciiTheme="majorBidi" w:hAnsiTheme="majorBidi" w:cs="David"/>
          <w:b/>
          <w:bCs/>
          <w:sz w:val="28"/>
          <w:szCs w:val="28"/>
          <w:rtl/>
        </w:rPr>
        <w:t>חוקרת במכון למחקרי ביטחון לאומי ולשעבר ראש מחלקת הדין הבינלאומי בפרקליטות הצבאית</w:t>
      </w:r>
      <w:r w:rsidRPr="00FA11B8">
        <w:rPr>
          <w:rFonts w:asciiTheme="majorBidi" w:hAnsiTheme="majorBidi" w:cs="David"/>
          <w:sz w:val="28"/>
          <w:szCs w:val="28"/>
          <w:rtl/>
        </w:rPr>
        <w:t>, פגישה מיום 27.01.16.</w:t>
      </w:r>
    </w:p>
    <w:p w:rsidR="009B636F" w:rsidRPr="00FA11B8" w:rsidRDefault="009B636F" w:rsidP="009B636F">
      <w:pPr>
        <w:spacing w:after="0" w:line="360" w:lineRule="auto"/>
        <w:jc w:val="both"/>
        <w:rPr>
          <w:rFonts w:asciiTheme="majorBidi" w:hAnsiTheme="majorBidi" w:cs="David"/>
          <w:sz w:val="28"/>
          <w:szCs w:val="28"/>
        </w:rPr>
      </w:pPr>
    </w:p>
    <w:p w:rsidR="009B636F" w:rsidRPr="00FA11B8" w:rsidRDefault="009B636F" w:rsidP="009B636F">
      <w:pPr>
        <w:spacing w:after="0" w:line="360" w:lineRule="auto"/>
        <w:jc w:val="both"/>
        <w:rPr>
          <w:rFonts w:asciiTheme="majorBidi" w:hAnsiTheme="majorBidi" w:cs="David"/>
          <w:sz w:val="28"/>
          <w:szCs w:val="28"/>
        </w:rPr>
      </w:pPr>
      <w:r w:rsidRPr="00FA11B8">
        <w:rPr>
          <w:rFonts w:asciiTheme="majorBidi" w:hAnsiTheme="majorBidi" w:cs="David"/>
          <w:sz w:val="28"/>
          <w:szCs w:val="28"/>
          <w:rtl/>
        </w:rPr>
        <w:t xml:space="preserve">שרגא דפנה (2016), </w:t>
      </w:r>
      <w:r w:rsidRPr="00FA11B8">
        <w:rPr>
          <w:rFonts w:asciiTheme="majorBidi" w:hAnsiTheme="majorBidi" w:cs="David"/>
          <w:b/>
          <w:bCs/>
          <w:sz w:val="28"/>
          <w:szCs w:val="28"/>
          <w:rtl/>
        </w:rPr>
        <w:t>יועצת במחלקה המשפטית באו"ם בשנים 1989-2012</w:t>
      </w:r>
      <w:r w:rsidRPr="00FA11B8">
        <w:rPr>
          <w:rFonts w:asciiTheme="majorBidi" w:hAnsiTheme="majorBidi" w:cs="David"/>
          <w:sz w:val="28"/>
          <w:szCs w:val="28"/>
          <w:rtl/>
        </w:rPr>
        <w:t>, פגישה מיום 7.3.16.</w:t>
      </w:r>
    </w:p>
    <w:p w:rsidR="009B636F" w:rsidRPr="00FA11B8" w:rsidRDefault="009B636F" w:rsidP="009B636F">
      <w:pPr>
        <w:spacing w:after="0" w:line="360" w:lineRule="auto"/>
        <w:jc w:val="both"/>
        <w:rPr>
          <w:rFonts w:asciiTheme="majorBidi" w:hAnsiTheme="majorBidi" w:cs="David"/>
          <w:sz w:val="28"/>
          <w:szCs w:val="28"/>
        </w:rPr>
      </w:pPr>
    </w:p>
    <w:p w:rsidR="009B636F" w:rsidRPr="00FA11B8" w:rsidRDefault="009B636F" w:rsidP="009B636F">
      <w:pPr>
        <w:spacing w:after="0" w:line="360" w:lineRule="auto"/>
        <w:jc w:val="both"/>
        <w:rPr>
          <w:rFonts w:asciiTheme="majorBidi" w:hAnsiTheme="majorBidi" w:cs="David"/>
          <w:sz w:val="28"/>
          <w:szCs w:val="28"/>
          <w:rtl/>
        </w:rPr>
      </w:pPr>
      <w:r w:rsidRPr="00FA11B8">
        <w:rPr>
          <w:rFonts w:asciiTheme="majorBidi" w:hAnsiTheme="majorBidi" w:cs="David"/>
          <w:sz w:val="28"/>
          <w:szCs w:val="28"/>
          <w:rtl/>
        </w:rPr>
        <w:t xml:space="preserve">השופטת </w:t>
      </w:r>
      <w:r w:rsidRPr="00FA11B8">
        <w:rPr>
          <w:rFonts w:asciiTheme="majorBidi" w:hAnsiTheme="majorBidi" w:cs="David"/>
          <w:sz w:val="28"/>
          <w:szCs w:val="28"/>
        </w:rPr>
        <w:t>Mary McGowan Davis</w:t>
      </w:r>
      <w:r w:rsidRPr="00FA11B8">
        <w:rPr>
          <w:rFonts w:asciiTheme="majorBidi" w:hAnsiTheme="majorBidi" w:cs="David"/>
          <w:sz w:val="28"/>
          <w:szCs w:val="28"/>
          <w:rtl/>
        </w:rPr>
        <w:t xml:space="preserve">, </w:t>
      </w:r>
      <w:r w:rsidRPr="00FA11B8">
        <w:rPr>
          <w:rFonts w:asciiTheme="majorBidi" w:hAnsiTheme="majorBidi" w:cs="David"/>
          <w:b/>
          <w:bCs/>
          <w:sz w:val="28"/>
          <w:szCs w:val="28"/>
          <w:rtl/>
        </w:rPr>
        <w:t>חברת ועדת המומחים העצמאיים הראשונה לבחינת ההליכים המשפטיים שננקטו בעקבות ועדת גולדסטון בראשות פרופסור כריסטיאן טומושאט, יו"ר וועדת המומחים העצמאיים השנייה לבחינת ההליכים המשפטיים שננקטו בעקבות ועדת גולדסטון ויו"ר הוועדה לחקירת העימות בעזה משנת 2014 (מבצע "צוק איתן")</w:t>
      </w:r>
      <w:r w:rsidRPr="00FA11B8">
        <w:rPr>
          <w:rFonts w:asciiTheme="majorBidi" w:hAnsiTheme="majorBidi" w:cs="David"/>
          <w:sz w:val="28"/>
          <w:szCs w:val="28"/>
          <w:rtl/>
        </w:rPr>
        <w:t>, ריאיון בכתב מיום 30.04.16.</w:t>
      </w:r>
    </w:p>
    <w:p w:rsidR="009B636F" w:rsidRPr="00FA11B8" w:rsidRDefault="009B636F" w:rsidP="009B636F">
      <w:pPr>
        <w:spacing w:after="0" w:line="360" w:lineRule="auto"/>
        <w:jc w:val="both"/>
        <w:rPr>
          <w:rFonts w:asciiTheme="majorBidi" w:hAnsiTheme="majorBidi" w:cs="David"/>
          <w:sz w:val="28"/>
          <w:szCs w:val="28"/>
          <w:rtl/>
        </w:rPr>
      </w:pPr>
    </w:p>
    <w:p w:rsidR="009B636F" w:rsidRPr="00FA11B8" w:rsidRDefault="009B636F" w:rsidP="009B636F">
      <w:pPr>
        <w:spacing w:after="0" w:line="360" w:lineRule="auto"/>
        <w:jc w:val="both"/>
        <w:rPr>
          <w:rFonts w:asciiTheme="majorBidi" w:hAnsiTheme="majorBidi" w:cs="David"/>
          <w:sz w:val="28"/>
          <w:szCs w:val="28"/>
        </w:rPr>
      </w:pPr>
      <w:r w:rsidRPr="00FA11B8">
        <w:rPr>
          <w:rFonts w:asciiTheme="majorBidi" w:hAnsiTheme="majorBidi" w:cs="David"/>
          <w:sz w:val="28"/>
          <w:szCs w:val="28"/>
        </w:rPr>
        <w:t>Trevor S. Norwitz</w:t>
      </w:r>
      <w:r w:rsidRPr="00FA11B8">
        <w:rPr>
          <w:rFonts w:asciiTheme="majorBidi" w:hAnsiTheme="majorBidi" w:cs="David"/>
          <w:sz w:val="28"/>
          <w:szCs w:val="28"/>
          <w:rtl/>
        </w:rPr>
        <w:t xml:space="preserve">, </w:t>
      </w:r>
      <w:r w:rsidRPr="00FA11B8">
        <w:rPr>
          <w:rFonts w:asciiTheme="majorBidi" w:hAnsiTheme="majorBidi" w:cs="David"/>
          <w:b/>
          <w:bCs/>
          <w:sz w:val="28"/>
          <w:szCs w:val="28"/>
          <w:rtl/>
        </w:rPr>
        <w:t xml:space="preserve">עורך דין במשרד עורכי הדין </w:t>
      </w:r>
      <w:hyperlink r:id="rId266" w:tgtFrame="_blank" w:history="1">
        <w:r w:rsidRPr="00FA11B8">
          <w:rPr>
            <w:rFonts w:asciiTheme="majorBidi" w:hAnsiTheme="majorBidi" w:cs="David"/>
            <w:b/>
            <w:bCs/>
            <w:sz w:val="28"/>
            <w:szCs w:val="28"/>
          </w:rPr>
          <w:t>Wachtell, Lipton, Rosen &amp; Katz</w:t>
        </w:r>
      </w:hyperlink>
      <w:r w:rsidRPr="00FA11B8">
        <w:rPr>
          <w:rFonts w:asciiTheme="majorBidi" w:hAnsiTheme="majorBidi" w:cs="David"/>
          <w:sz w:val="28"/>
          <w:szCs w:val="28"/>
          <w:rtl/>
        </w:rPr>
        <w:t xml:space="preserve">, </w:t>
      </w:r>
      <w:r w:rsidRPr="00FA11B8">
        <w:rPr>
          <w:rFonts w:asciiTheme="majorBidi" w:hAnsiTheme="majorBidi" w:cs="David"/>
          <w:b/>
          <w:bCs/>
          <w:sz w:val="28"/>
          <w:szCs w:val="28"/>
          <w:rtl/>
        </w:rPr>
        <w:t>מנהטן, ניו יורק, עסק בנושאי ועדות החקירה הבינלאומיות כנגד ישראל</w:t>
      </w:r>
      <w:r w:rsidRPr="00FA11B8">
        <w:rPr>
          <w:rFonts w:asciiTheme="majorBidi" w:hAnsiTheme="majorBidi" w:cs="David"/>
          <w:sz w:val="28"/>
          <w:szCs w:val="28"/>
          <w:rtl/>
        </w:rPr>
        <w:t>, ריאיון בכתב מיום 15.03.16.</w:t>
      </w:r>
    </w:p>
    <w:p w:rsidR="00513DBA" w:rsidRPr="00FA11B8" w:rsidRDefault="00513DBA" w:rsidP="009B636F">
      <w:pPr>
        <w:jc w:val="both"/>
        <w:rPr>
          <w:rFonts w:asciiTheme="majorBidi" w:hAnsiTheme="majorBidi" w:cs="David" w:hint="cs"/>
          <w:sz w:val="28"/>
          <w:szCs w:val="28"/>
          <w:rtl/>
        </w:rPr>
      </w:pPr>
    </w:p>
    <w:sectPr w:rsidR="00513DBA" w:rsidRPr="00FA11B8" w:rsidSect="00E7087A">
      <w:headerReference w:type="even" r:id="rId267"/>
      <w:headerReference w:type="default" r:id="rId268"/>
      <w:footerReference w:type="even" r:id="rId269"/>
      <w:footerReference w:type="default" r:id="rId270"/>
      <w:headerReference w:type="first" r:id="rId271"/>
      <w:footerReference w:type="first" r:id="rId272"/>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07AC" w:rsidRDefault="001207AC" w:rsidP="00672D74">
      <w:pPr>
        <w:spacing w:after="0" w:line="240" w:lineRule="auto"/>
      </w:pPr>
      <w:r>
        <w:separator/>
      </w:r>
    </w:p>
  </w:endnote>
  <w:endnote w:type="continuationSeparator" w:id="1">
    <w:p w:rsidR="001207AC" w:rsidRDefault="001207AC" w:rsidP="00672D7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David">
    <w:panose1 w:val="020E0502060401010101"/>
    <w:charset w:val="B1"/>
    <w:family w:val="swiss"/>
    <w:pitch w:val="variable"/>
    <w:sig w:usb0="00000801" w:usb1="00000000" w:usb2="00000000" w:usb3="00000000" w:csb0="0000002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
    <w:altName w:val="Arial Unicode MS"/>
    <w:panose1 w:val="00000000000000000000"/>
    <w:charset w:val="80"/>
    <w:family w:val="auto"/>
    <w:notTrueType/>
    <w:pitch w:val="variable"/>
    <w:sig w:usb0="00000001" w:usb1="08070000" w:usb2="00000010" w:usb3="00000000" w:csb0="00020000" w:csb1="00000000"/>
  </w:font>
  <w:font w:name="Palatino Linotype">
    <w:panose1 w:val="02040502050505030304"/>
    <w:charset w:val="00"/>
    <w:family w:val="roman"/>
    <w:pitch w:val="variable"/>
    <w:sig w:usb0="E0000287" w:usb1="40000013" w:usb2="00000000" w:usb3="00000000" w:csb0="0000019F" w:csb1="00000000"/>
  </w:font>
  <w:font w:name="Georgia">
    <w:panose1 w:val="02040502050405020303"/>
    <w:charset w:val="00"/>
    <w:family w:val="roman"/>
    <w:pitch w:val="variable"/>
    <w:sig w:usb0="00000287" w:usb1="00000000" w:usb2="00000000" w:usb3="00000000" w:csb0="0000009F" w:csb1="00000000"/>
  </w:font>
  <w:font w:name="ת עצמ">
    <w:panose1 w:val="00000000000000000000"/>
    <w:charset w:val="00"/>
    <w:family w:val="roman"/>
    <w:notTrueType/>
    <w:pitch w:val="default"/>
    <w:sig w:usb0="00000000" w:usb1="00000000" w:usb2="00000000" w:usb3="00000000" w:csb0="00000000" w:csb1="00000000"/>
  </w:font>
  <w:font w:name="Lucida Grande">
    <w:altName w:val="Arial"/>
    <w:charset w:val="00"/>
    <w:family w:val="auto"/>
    <w:pitch w:val="variable"/>
    <w:sig w:usb0="00000000" w:usb1="5000A1FF" w:usb2="00000000" w:usb3="00000000" w:csb0="000001BF" w:csb1="00000000"/>
  </w:font>
  <w:font w:name="Helvetica">
    <w:panose1 w:val="020B0604020202020204"/>
    <w:charset w:val="00"/>
    <w:family w:val="swiss"/>
    <w:notTrueType/>
    <w:pitch w:val="variable"/>
    <w:sig w:usb0="00000003" w:usb1="00000000" w:usb2="00000000" w:usb3="00000000" w:csb0="00000001" w:csb1="00000000"/>
  </w:font>
  <w:font w:name="almoni-dl">
    <w:altName w:val="Times New Roman"/>
    <w:panose1 w:val="00000000000000000000"/>
    <w:charset w:val="00"/>
    <w:family w:val="roman"/>
    <w:notTrueType/>
    <w:pitch w:val="default"/>
    <w:sig w:usb0="00000000" w:usb1="00000000" w:usb2="00000000" w:usb3="00000000" w:csb0="00000000" w:csb1="00000000"/>
  </w:font>
  <w:font w:name="fbspoilerenbold">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David,">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636F" w:rsidRDefault="009B636F">
    <w:pPr>
      <w:pStyle w:val="af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611715723"/>
      <w:docPartObj>
        <w:docPartGallery w:val="Page Numbers (Bottom of Page)"/>
        <w:docPartUnique/>
      </w:docPartObj>
    </w:sdtPr>
    <w:sdtContent>
      <w:p w:rsidR="009B636F" w:rsidRDefault="009B636F">
        <w:pPr>
          <w:pStyle w:val="af0"/>
          <w:jc w:val="center"/>
        </w:pPr>
        <w:fldSimple w:instr=" PAGE   \* MERGEFORMAT ">
          <w:r w:rsidR="00F85F80" w:rsidRPr="00F85F80">
            <w:rPr>
              <w:rFonts w:cs="Calibri"/>
              <w:noProof/>
              <w:rtl/>
              <w:lang w:val="he-IL"/>
            </w:rPr>
            <w:t>190</w:t>
          </w:r>
        </w:fldSimple>
      </w:p>
    </w:sdtContent>
  </w:sdt>
  <w:p w:rsidR="009B636F" w:rsidRDefault="009B636F">
    <w:pPr>
      <w:pStyle w:val="af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636F" w:rsidRDefault="009B636F">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07AC" w:rsidRDefault="001207AC" w:rsidP="00672D74">
      <w:pPr>
        <w:spacing w:after="0" w:line="240" w:lineRule="auto"/>
      </w:pPr>
      <w:r>
        <w:separator/>
      </w:r>
    </w:p>
  </w:footnote>
  <w:footnote w:type="continuationSeparator" w:id="1">
    <w:p w:rsidR="001207AC" w:rsidRDefault="001207AC" w:rsidP="00672D74">
      <w:pPr>
        <w:spacing w:after="0" w:line="240" w:lineRule="auto"/>
      </w:pPr>
      <w:r>
        <w:continuationSeparator/>
      </w:r>
    </w:p>
  </w:footnote>
  <w:footnote w:id="2">
    <w:p w:rsidR="009B636F" w:rsidRPr="002A6558" w:rsidRDefault="009B636F" w:rsidP="00397737">
      <w:pPr>
        <w:pStyle w:val="a5"/>
        <w:jc w:val="both"/>
        <w:rPr>
          <w:rtl/>
        </w:rPr>
      </w:pPr>
      <w:r w:rsidRPr="002A6558">
        <w:rPr>
          <w:rStyle w:val="a7"/>
        </w:rPr>
        <w:footnoteRef/>
      </w:r>
      <w:r w:rsidRPr="002A6558">
        <w:rPr>
          <w:rtl/>
        </w:rPr>
        <w:t xml:space="preserve"> </w:t>
      </w:r>
      <w:r w:rsidRPr="002A6558">
        <w:t>Follow-up to the report of the United Nations Fact-Findin</w:t>
      </w:r>
      <w:r>
        <w:t xml:space="preserve">g Mission on the Gaza Conflict, </w:t>
      </w:r>
      <w:r w:rsidRPr="002A6558">
        <w:rPr>
          <w:rFonts w:cs="David"/>
        </w:rPr>
        <w:t>A/RES/</w:t>
      </w:r>
      <w:r w:rsidRPr="002A6558">
        <w:t>64/10</w:t>
      </w:r>
      <w:r>
        <w:t>,</w:t>
      </w:r>
      <w:r w:rsidRPr="002A6558">
        <w:rPr>
          <w:rFonts w:cs="Arial"/>
        </w:rPr>
        <w:t xml:space="preserve"> </w:t>
      </w:r>
      <w:r>
        <w:rPr>
          <w:rFonts w:cs="Arial"/>
        </w:rPr>
        <w:t>available at</w:t>
      </w:r>
      <w:r w:rsidRPr="002A6558">
        <w:t xml:space="preserve"> http://www.un.org/en/ga/search/view_doc.asp?symbol=A/RES/64/10</w:t>
      </w:r>
    </w:p>
  </w:footnote>
  <w:footnote w:id="3">
    <w:p w:rsidR="009B636F" w:rsidRPr="002A6558" w:rsidRDefault="009B636F" w:rsidP="00397737">
      <w:pPr>
        <w:pStyle w:val="a5"/>
        <w:jc w:val="both"/>
        <w:rPr>
          <w:rFonts w:cs="David"/>
          <w:rtl/>
        </w:rPr>
      </w:pPr>
      <w:r w:rsidRPr="002A6558">
        <w:rPr>
          <w:rStyle w:val="a7"/>
          <w:rFonts w:cs="David"/>
        </w:rPr>
        <w:footnoteRef/>
      </w:r>
      <w:r w:rsidRPr="002A6558">
        <w:rPr>
          <w:rFonts w:cs="David"/>
          <w:rtl/>
        </w:rPr>
        <w:t xml:space="preserve"> </w:t>
      </w:r>
      <w:r w:rsidRPr="002A6558">
        <w:rPr>
          <w:rFonts w:cs="David" w:hint="cs"/>
          <w:rtl/>
        </w:rPr>
        <w:t xml:space="preserve">סופר רוני וגליקמן אביעד (2009), </w:t>
      </w:r>
      <w:r w:rsidRPr="002A6558">
        <w:rPr>
          <w:rFonts w:ascii="Arial" w:hAnsi="Arial" w:cs="David"/>
          <w:rtl/>
        </w:rPr>
        <w:t xml:space="preserve">פרס על </w:t>
      </w:r>
      <w:r>
        <w:rPr>
          <w:rFonts w:ascii="Arial" w:hAnsi="Arial" w:cs="David"/>
          <w:rtl/>
        </w:rPr>
        <w:t>דוח</w:t>
      </w:r>
      <w:r w:rsidRPr="002A6558">
        <w:rPr>
          <w:rFonts w:ascii="Arial" w:hAnsi="Arial" w:cs="David"/>
          <w:rtl/>
        </w:rPr>
        <w:t xml:space="preserve"> גולדסטון: עושה צחוק מההיסטוריה</w:t>
      </w:r>
      <w:r w:rsidRPr="002A6558">
        <w:rPr>
          <w:rFonts w:ascii="Arial" w:hAnsi="Arial" w:cs="David" w:hint="cs"/>
          <w:rtl/>
        </w:rPr>
        <w:t xml:space="preserve">, </w:t>
      </w:r>
      <w:r w:rsidRPr="002A6558">
        <w:rPr>
          <w:rFonts w:ascii="Arial" w:hAnsi="Arial" w:cs="David"/>
        </w:rPr>
        <w:t>Ynet</w:t>
      </w:r>
      <w:r w:rsidRPr="002A6558">
        <w:rPr>
          <w:rFonts w:ascii="Arial" w:hAnsi="Arial" w:cs="David" w:hint="cs"/>
          <w:rtl/>
        </w:rPr>
        <w:t xml:space="preserve">, </w:t>
      </w:r>
      <w:r w:rsidRPr="002A6558">
        <w:rPr>
          <w:rFonts w:ascii="Arial" w:hAnsi="Arial" w:cs="David"/>
        </w:rPr>
        <w:t>http://www.ynet.co.il/articles/0,7340,L-3777769,00.html</w:t>
      </w:r>
    </w:p>
  </w:footnote>
  <w:footnote w:id="4">
    <w:p w:rsidR="009B636F" w:rsidRPr="002A6558" w:rsidRDefault="009B636F" w:rsidP="00397737">
      <w:pPr>
        <w:pStyle w:val="a5"/>
        <w:jc w:val="both"/>
        <w:rPr>
          <w:rFonts w:cs="David"/>
          <w:rtl/>
        </w:rPr>
      </w:pPr>
      <w:r w:rsidRPr="002A6558">
        <w:rPr>
          <w:rStyle w:val="a7"/>
          <w:rFonts w:cs="David"/>
        </w:rPr>
        <w:footnoteRef/>
      </w:r>
      <w:r w:rsidRPr="002A6558">
        <w:rPr>
          <w:rFonts w:cs="David"/>
          <w:rtl/>
        </w:rPr>
        <w:t xml:space="preserve"> </w:t>
      </w:r>
      <w:r w:rsidRPr="002A6558">
        <w:rPr>
          <w:rFonts w:cs="David" w:hint="cs"/>
          <w:rtl/>
        </w:rPr>
        <w:t xml:space="preserve">סופר רוני (2009), </w:t>
      </w:r>
      <w:r w:rsidRPr="002A6558">
        <w:rPr>
          <w:rFonts w:ascii="Arial" w:hAnsi="Arial" w:cs="David"/>
          <w:rtl/>
        </w:rPr>
        <w:t xml:space="preserve">נתניהו: </w:t>
      </w:r>
      <w:r>
        <w:rPr>
          <w:rFonts w:ascii="Arial" w:hAnsi="Arial" w:cs="David"/>
          <w:rtl/>
        </w:rPr>
        <w:t>דוח</w:t>
      </w:r>
      <w:r w:rsidRPr="002A6558">
        <w:rPr>
          <w:rFonts w:ascii="Arial" w:hAnsi="Arial" w:cs="David"/>
          <w:rtl/>
        </w:rPr>
        <w:t xml:space="preserve"> גולדסטון - בית דין שדה ופרס לטרור</w:t>
      </w:r>
      <w:r w:rsidRPr="002A6558">
        <w:rPr>
          <w:rFonts w:cs="David" w:hint="cs"/>
          <w:rtl/>
        </w:rPr>
        <w:t xml:space="preserve">, </w:t>
      </w:r>
      <w:r w:rsidRPr="002A6558">
        <w:rPr>
          <w:rFonts w:cs="David"/>
          <w:b/>
          <w:bCs/>
        </w:rPr>
        <w:t>Ynet</w:t>
      </w:r>
      <w:r w:rsidRPr="002A6558">
        <w:rPr>
          <w:rFonts w:cs="David" w:hint="cs"/>
          <w:rtl/>
        </w:rPr>
        <w:t xml:space="preserve">, </w:t>
      </w:r>
      <w:r w:rsidRPr="002A6558">
        <w:rPr>
          <w:rFonts w:cs="David"/>
        </w:rPr>
        <w:t>http://www.ynet.co.il/articles/0,7340,L-3778069,00.html</w:t>
      </w:r>
    </w:p>
  </w:footnote>
  <w:footnote w:id="5">
    <w:p w:rsidR="009B636F" w:rsidRPr="00291A79" w:rsidRDefault="009B636F" w:rsidP="00397737">
      <w:pPr>
        <w:shd w:val="clear" w:color="auto" w:fill="FFFFFF"/>
        <w:spacing w:after="0" w:line="240" w:lineRule="auto"/>
        <w:jc w:val="both"/>
        <w:outlineLvl w:val="0"/>
        <w:rPr>
          <w:rFonts w:eastAsia="Times New Roman" w:cs="David"/>
          <w:sz w:val="20"/>
          <w:szCs w:val="20"/>
          <w:rtl/>
        </w:rPr>
      </w:pPr>
      <w:r w:rsidRPr="002A6558">
        <w:rPr>
          <w:rStyle w:val="a7"/>
          <w:sz w:val="20"/>
          <w:szCs w:val="20"/>
        </w:rPr>
        <w:footnoteRef/>
      </w:r>
      <w:r w:rsidRPr="002A6558">
        <w:rPr>
          <w:sz w:val="20"/>
          <w:szCs w:val="20"/>
          <w:rtl/>
        </w:rPr>
        <w:t xml:space="preserve"> </w:t>
      </w:r>
      <w:r w:rsidRPr="002A6558">
        <w:rPr>
          <w:rFonts w:eastAsia="Times New Roman" w:cstheme="majorBidi"/>
          <w:kern w:val="36"/>
          <w:sz w:val="20"/>
          <w:szCs w:val="20"/>
        </w:rPr>
        <w:t xml:space="preserve">H.Res. 867 (111th): Calling on the President and the Secretary of State to oppose unequivocally any endorsement or further consideration of the “Report of the </w:t>
      </w:r>
      <w:r w:rsidRPr="002A6558">
        <w:rPr>
          <w:rFonts w:eastAsia="Times New Roman" w:cstheme="majorBidi"/>
          <w:sz w:val="20"/>
          <w:szCs w:val="20"/>
        </w:rPr>
        <w:t>United Nations Fact Finding Mission on the Gaza Conflict” in multilateral fora,</w:t>
      </w:r>
      <w:r>
        <w:rPr>
          <w:rFonts w:cstheme="majorBidi"/>
          <w:sz w:val="20"/>
          <w:szCs w:val="20"/>
        </w:rPr>
        <w:t xml:space="preserve"> </w:t>
      </w:r>
      <w:r>
        <w:rPr>
          <w:rFonts w:cs="Arial"/>
        </w:rPr>
        <w:t xml:space="preserve">available at </w:t>
      </w:r>
      <w:r w:rsidRPr="002A6558">
        <w:rPr>
          <w:rFonts w:eastAsia="Times New Roman" w:cstheme="majorBidi"/>
          <w:sz w:val="20"/>
          <w:szCs w:val="20"/>
        </w:rPr>
        <w:t>https://www.govtrack.us/congress/bills/111/hres867/text</w:t>
      </w:r>
    </w:p>
  </w:footnote>
  <w:footnote w:id="6">
    <w:p w:rsidR="009B636F" w:rsidRPr="002A6558" w:rsidRDefault="009B636F" w:rsidP="00397737">
      <w:pPr>
        <w:pStyle w:val="a5"/>
        <w:jc w:val="both"/>
        <w:rPr>
          <w:rtl/>
        </w:rPr>
      </w:pPr>
      <w:r w:rsidRPr="002A6558">
        <w:rPr>
          <w:rStyle w:val="a7"/>
        </w:rPr>
        <w:footnoteRef/>
      </w:r>
      <w:r w:rsidRPr="002A6558">
        <w:rPr>
          <w:rtl/>
        </w:rPr>
        <w:t xml:space="preserve"> </w:t>
      </w:r>
      <w:r w:rsidRPr="002A6558">
        <w:t xml:space="preserve">Goldstone Richard (2011), Reconsidering the Goldstone Report on Israel and War Crimes, </w:t>
      </w:r>
      <w:r w:rsidRPr="002A6558">
        <w:rPr>
          <w:b/>
          <w:bCs/>
        </w:rPr>
        <w:t>The Washington Post</w:t>
      </w:r>
      <w:r w:rsidRPr="002A6558">
        <w:t>, https://www.washingtonpost.com/opinions/reconsidering-the-goldstone-report-on-israel-and-war-crimes/2011/04/01/AFg111JC_story.html</w:t>
      </w:r>
    </w:p>
  </w:footnote>
  <w:footnote w:id="7">
    <w:p w:rsidR="009B636F" w:rsidRPr="002A6558" w:rsidRDefault="009B636F" w:rsidP="00397737">
      <w:pPr>
        <w:pStyle w:val="a5"/>
        <w:jc w:val="both"/>
        <w:rPr>
          <w:rFonts w:eastAsia="Times New Roman" w:cstheme="majorBidi"/>
          <w:kern w:val="36"/>
          <w:rtl/>
        </w:rPr>
      </w:pPr>
      <w:r w:rsidRPr="002A6558">
        <w:rPr>
          <w:rStyle w:val="a7"/>
        </w:rPr>
        <w:footnoteRef/>
      </w:r>
      <w:r w:rsidRPr="002A6558">
        <w:rPr>
          <w:rtl/>
        </w:rPr>
        <w:t xml:space="preserve"> </w:t>
      </w:r>
      <w:r w:rsidRPr="002A6558">
        <w:rPr>
          <w:rFonts w:eastAsia="Times New Roman" w:cstheme="majorBidi"/>
          <w:kern w:val="36"/>
        </w:rPr>
        <w:t xml:space="preserve">Goldstone Report: Statement issued by members of the UN fact-finding mission to Gaza, May-September 2009 (2011), </w:t>
      </w:r>
      <w:r w:rsidRPr="002A6558">
        <w:rPr>
          <w:rFonts w:eastAsia="Times New Roman" w:cstheme="majorBidi"/>
          <w:b/>
          <w:bCs/>
          <w:kern w:val="36"/>
        </w:rPr>
        <w:t>The Guardian</w:t>
      </w:r>
      <w:r w:rsidRPr="002A6558">
        <w:rPr>
          <w:rFonts w:eastAsia="Times New Roman" w:cstheme="majorBidi"/>
          <w:kern w:val="36"/>
        </w:rPr>
        <w:t>, http://www.theguardian.com/commentisfree/2011/apr/14/goldstone-report-statement-un-gaza</w:t>
      </w:r>
    </w:p>
  </w:footnote>
  <w:footnote w:id="8">
    <w:p w:rsidR="009B636F" w:rsidRPr="002A6558" w:rsidRDefault="009B636F" w:rsidP="00397737">
      <w:pPr>
        <w:pStyle w:val="a5"/>
        <w:jc w:val="both"/>
        <w:rPr>
          <w:rtl/>
        </w:rPr>
      </w:pPr>
      <w:r w:rsidRPr="002A6558">
        <w:rPr>
          <w:rStyle w:val="a7"/>
        </w:rPr>
        <w:footnoteRef/>
      </w:r>
      <w:r w:rsidRPr="002A6558">
        <w:rPr>
          <w:rtl/>
        </w:rPr>
        <w:t xml:space="preserve"> </w:t>
      </w:r>
      <w:r w:rsidRPr="002A6558">
        <w:rPr>
          <w:rFonts w:cstheme="majorBidi"/>
        </w:rPr>
        <w:t>Elimination of all forms of racial discrimination</w:t>
      </w:r>
      <w:r w:rsidRPr="002A6558">
        <w:t xml:space="preserve">, A/RES/46/86, </w:t>
      </w:r>
      <w:r>
        <w:rPr>
          <w:rFonts w:cs="Arial"/>
        </w:rPr>
        <w:t xml:space="preserve">available at </w:t>
      </w:r>
      <w:r w:rsidRPr="002A6558">
        <w:t>http://www.un.org/en/ga/search/view_doc.asp?symbol=A/RES/46/86</w:t>
      </w:r>
    </w:p>
  </w:footnote>
  <w:footnote w:id="9">
    <w:p w:rsidR="009B636F" w:rsidRPr="002A6558" w:rsidRDefault="009B636F" w:rsidP="00397737">
      <w:pPr>
        <w:pStyle w:val="a5"/>
        <w:jc w:val="both"/>
        <w:rPr>
          <w:rtl/>
        </w:rPr>
      </w:pPr>
      <w:r w:rsidRPr="002A6558">
        <w:rPr>
          <w:rStyle w:val="a7"/>
        </w:rPr>
        <w:footnoteRef/>
      </w:r>
      <w:r w:rsidRPr="002A6558">
        <w:rPr>
          <w:rtl/>
        </w:rPr>
        <w:t xml:space="preserve"> </w:t>
      </w:r>
      <w:r w:rsidRPr="002A6558">
        <w:rPr>
          <w:rFonts w:cstheme="majorBidi"/>
        </w:rPr>
        <w:t>Elimination of all forms of racial discrimination</w:t>
      </w:r>
      <w:r w:rsidRPr="002A6558">
        <w:t xml:space="preserve">, </w:t>
      </w:r>
      <w:hyperlink r:id="rId1" w:tgtFrame="_top" w:history="1">
        <w:r w:rsidRPr="002A6558">
          <w:rPr>
            <w:rFonts w:cstheme="majorBidi"/>
          </w:rPr>
          <w:t>A/RES/3379</w:t>
        </w:r>
      </w:hyperlink>
      <w:r w:rsidRPr="002A6558">
        <w:t>,</w:t>
      </w:r>
      <w:r w:rsidRPr="002A6558">
        <w:rPr>
          <w:rFonts w:cs="Arial"/>
        </w:rPr>
        <w:t xml:space="preserve"> </w:t>
      </w:r>
      <w:r>
        <w:rPr>
          <w:rFonts w:cs="Arial"/>
        </w:rPr>
        <w:t>available at</w:t>
      </w:r>
      <w:r w:rsidRPr="002A6558">
        <w:t xml:space="preserve"> http://www.un.org/en/ga/search/view_doc.asp?symbol=A/RES/3379(XXX)</w:t>
      </w:r>
    </w:p>
  </w:footnote>
  <w:footnote w:id="10">
    <w:p w:rsidR="009B636F" w:rsidRPr="002A6558" w:rsidRDefault="009B636F" w:rsidP="00397737">
      <w:pPr>
        <w:pStyle w:val="a5"/>
        <w:jc w:val="both"/>
        <w:rPr>
          <w:rtl/>
        </w:rPr>
      </w:pPr>
      <w:r w:rsidRPr="002A6558">
        <w:rPr>
          <w:rStyle w:val="a7"/>
        </w:rPr>
        <w:footnoteRef/>
      </w:r>
      <w:r w:rsidRPr="002A6558">
        <w:rPr>
          <w:rtl/>
        </w:rPr>
        <w:t xml:space="preserve"> </w:t>
      </w:r>
      <w:r w:rsidRPr="002A6558">
        <w:rPr>
          <w:rFonts w:cs="David" w:hint="cs"/>
          <w:rtl/>
        </w:rPr>
        <w:t>מדזיני רונן (2011), בירושלים מודים: אין סיכוי להפוך החלטת גולדסטון,</w:t>
      </w:r>
      <w:r w:rsidRPr="002A6558">
        <w:rPr>
          <w:rFonts w:hint="cs"/>
          <w:rtl/>
        </w:rPr>
        <w:t xml:space="preserve"> </w:t>
      </w:r>
      <w:r w:rsidRPr="002A6558">
        <w:rPr>
          <w:b/>
          <w:bCs/>
        </w:rPr>
        <w:t>Ynet</w:t>
      </w:r>
      <w:r w:rsidRPr="002A6558">
        <w:rPr>
          <w:rFonts w:hint="cs"/>
          <w:rtl/>
        </w:rPr>
        <w:t xml:space="preserve">, </w:t>
      </w:r>
      <w:r w:rsidRPr="002A6558">
        <w:t>http://www.ynet.co.il/articles/0,7340,L-4051559,00.html</w:t>
      </w:r>
    </w:p>
  </w:footnote>
  <w:footnote w:id="11">
    <w:p w:rsidR="009B636F" w:rsidRPr="002A6558" w:rsidRDefault="009B636F" w:rsidP="00397737">
      <w:pPr>
        <w:pStyle w:val="a5"/>
        <w:jc w:val="both"/>
        <w:rPr>
          <w:rtl/>
        </w:rPr>
      </w:pPr>
      <w:r w:rsidRPr="002A6558">
        <w:rPr>
          <w:rStyle w:val="a7"/>
        </w:rPr>
        <w:footnoteRef/>
      </w:r>
      <w:r w:rsidRPr="002A6558">
        <w:rPr>
          <w:rtl/>
        </w:rPr>
        <w:t xml:space="preserve"> </w:t>
      </w:r>
      <w:r w:rsidRPr="002A6558">
        <w:rPr>
          <w:rFonts w:cs="David" w:hint="cs"/>
          <w:rtl/>
        </w:rPr>
        <w:t>שומפלבי אטילה (2011), נתניהו על מהפך גולדסטון: לזרוק את ה</w:t>
      </w:r>
      <w:r w:rsidRPr="002A6558" w:rsidDel="00692192">
        <w:rPr>
          <w:rFonts w:cs="David" w:hint="cs"/>
          <w:rtl/>
        </w:rPr>
        <w:t>דו"ח</w:t>
      </w:r>
      <w:r w:rsidRPr="002A6558">
        <w:rPr>
          <w:rFonts w:cs="David" w:hint="cs"/>
          <w:rtl/>
        </w:rPr>
        <w:t xml:space="preserve"> לפח,</w:t>
      </w:r>
      <w:r w:rsidRPr="002A6558">
        <w:rPr>
          <w:rFonts w:hint="cs"/>
          <w:rtl/>
        </w:rPr>
        <w:t xml:space="preserve"> </w:t>
      </w:r>
      <w:r w:rsidRPr="002A6558">
        <w:rPr>
          <w:b/>
          <w:bCs/>
        </w:rPr>
        <w:t>Ynet</w:t>
      </w:r>
      <w:r w:rsidRPr="002A6558">
        <w:rPr>
          <w:rFonts w:hint="cs"/>
          <w:rtl/>
        </w:rPr>
        <w:t xml:space="preserve">, </w:t>
      </w:r>
      <w:r w:rsidRPr="002A6558">
        <w:t>http://www.ynet.co.il/articles/0,7340,L-4051035,00.html</w:t>
      </w:r>
    </w:p>
  </w:footnote>
  <w:footnote w:id="12">
    <w:p w:rsidR="009B636F" w:rsidRPr="002A6558" w:rsidRDefault="009B636F" w:rsidP="00397737">
      <w:pPr>
        <w:pStyle w:val="a5"/>
        <w:jc w:val="both"/>
        <w:rPr>
          <w:rtl/>
        </w:rPr>
      </w:pPr>
      <w:r w:rsidRPr="002A6558">
        <w:rPr>
          <w:rStyle w:val="a7"/>
        </w:rPr>
        <w:footnoteRef/>
      </w:r>
      <w:r w:rsidRPr="002A6558">
        <w:rPr>
          <w:rtl/>
        </w:rPr>
        <w:t xml:space="preserve"> </w:t>
      </w:r>
      <w:r w:rsidRPr="002A6558">
        <w:rPr>
          <w:rFonts w:cs="David" w:hint="cs"/>
          <w:rtl/>
        </w:rPr>
        <w:t>ניר ערד וסגל אודי (2011), בצה"ל מעריכים: קטן הסיכוי להעמדת קצינים לדין בחו"ל,</w:t>
      </w:r>
      <w:r w:rsidRPr="002A6558">
        <w:rPr>
          <w:rFonts w:hint="cs"/>
          <w:rtl/>
        </w:rPr>
        <w:t xml:space="preserve"> </w:t>
      </w:r>
      <w:r w:rsidRPr="002A6558">
        <w:rPr>
          <w:b/>
          <w:bCs/>
        </w:rPr>
        <w:t>mako</w:t>
      </w:r>
      <w:r w:rsidRPr="002A6558">
        <w:rPr>
          <w:rFonts w:hint="cs"/>
          <w:rtl/>
        </w:rPr>
        <w:t xml:space="preserve">, </w:t>
      </w:r>
      <w:r w:rsidRPr="002A6558">
        <w:t>http://www.mako.co.il/news-military/israel/Article-89f59b4453c1f21004.htm</w:t>
      </w:r>
    </w:p>
  </w:footnote>
  <w:footnote w:id="13">
    <w:p w:rsidR="009B636F" w:rsidRPr="002A6558" w:rsidRDefault="009B636F" w:rsidP="007C5C77">
      <w:pPr>
        <w:pStyle w:val="a5"/>
        <w:jc w:val="both"/>
        <w:rPr>
          <w:rFonts w:cs="David"/>
          <w:rtl/>
        </w:rPr>
      </w:pPr>
      <w:r w:rsidRPr="002A6558">
        <w:rPr>
          <w:rStyle w:val="a7"/>
        </w:rPr>
        <w:footnoteRef/>
      </w:r>
      <w:r w:rsidRPr="002A6558">
        <w:rPr>
          <w:rtl/>
        </w:rPr>
        <w:t xml:space="preserve"> </w:t>
      </w:r>
      <w:r w:rsidRPr="002A6558">
        <w:rPr>
          <w:rFonts w:cs="David" w:hint="cs"/>
          <w:rtl/>
        </w:rPr>
        <w:t xml:space="preserve">ראה ה"ש </w:t>
      </w:r>
      <w:r>
        <w:rPr>
          <w:rFonts w:cs="David"/>
          <w:rtl/>
        </w:rPr>
        <w:fldChar w:fldCharType="begin"/>
      </w:r>
      <w:r>
        <w:rPr>
          <w:rFonts w:cs="David"/>
          <w:rtl/>
        </w:rPr>
        <w:instrText xml:space="preserve"> </w:instrText>
      </w:r>
      <w:r>
        <w:rPr>
          <w:rFonts w:cs="David" w:hint="cs"/>
        </w:rPr>
        <w:instrText>NOTEREF</w:instrText>
      </w:r>
      <w:r>
        <w:rPr>
          <w:rFonts w:cs="David" w:hint="cs"/>
          <w:rtl/>
        </w:rPr>
        <w:instrText xml:space="preserve"> _</w:instrText>
      </w:r>
      <w:r>
        <w:rPr>
          <w:rFonts w:cs="David" w:hint="cs"/>
        </w:rPr>
        <w:instrText>Ref455325107 \h</w:instrText>
      </w:r>
      <w:r>
        <w:rPr>
          <w:rFonts w:cs="David"/>
          <w:rtl/>
        </w:rPr>
        <w:instrText xml:space="preserve"> </w:instrText>
      </w:r>
      <w:r>
        <w:rPr>
          <w:rFonts w:cs="David"/>
          <w:rtl/>
        </w:rPr>
      </w:r>
      <w:r>
        <w:rPr>
          <w:rFonts w:cs="David"/>
          <w:rtl/>
        </w:rPr>
        <w:fldChar w:fldCharType="separate"/>
      </w:r>
      <w:r>
        <w:rPr>
          <w:rFonts w:cs="David"/>
          <w:rtl/>
        </w:rPr>
        <w:t>10</w:t>
      </w:r>
      <w:r>
        <w:rPr>
          <w:rFonts w:cs="David"/>
          <w:rtl/>
        </w:rPr>
        <w:fldChar w:fldCharType="end"/>
      </w:r>
      <w:r>
        <w:rPr>
          <w:rFonts w:cs="David" w:hint="cs"/>
          <w:rtl/>
        </w:rPr>
        <w:t xml:space="preserve"> </w:t>
      </w:r>
      <w:r w:rsidRPr="00291A79">
        <w:rPr>
          <w:rFonts w:cs="David" w:hint="cs"/>
          <w:rtl/>
        </w:rPr>
        <w:t>לעיל</w:t>
      </w:r>
    </w:p>
  </w:footnote>
  <w:footnote w:id="14">
    <w:p w:rsidR="009B636F" w:rsidRPr="002A6558" w:rsidRDefault="009B636F" w:rsidP="00397737">
      <w:pPr>
        <w:pStyle w:val="a5"/>
        <w:jc w:val="both"/>
        <w:rPr>
          <w:rtl/>
        </w:rPr>
      </w:pPr>
      <w:r w:rsidRPr="002A6558">
        <w:rPr>
          <w:rStyle w:val="a7"/>
          <w:rFonts w:cs="David"/>
        </w:rPr>
        <w:footnoteRef/>
      </w:r>
      <w:r w:rsidRPr="002A6558">
        <w:rPr>
          <w:rFonts w:cs="David"/>
          <w:rtl/>
        </w:rPr>
        <w:t xml:space="preserve"> </w:t>
      </w:r>
      <w:r w:rsidRPr="002A6558">
        <w:rPr>
          <w:rFonts w:cs="David" w:hint="cs"/>
          <w:rtl/>
        </w:rPr>
        <w:t xml:space="preserve">ראה סרטון ההרצאה: </w:t>
      </w:r>
      <w:r w:rsidRPr="00E5713E">
        <w:rPr>
          <w:rFonts w:eastAsia="Times New Roman" w:cs="Arial"/>
          <w:kern w:val="36"/>
        </w:rPr>
        <w:t>Richard Goldstone-- International Law and Human Rights: The Search for Justice, https://www.youtube.com/watch?v=ImXnhOT-52A</w:t>
      </w:r>
      <w:r w:rsidRPr="00E5713E">
        <w:rPr>
          <w:rtl/>
        </w:rPr>
        <w:t xml:space="preserve">, </w:t>
      </w:r>
      <w:r w:rsidRPr="00E5713E">
        <w:rPr>
          <w:rFonts w:cs="David"/>
          <w:rtl/>
        </w:rPr>
        <w:t>החל מ-</w:t>
      </w:r>
      <w:r w:rsidRPr="00E5713E">
        <w:rPr>
          <w:rtl/>
        </w:rPr>
        <w:t>49:40</w:t>
      </w:r>
      <w:r>
        <w:rPr>
          <w:rFonts w:hint="cs"/>
          <w:rtl/>
        </w:rPr>
        <w:t xml:space="preserve">. </w:t>
      </w:r>
      <w:r>
        <w:rPr>
          <w:rFonts w:cs="David" w:hint="cs"/>
          <w:rtl/>
        </w:rPr>
        <w:t>גולדסטון גם צירף בנספח לדוח שלו את חלופת המכתבים שלו עם גורמים רשמיים בממשלת ישראל כדי להדגים את ניסיונותיו הרבים להשיג את שיתוף הפעולה של ישראל.</w:t>
      </w:r>
    </w:p>
  </w:footnote>
  <w:footnote w:id="15">
    <w:p w:rsidR="009B636F" w:rsidRPr="002A6558" w:rsidRDefault="009B636F" w:rsidP="00397737">
      <w:pPr>
        <w:pStyle w:val="a5"/>
        <w:jc w:val="both"/>
        <w:rPr>
          <w:rtl/>
        </w:rPr>
      </w:pPr>
      <w:r w:rsidRPr="002A6558">
        <w:rPr>
          <w:rStyle w:val="a7"/>
        </w:rPr>
        <w:footnoteRef/>
      </w:r>
      <w:r w:rsidRPr="002A6558">
        <w:rPr>
          <w:rtl/>
        </w:rPr>
        <w:t xml:space="preserve"> </w:t>
      </w:r>
      <w:r w:rsidRPr="002A6558">
        <w:rPr>
          <w:rFonts w:cs="David" w:hint="cs"/>
          <w:rtl/>
        </w:rPr>
        <w:t>ראה לדוגמה:</w:t>
      </w:r>
      <w:r w:rsidRPr="002A6558">
        <w:rPr>
          <w:rFonts w:hint="cs"/>
          <w:rtl/>
        </w:rPr>
        <w:t xml:space="preserve"> </w:t>
      </w:r>
      <w:r w:rsidRPr="002A6558">
        <w:rPr>
          <w:rFonts w:cs="Times New Roman"/>
        </w:rPr>
        <w:t xml:space="preserve">Alinikoff Emily and Piccone </w:t>
      </w:r>
      <w:hyperlink r:id="rId2" w:history="1">
        <w:r w:rsidRPr="002A6558">
          <w:rPr>
            <w:rFonts w:cs="Times New Roman"/>
          </w:rPr>
          <w:t xml:space="preserve">Ted </w:t>
        </w:r>
      </w:hyperlink>
      <w:r w:rsidRPr="002A6558">
        <w:t>(2011), The Goldstone Report: Behind the Uproar</w:t>
      </w:r>
      <w:r w:rsidRPr="002A6558">
        <w:rPr>
          <w:b/>
          <w:bCs/>
        </w:rPr>
        <w:t xml:space="preserve">, Brookings, </w:t>
      </w:r>
      <w:r w:rsidRPr="002A6558">
        <w:t>http://www.brookings.edu/research/opinions/2011/04/09-goldstone-piccone</w:t>
      </w:r>
    </w:p>
  </w:footnote>
  <w:footnote w:id="16">
    <w:p w:rsidR="009B636F" w:rsidRDefault="009B636F" w:rsidP="00870436">
      <w:pPr>
        <w:pStyle w:val="a5"/>
        <w:jc w:val="both"/>
        <w:rPr>
          <w:rFonts w:cs="David"/>
          <w:rtl/>
        </w:rPr>
      </w:pPr>
      <w:r>
        <w:rPr>
          <w:rStyle w:val="a7"/>
        </w:rPr>
        <w:footnoteRef/>
      </w:r>
      <w:r>
        <w:rPr>
          <w:rtl/>
        </w:rPr>
        <w:t xml:space="preserve"> </w:t>
      </w:r>
      <w:r w:rsidRPr="00D44503">
        <w:rPr>
          <w:rFonts w:cs="David" w:hint="cs"/>
          <w:rtl/>
        </w:rPr>
        <w:t>ראה</w:t>
      </w:r>
      <w:r w:rsidRPr="00D44503">
        <w:rPr>
          <w:rFonts w:cs="David"/>
          <w:rtl/>
        </w:rPr>
        <w:t xml:space="preserve">, </w:t>
      </w:r>
      <w:r w:rsidRPr="00D44503">
        <w:rPr>
          <w:rFonts w:cs="David" w:hint="cs"/>
          <w:rtl/>
        </w:rPr>
        <w:t>לדוגמה</w:t>
      </w:r>
      <w:r w:rsidRPr="00D44503">
        <w:rPr>
          <w:rFonts w:cs="David"/>
          <w:rtl/>
        </w:rPr>
        <w:t xml:space="preserve">, </w:t>
      </w:r>
      <w:r w:rsidRPr="00D44503">
        <w:rPr>
          <w:rFonts w:cs="David" w:hint="cs"/>
          <w:rtl/>
        </w:rPr>
        <w:t>בדיקה</w:t>
      </w:r>
      <w:r w:rsidRPr="00D44503">
        <w:rPr>
          <w:rFonts w:cs="David"/>
          <w:rtl/>
        </w:rPr>
        <w:t xml:space="preserve"> </w:t>
      </w:r>
      <w:r w:rsidRPr="00D44503">
        <w:rPr>
          <w:rFonts w:cs="David" w:hint="cs"/>
          <w:rtl/>
        </w:rPr>
        <w:t>של</w:t>
      </w:r>
      <w:r w:rsidRPr="00D44503">
        <w:rPr>
          <w:rFonts w:cs="David"/>
          <w:rtl/>
        </w:rPr>
        <w:t xml:space="preserve"> </w:t>
      </w:r>
      <w:r w:rsidRPr="00D44503">
        <w:rPr>
          <w:rFonts w:cs="David" w:hint="cs"/>
          <w:rtl/>
        </w:rPr>
        <w:t>משלחת</w:t>
      </w:r>
      <w:r w:rsidRPr="00D44503">
        <w:rPr>
          <w:rFonts w:cs="David"/>
          <w:rtl/>
        </w:rPr>
        <w:t xml:space="preserve"> </w:t>
      </w:r>
      <w:r w:rsidRPr="00D44503">
        <w:rPr>
          <w:rFonts w:cs="David" w:hint="cs"/>
          <w:rtl/>
        </w:rPr>
        <w:t>עורכי</w:t>
      </w:r>
      <w:r w:rsidRPr="00D44503">
        <w:rPr>
          <w:rFonts w:cs="David"/>
          <w:rtl/>
        </w:rPr>
        <w:t xml:space="preserve"> </w:t>
      </w:r>
      <w:r w:rsidRPr="00D44503">
        <w:rPr>
          <w:rFonts w:cs="David" w:hint="cs"/>
          <w:rtl/>
        </w:rPr>
        <w:t>דין</w:t>
      </w:r>
      <w:r w:rsidRPr="00D44503">
        <w:rPr>
          <w:rFonts w:cs="David"/>
          <w:rtl/>
        </w:rPr>
        <w:t xml:space="preserve"> </w:t>
      </w:r>
      <w:r w:rsidRPr="00D44503">
        <w:rPr>
          <w:rFonts w:cs="David" w:hint="cs"/>
          <w:rtl/>
        </w:rPr>
        <w:t>בריטיים</w:t>
      </w:r>
      <w:r w:rsidRPr="00D44503">
        <w:rPr>
          <w:rFonts w:cs="David"/>
          <w:rtl/>
        </w:rPr>
        <w:t xml:space="preserve"> </w:t>
      </w:r>
      <w:r w:rsidRPr="00D44503">
        <w:rPr>
          <w:rFonts w:cs="David" w:hint="cs"/>
          <w:rtl/>
        </w:rPr>
        <w:t>בראשות</w:t>
      </w:r>
      <w:r w:rsidRPr="00D44503">
        <w:rPr>
          <w:rFonts w:cs="David"/>
          <w:rtl/>
        </w:rPr>
        <w:t xml:space="preserve"> </w:t>
      </w:r>
      <w:r w:rsidRPr="00D44503">
        <w:rPr>
          <w:rFonts w:cs="David" w:hint="cs"/>
          <w:rtl/>
        </w:rPr>
        <w:t>הברונית</w:t>
      </w:r>
      <w:r w:rsidRPr="00D44503">
        <w:rPr>
          <w:rFonts w:cs="David"/>
          <w:rtl/>
        </w:rPr>
        <w:t xml:space="preserve"> </w:t>
      </w:r>
      <w:r w:rsidRPr="00D44503">
        <w:rPr>
          <w:rFonts w:cs="David" w:hint="cs"/>
          <w:rtl/>
        </w:rPr>
        <w:t>סקוטלנד</w:t>
      </w:r>
      <w:r w:rsidRPr="00D44503">
        <w:rPr>
          <w:rFonts w:cs="David"/>
          <w:rtl/>
        </w:rPr>
        <w:t xml:space="preserve"> </w:t>
      </w:r>
      <w:r w:rsidRPr="00D44503">
        <w:rPr>
          <w:rFonts w:cs="David" w:hint="cs"/>
          <w:rtl/>
        </w:rPr>
        <w:t>בחסות</w:t>
      </w:r>
      <w:r w:rsidRPr="00D44503">
        <w:rPr>
          <w:rFonts w:cs="David"/>
          <w:rtl/>
        </w:rPr>
        <w:t xml:space="preserve"> </w:t>
      </w:r>
      <w:r w:rsidRPr="00D44503">
        <w:rPr>
          <w:rFonts w:cs="David" w:hint="cs"/>
          <w:rtl/>
        </w:rPr>
        <w:t>משרד</w:t>
      </w:r>
      <w:r w:rsidRPr="00D44503">
        <w:rPr>
          <w:rFonts w:cs="David"/>
          <w:rtl/>
        </w:rPr>
        <w:t xml:space="preserve"> </w:t>
      </w:r>
      <w:r w:rsidRPr="00D44503">
        <w:rPr>
          <w:rFonts w:cs="David" w:hint="cs"/>
          <w:rtl/>
        </w:rPr>
        <w:t>החוץ</w:t>
      </w:r>
      <w:r w:rsidRPr="00D44503">
        <w:rPr>
          <w:rFonts w:cs="David"/>
          <w:rtl/>
        </w:rPr>
        <w:t xml:space="preserve"> </w:t>
      </w:r>
      <w:r w:rsidRPr="00D44503">
        <w:rPr>
          <w:rFonts w:cs="David" w:hint="cs"/>
          <w:rtl/>
        </w:rPr>
        <w:t>הבריטי</w:t>
      </w:r>
      <w:r w:rsidRPr="00D44503">
        <w:rPr>
          <w:rFonts w:cs="David"/>
          <w:rtl/>
        </w:rPr>
        <w:t xml:space="preserve"> </w:t>
      </w:r>
      <w:r w:rsidRPr="00D44503">
        <w:rPr>
          <w:rFonts w:cs="David" w:hint="cs"/>
          <w:rtl/>
        </w:rPr>
        <w:t>ביחס</w:t>
      </w:r>
      <w:r w:rsidRPr="00D44503">
        <w:rPr>
          <w:rFonts w:cs="David"/>
          <w:rtl/>
        </w:rPr>
        <w:t xml:space="preserve"> </w:t>
      </w:r>
      <w:r w:rsidRPr="00D44503">
        <w:rPr>
          <w:rFonts w:cs="David" w:hint="cs"/>
          <w:rtl/>
        </w:rPr>
        <w:t>לטיפול</w:t>
      </w:r>
      <w:r w:rsidRPr="00D44503">
        <w:rPr>
          <w:rFonts w:cs="David"/>
          <w:rtl/>
        </w:rPr>
        <w:t xml:space="preserve"> </w:t>
      </w:r>
      <w:r w:rsidRPr="00D44503">
        <w:rPr>
          <w:rFonts w:cs="David" w:hint="cs"/>
          <w:rtl/>
        </w:rPr>
        <w:t>בילדים</w:t>
      </w:r>
      <w:r w:rsidRPr="00D44503">
        <w:rPr>
          <w:rFonts w:cs="David"/>
          <w:rtl/>
        </w:rPr>
        <w:t xml:space="preserve"> </w:t>
      </w:r>
      <w:r w:rsidRPr="00D44503">
        <w:rPr>
          <w:rFonts w:cs="David" w:hint="cs"/>
          <w:rtl/>
        </w:rPr>
        <w:t>פלסטיניים</w:t>
      </w:r>
      <w:r w:rsidRPr="00D44503">
        <w:rPr>
          <w:rFonts w:cs="David"/>
          <w:rtl/>
        </w:rPr>
        <w:t xml:space="preserve"> </w:t>
      </w:r>
      <w:r w:rsidRPr="00D44503">
        <w:rPr>
          <w:rFonts w:cs="David" w:hint="cs"/>
          <w:rtl/>
        </w:rPr>
        <w:t>לפי</w:t>
      </w:r>
      <w:r w:rsidRPr="00D44503">
        <w:rPr>
          <w:rFonts w:cs="David"/>
          <w:rtl/>
        </w:rPr>
        <w:t xml:space="preserve"> </w:t>
      </w:r>
      <w:r w:rsidRPr="00D44503">
        <w:rPr>
          <w:rFonts w:cs="David" w:hint="cs"/>
          <w:rtl/>
        </w:rPr>
        <w:t>החוק</w:t>
      </w:r>
      <w:r w:rsidRPr="00D44503">
        <w:rPr>
          <w:rFonts w:cs="David"/>
          <w:rtl/>
        </w:rPr>
        <w:t xml:space="preserve"> </w:t>
      </w:r>
      <w:r w:rsidRPr="00D44503">
        <w:rPr>
          <w:rFonts w:cs="David" w:hint="cs"/>
          <w:rtl/>
        </w:rPr>
        <w:t>הצבאי</w:t>
      </w:r>
      <w:r w:rsidRPr="00D44503">
        <w:rPr>
          <w:rFonts w:cs="David"/>
          <w:rtl/>
        </w:rPr>
        <w:t xml:space="preserve"> </w:t>
      </w:r>
      <w:r w:rsidRPr="00D44503">
        <w:rPr>
          <w:rFonts w:cs="David" w:hint="cs"/>
          <w:rtl/>
        </w:rPr>
        <w:t>הישראלי</w:t>
      </w:r>
      <w:r w:rsidRPr="00D44503">
        <w:rPr>
          <w:rFonts w:cs="David"/>
          <w:rtl/>
        </w:rPr>
        <w:t xml:space="preserve">, </w:t>
      </w:r>
      <w:r w:rsidRPr="00D44503">
        <w:rPr>
          <w:rFonts w:cs="David" w:hint="cs"/>
          <w:rtl/>
        </w:rPr>
        <w:t>שתוזכר</w:t>
      </w:r>
      <w:r w:rsidRPr="00D44503">
        <w:rPr>
          <w:rFonts w:cs="David"/>
          <w:rtl/>
        </w:rPr>
        <w:t xml:space="preserve"> </w:t>
      </w:r>
      <w:r w:rsidRPr="00D44503">
        <w:rPr>
          <w:rFonts w:cs="David" w:hint="cs"/>
          <w:rtl/>
        </w:rPr>
        <w:t>להלן</w:t>
      </w:r>
      <w:r w:rsidRPr="00D44503">
        <w:rPr>
          <w:rFonts w:cs="David"/>
          <w:rtl/>
        </w:rPr>
        <w:t xml:space="preserve">, </w:t>
      </w:r>
      <w:r w:rsidRPr="00D44503">
        <w:rPr>
          <w:rFonts w:cs="David" w:hint="cs"/>
          <w:rtl/>
        </w:rPr>
        <w:t>ראה</w:t>
      </w:r>
      <w:r w:rsidRPr="00D44503">
        <w:rPr>
          <w:rFonts w:cs="David"/>
          <w:rtl/>
        </w:rPr>
        <w:t xml:space="preserve"> </w:t>
      </w:r>
      <w:r w:rsidRPr="00D44503">
        <w:rPr>
          <w:rFonts w:cs="David" w:hint="cs"/>
          <w:rtl/>
        </w:rPr>
        <w:t>ה</w:t>
      </w:r>
      <w:r w:rsidRPr="00D44503">
        <w:rPr>
          <w:rFonts w:cs="David"/>
          <w:rtl/>
        </w:rPr>
        <w:t>"</w:t>
      </w:r>
      <w:r w:rsidRPr="00D44503">
        <w:rPr>
          <w:rFonts w:cs="David" w:hint="cs"/>
          <w:rtl/>
        </w:rPr>
        <w:t>ש</w:t>
      </w:r>
      <w:r>
        <w:rPr>
          <w:rFonts w:cs="David" w:hint="cs"/>
          <w:rtl/>
        </w:rPr>
        <w:t xml:space="preserve"> </w:t>
      </w:r>
      <w:r>
        <w:rPr>
          <w:rFonts w:cs="David"/>
          <w:rtl/>
        </w:rPr>
        <w:fldChar w:fldCharType="begin"/>
      </w:r>
      <w:r>
        <w:rPr>
          <w:rFonts w:cs="David"/>
          <w:rtl/>
        </w:rPr>
        <w:instrText xml:space="preserve"> </w:instrText>
      </w:r>
      <w:r>
        <w:rPr>
          <w:rFonts w:cs="David"/>
        </w:rPr>
        <w:instrText>NOTEREF</w:instrText>
      </w:r>
      <w:r>
        <w:rPr>
          <w:rFonts w:cs="David"/>
          <w:rtl/>
        </w:rPr>
        <w:instrText xml:space="preserve"> _</w:instrText>
      </w:r>
      <w:r>
        <w:rPr>
          <w:rFonts w:cs="David"/>
        </w:rPr>
        <w:instrText>Ref455325618 \h</w:instrText>
      </w:r>
      <w:r>
        <w:rPr>
          <w:rFonts w:cs="David"/>
          <w:rtl/>
        </w:rPr>
        <w:instrText xml:space="preserve"> </w:instrText>
      </w:r>
      <w:r>
        <w:rPr>
          <w:rFonts w:cs="David"/>
          <w:rtl/>
        </w:rPr>
      </w:r>
      <w:r>
        <w:rPr>
          <w:rFonts w:cs="David"/>
          <w:rtl/>
        </w:rPr>
        <w:fldChar w:fldCharType="separate"/>
      </w:r>
      <w:r>
        <w:rPr>
          <w:rFonts w:cs="David"/>
          <w:rtl/>
        </w:rPr>
        <w:t>335</w:t>
      </w:r>
      <w:r>
        <w:rPr>
          <w:rFonts w:cs="David"/>
          <w:rtl/>
        </w:rPr>
        <w:fldChar w:fldCharType="end"/>
      </w:r>
      <w:r w:rsidRPr="00D44503">
        <w:rPr>
          <w:rFonts w:cs="David"/>
          <w:rtl/>
        </w:rPr>
        <w:t>.</w:t>
      </w:r>
    </w:p>
  </w:footnote>
  <w:footnote w:id="17">
    <w:p w:rsidR="009B636F" w:rsidRPr="002A6558" w:rsidRDefault="009B636F" w:rsidP="00397737">
      <w:pPr>
        <w:pStyle w:val="a5"/>
        <w:jc w:val="both"/>
        <w:rPr>
          <w:rtl/>
        </w:rPr>
      </w:pPr>
      <w:r w:rsidRPr="002A6558">
        <w:rPr>
          <w:rStyle w:val="a7"/>
        </w:rPr>
        <w:footnoteRef/>
      </w:r>
      <w:r w:rsidRPr="002A6558">
        <w:rPr>
          <w:rtl/>
        </w:rPr>
        <w:t xml:space="preserve"> </w:t>
      </w:r>
      <w:r w:rsidRPr="002A6558">
        <w:rPr>
          <w:rFonts w:cs="David" w:hint="cs"/>
          <w:rtl/>
        </w:rPr>
        <w:t>לפי האתר של "טריבונאל ראסל על פלסטין" (</w:t>
      </w:r>
      <w:hyperlink r:id="rId3" w:history="1">
        <w:r w:rsidRPr="002A6558">
          <w:rPr>
            <w:rStyle w:val="Hyperlink"/>
            <w:color w:val="auto"/>
          </w:rPr>
          <w:t>http://www.russelltribunalonpalestine.com/en</w:t>
        </w:r>
        <w:r w:rsidRPr="002A6558">
          <w:rPr>
            <w:rStyle w:val="Hyperlink"/>
            <w:rFonts w:cs="Arial"/>
            <w:color w:val="auto"/>
            <w:rtl/>
          </w:rPr>
          <w:t>/</w:t>
        </w:r>
      </w:hyperlink>
      <w:r w:rsidRPr="002A6558">
        <w:rPr>
          <w:rFonts w:cs="Arial" w:hint="cs"/>
          <w:rtl/>
        </w:rPr>
        <w:t xml:space="preserve">) </w:t>
      </w:r>
      <w:r w:rsidRPr="002A6558">
        <w:rPr>
          <w:rFonts w:ascii="Georgia" w:hAnsi="Georgia" w:cs="David" w:hint="cs"/>
          <w:rtl/>
        </w:rPr>
        <w:t>"</w:t>
      </w:r>
      <w:r w:rsidRPr="002A6558">
        <w:rPr>
          <w:rFonts w:ascii="Georgia" w:hAnsi="Georgia" w:cs="David"/>
          <w:rtl/>
        </w:rPr>
        <w:t>טריבונל ראסל על פלסטין הוא טריבונל בינלאומי של אזרחים בעלי מצפון. הוא נוסד כתגובה לדרישותיה של החברה האזרחית (עמותות לא-ממשלתיות, ארגוני צדקה, איגודים מקצועיים וארגונים דתיים) שביקשו ליידע ולהניע את דעת הקהל ולהפעיל לחץ על מקבלי ההחלטו</w:t>
      </w:r>
      <w:r w:rsidRPr="002A6558">
        <w:rPr>
          <w:rFonts w:ascii="Georgia" w:hAnsi="Georgia" w:cs="David" w:hint="cs"/>
          <w:rtl/>
        </w:rPr>
        <w:t>ת."</w:t>
      </w:r>
    </w:p>
  </w:footnote>
  <w:footnote w:id="18">
    <w:p w:rsidR="009B636F" w:rsidRPr="002A6558" w:rsidRDefault="009B636F" w:rsidP="00397737">
      <w:pPr>
        <w:pStyle w:val="a5"/>
        <w:jc w:val="both"/>
      </w:pPr>
      <w:r w:rsidRPr="002A6558">
        <w:rPr>
          <w:rStyle w:val="a7"/>
        </w:rPr>
        <w:footnoteRef/>
      </w:r>
      <w:r w:rsidRPr="002A6558">
        <w:rPr>
          <w:rtl/>
        </w:rPr>
        <w:t xml:space="preserve"> </w:t>
      </w:r>
      <w:r w:rsidRPr="002A6558">
        <w:rPr>
          <w:rFonts w:cs="David" w:hint="cs"/>
          <w:rtl/>
        </w:rPr>
        <w:t>וראה המאמר עם דברי הביקורת הקשים שכתב ריצ'ארד גולדסטון לגבי ה"שימוע" שקיים טריבונאל</w:t>
      </w:r>
      <w:r>
        <w:rPr>
          <w:rFonts w:cs="David" w:hint="cs"/>
          <w:rtl/>
        </w:rPr>
        <w:t xml:space="preserve"> ראסל</w:t>
      </w:r>
      <w:r w:rsidRPr="002A6558">
        <w:rPr>
          <w:rFonts w:cs="David" w:hint="cs"/>
          <w:rtl/>
        </w:rPr>
        <w:t xml:space="preserve"> כדי להחליט אם מדינת ישראל היא מדינת אפרטהייד: </w:t>
      </w:r>
      <w:r w:rsidRPr="002A6558">
        <w:rPr>
          <w:rFonts w:cs="David"/>
        </w:rPr>
        <w:t xml:space="preserve">Goldstone Richard (2011), Israel and the Apartheid Slander, </w:t>
      </w:r>
      <w:r w:rsidRPr="002A6558">
        <w:rPr>
          <w:rFonts w:cs="David"/>
          <w:b/>
          <w:bCs/>
        </w:rPr>
        <w:t>New York Times</w:t>
      </w:r>
      <w:r w:rsidRPr="002A6558">
        <w:rPr>
          <w:rFonts w:cs="David"/>
        </w:rPr>
        <w:t>, http://www.nytimes.com/2011/11/01/opinion/israel-and-the-apartheid-slander.html?_r=0</w:t>
      </w:r>
    </w:p>
  </w:footnote>
  <w:footnote w:id="19">
    <w:p w:rsidR="009B636F" w:rsidRPr="002A6558" w:rsidRDefault="009B636F" w:rsidP="00397737">
      <w:pPr>
        <w:pStyle w:val="a5"/>
        <w:jc w:val="both"/>
        <w:rPr>
          <w:rtl/>
        </w:rPr>
      </w:pPr>
      <w:r w:rsidRPr="002A6558">
        <w:rPr>
          <w:rStyle w:val="a7"/>
        </w:rPr>
        <w:footnoteRef/>
      </w:r>
      <w:r w:rsidRPr="002A6558">
        <w:rPr>
          <w:rtl/>
        </w:rPr>
        <w:t xml:space="preserve"> </w:t>
      </w:r>
      <w:r w:rsidRPr="002A6558">
        <w:rPr>
          <w:rFonts w:cs="Arial"/>
        </w:rPr>
        <w:t xml:space="preserve">Convention for the Pacific Settlement of International Disputes (29 July 1899), </w:t>
      </w:r>
      <w:r>
        <w:rPr>
          <w:rFonts w:cs="Arial"/>
        </w:rPr>
        <w:t xml:space="preserve">available at </w:t>
      </w:r>
      <w:r w:rsidRPr="002A6558">
        <w:rPr>
          <w:rFonts w:cs="Arial"/>
        </w:rPr>
        <w:t>http://avalon.law.yale.edu/19th_century/hague01.asp</w:t>
      </w:r>
    </w:p>
  </w:footnote>
  <w:footnote w:id="20">
    <w:p w:rsidR="009B636F" w:rsidRPr="002A6558" w:rsidRDefault="009B636F" w:rsidP="00397737">
      <w:pPr>
        <w:pStyle w:val="a5"/>
        <w:jc w:val="both"/>
        <w:rPr>
          <w:rtl/>
        </w:rPr>
      </w:pPr>
      <w:r w:rsidRPr="002A6558">
        <w:rPr>
          <w:rStyle w:val="a7"/>
        </w:rPr>
        <w:footnoteRef/>
      </w:r>
      <w:r w:rsidRPr="002A6558">
        <w:rPr>
          <w:rtl/>
        </w:rPr>
        <w:t xml:space="preserve"> </w:t>
      </w:r>
      <w:r w:rsidRPr="002A6558">
        <w:rPr>
          <w:rFonts w:cs="Arial"/>
        </w:rPr>
        <w:t>Convention for the Pacific Settlement of International Disputes (18 October 1907)</w:t>
      </w:r>
      <w:r w:rsidRPr="002A6558">
        <w:rPr>
          <w:rFonts w:cs="Arial"/>
          <w:b/>
          <w:bCs/>
        </w:rPr>
        <w:t xml:space="preserve">, </w:t>
      </w:r>
      <w:r>
        <w:rPr>
          <w:rFonts w:cs="Arial"/>
        </w:rPr>
        <w:t xml:space="preserve">available at </w:t>
      </w:r>
      <w:r w:rsidRPr="002A6558">
        <w:rPr>
          <w:rFonts w:cs="Arial"/>
        </w:rPr>
        <w:t>http://avalon.law.yale.edu/20th_century/pacific.asp</w:t>
      </w:r>
    </w:p>
  </w:footnote>
  <w:footnote w:id="21">
    <w:p w:rsidR="009B636F" w:rsidRPr="005D2BE8" w:rsidRDefault="009B636F" w:rsidP="00397737">
      <w:pPr>
        <w:pStyle w:val="a5"/>
        <w:jc w:val="both"/>
        <w:rPr>
          <w:rFonts w:cs="David"/>
        </w:rPr>
      </w:pPr>
      <w:r>
        <w:rPr>
          <w:rStyle w:val="a7"/>
        </w:rPr>
        <w:footnoteRef/>
      </w:r>
      <w:r>
        <w:rPr>
          <w:rtl/>
        </w:rPr>
        <w:t xml:space="preserve"> </w:t>
      </w:r>
      <w:r>
        <w:rPr>
          <w:rFonts w:cs="David" w:hint="cs"/>
          <w:rtl/>
        </w:rPr>
        <w:t>ראה סעיף 52 לאמנת ג'נבה הראשונה; סעיף 53 לאמנת ג'נבה השנייה; סעיף 132 לאמנת ג'נבה השלישית; סעיף 149 לאמנת ג'נבה הרביעית.</w:t>
      </w:r>
    </w:p>
  </w:footnote>
  <w:footnote w:id="22">
    <w:p w:rsidR="009B636F" w:rsidRPr="002A6558" w:rsidRDefault="009B636F" w:rsidP="00C6168C">
      <w:pPr>
        <w:pStyle w:val="a5"/>
        <w:jc w:val="both"/>
        <w:rPr>
          <w:rtl/>
        </w:rPr>
      </w:pPr>
      <w:r w:rsidRPr="002A6558">
        <w:rPr>
          <w:rStyle w:val="a7"/>
        </w:rPr>
        <w:footnoteRef/>
      </w:r>
      <w:r w:rsidRPr="002A6558">
        <w:rPr>
          <w:rtl/>
        </w:rPr>
        <w:t xml:space="preserve"> </w:t>
      </w:r>
      <w:r w:rsidRPr="002A6558">
        <w:rPr>
          <w:shd w:val="clear" w:color="auto" w:fill="FFFFFF"/>
        </w:rPr>
        <w:t>Commission on the Responsibility of the Authors of the War and on Enforcement of Penalties</w:t>
      </w:r>
      <w:r>
        <w:rPr>
          <w:shd w:val="clear" w:color="auto" w:fill="FFFFFF"/>
        </w:rPr>
        <w:t xml:space="preserve"> (1920)</w:t>
      </w:r>
      <w:r w:rsidRPr="002A6558">
        <w:rPr>
          <w:shd w:val="clear" w:color="auto" w:fill="FFFFFF"/>
        </w:rPr>
        <w:t xml:space="preserve">, </w:t>
      </w:r>
      <w:r w:rsidRPr="002A6558">
        <w:rPr>
          <w:rFonts w:cs="Arial"/>
          <w:b/>
          <w:bCs/>
          <w:shd w:val="clear" w:color="auto" w:fill="FFFFFF"/>
        </w:rPr>
        <w:t>The American Journal of International Law</w:t>
      </w:r>
      <w:r w:rsidRPr="00EA7880">
        <w:rPr>
          <w:rFonts w:cs="Arial"/>
          <w:shd w:val="clear" w:color="auto" w:fill="FFFFFF"/>
        </w:rPr>
        <w:t>, Vol. 14, No. 1</w:t>
      </w:r>
      <w:r>
        <w:rPr>
          <w:rFonts w:cs="Arial"/>
          <w:shd w:val="clear" w:color="auto" w:fill="FFFFFF"/>
        </w:rPr>
        <w:t>/</w:t>
      </w:r>
      <w:r w:rsidRPr="00EA7880">
        <w:rPr>
          <w:rFonts w:cs="Arial"/>
          <w:shd w:val="clear" w:color="auto" w:fill="FFFFFF"/>
        </w:rPr>
        <w:t>2, pp. 95-154</w:t>
      </w:r>
    </w:p>
  </w:footnote>
  <w:footnote w:id="23">
    <w:p w:rsidR="009B636F" w:rsidRPr="002A6558" w:rsidRDefault="009B636F" w:rsidP="00521ED6">
      <w:pPr>
        <w:pStyle w:val="a5"/>
        <w:jc w:val="both"/>
        <w:rPr>
          <w:rtl/>
        </w:rPr>
      </w:pPr>
      <w:r w:rsidRPr="002A6558">
        <w:rPr>
          <w:rStyle w:val="a7"/>
        </w:rPr>
        <w:footnoteRef/>
      </w:r>
      <w:r w:rsidRPr="002A6558">
        <w:rPr>
          <w:rtl/>
        </w:rPr>
        <w:t xml:space="preserve"> </w:t>
      </w:r>
      <w:r>
        <w:rPr>
          <w:rFonts w:hint="cs"/>
        </w:rPr>
        <w:t>G</w:t>
      </w:r>
      <w:r>
        <w:t xml:space="preserve">erman </w:t>
      </w:r>
      <w:r w:rsidRPr="005D2BE8">
        <w:t>War Trials</w:t>
      </w:r>
      <w:r>
        <w:t xml:space="preserve"> – Report of Proceedings Before the Supreme Court in Leipzig</w:t>
      </w:r>
      <w:r w:rsidRPr="005D2BE8">
        <w:t>,</w:t>
      </w:r>
      <w:r w:rsidRPr="002A6558">
        <w:rPr>
          <w:b/>
          <w:bCs/>
        </w:rPr>
        <w:t xml:space="preserve"> </w:t>
      </w:r>
      <w:r>
        <w:t xml:space="preserve">available at </w:t>
      </w:r>
      <w:r w:rsidRPr="00521ED6">
        <w:t>https://www.icrc.org/ihl-nat.nsf/0/a986f1b231839183c1257641004f12ee/$FILE/German%20war%20trials_1921_EN.PDF</w:t>
      </w:r>
    </w:p>
  </w:footnote>
  <w:footnote w:id="24">
    <w:p w:rsidR="009B636F" w:rsidRPr="002A6558" w:rsidRDefault="009B636F" w:rsidP="00397737">
      <w:pPr>
        <w:pStyle w:val="a5"/>
        <w:jc w:val="both"/>
        <w:rPr>
          <w:rtl/>
        </w:rPr>
      </w:pPr>
      <w:r w:rsidRPr="002A6558">
        <w:rPr>
          <w:rStyle w:val="a7"/>
        </w:rPr>
        <w:footnoteRef/>
      </w:r>
      <w:r w:rsidRPr="002A6558">
        <w:rPr>
          <w:rtl/>
        </w:rPr>
        <w:t xml:space="preserve"> </w:t>
      </w:r>
      <w:r w:rsidRPr="002A6558">
        <w:t>http://www.unwcc.org</w:t>
      </w:r>
      <w:r w:rsidRPr="002A6558">
        <w:rPr>
          <w:rFonts w:cs="Arial"/>
          <w:rtl/>
        </w:rPr>
        <w:t>/</w:t>
      </w:r>
    </w:p>
  </w:footnote>
  <w:footnote w:id="25">
    <w:p w:rsidR="009B636F" w:rsidRPr="002A6558" w:rsidRDefault="009B636F" w:rsidP="00BD696F">
      <w:pPr>
        <w:pStyle w:val="a5"/>
        <w:jc w:val="both"/>
        <w:rPr>
          <w:rtl/>
        </w:rPr>
      </w:pPr>
      <w:r w:rsidRPr="002A6558">
        <w:rPr>
          <w:rStyle w:val="a7"/>
        </w:rPr>
        <w:footnoteRef/>
      </w:r>
      <w:r w:rsidRPr="002A6558">
        <w:rPr>
          <w:rtl/>
        </w:rPr>
        <w:t xml:space="preserve"> </w:t>
      </w:r>
      <w:r w:rsidRPr="002A6558">
        <w:rPr>
          <w:rFonts w:eastAsia="Times New Roman" w:cs="Times New Roman"/>
          <w:kern w:val="36"/>
        </w:rPr>
        <w:t>Nur</w:t>
      </w:r>
      <w:r>
        <w:rPr>
          <w:rFonts w:eastAsia="Times New Roman" w:cs="Times New Roman"/>
          <w:kern w:val="36"/>
        </w:rPr>
        <w:t>n</w:t>
      </w:r>
      <w:r w:rsidRPr="002A6558">
        <w:rPr>
          <w:rFonts w:eastAsia="Times New Roman" w:cs="Times New Roman"/>
          <w:kern w:val="36"/>
        </w:rPr>
        <w:t>berg trials</w:t>
      </w:r>
      <w:r>
        <w:rPr>
          <w:rFonts w:eastAsia="Times New Roman" w:cs="Times New Roman"/>
          <w:kern w:val="36"/>
        </w:rPr>
        <w:t xml:space="preserve"> – World War II Trials</w:t>
      </w:r>
      <w:r w:rsidRPr="002A6558">
        <w:rPr>
          <w:rFonts w:eastAsia="Times New Roman" w:cs="Times New Roman"/>
          <w:kern w:val="36"/>
        </w:rPr>
        <w:t xml:space="preserve">, </w:t>
      </w:r>
      <w:r>
        <w:rPr>
          <w:rFonts w:eastAsia="Times New Roman" w:cs="Times New Roman"/>
          <w:kern w:val="36"/>
        </w:rPr>
        <w:t xml:space="preserve">Encyclopaedia Britannica, available at </w:t>
      </w:r>
      <w:r w:rsidRPr="00BD696F">
        <w:rPr>
          <w:rFonts w:eastAsia="Times New Roman" w:cs="Times New Roman"/>
          <w:kern w:val="36"/>
        </w:rPr>
        <w:t>http://www.britannica.com/event/Nurnberg-trials</w:t>
      </w:r>
    </w:p>
  </w:footnote>
  <w:footnote w:id="26">
    <w:p w:rsidR="009B636F" w:rsidRPr="002A6558" w:rsidRDefault="009B636F" w:rsidP="00BD696F">
      <w:pPr>
        <w:pStyle w:val="a5"/>
        <w:jc w:val="both"/>
        <w:rPr>
          <w:rtl/>
        </w:rPr>
      </w:pPr>
      <w:r w:rsidRPr="002A6558">
        <w:rPr>
          <w:rStyle w:val="a7"/>
        </w:rPr>
        <w:footnoteRef/>
      </w:r>
      <w:r>
        <w:t xml:space="preserve"> </w:t>
      </w:r>
      <w:r w:rsidRPr="001C4D94">
        <w:rPr>
          <w:rFonts w:eastAsia="Times New Roman" w:cs="David"/>
          <w:color w:val="333333"/>
          <w:kern w:val="36"/>
        </w:rPr>
        <w:t>The Nuremberg Trial and the Tokyo War Crimes Trials (1945–1948), U.S. Department of the State – Office of the Historian, https://history.state.gov/milestones/1945-1952/nuremberg</w:t>
      </w:r>
      <w:r w:rsidRPr="002A6558" w:rsidDel="00BD696F">
        <w:t xml:space="preserve"> </w:t>
      </w:r>
    </w:p>
  </w:footnote>
  <w:footnote w:id="27">
    <w:p w:rsidR="009B636F" w:rsidRPr="002A6558" w:rsidRDefault="009B636F" w:rsidP="00397737">
      <w:pPr>
        <w:pStyle w:val="a5"/>
        <w:jc w:val="both"/>
        <w:rPr>
          <w:rtl/>
        </w:rPr>
      </w:pPr>
      <w:r w:rsidRPr="002A6558">
        <w:rPr>
          <w:rStyle w:val="a7"/>
        </w:rPr>
        <w:footnoteRef/>
      </w:r>
      <w:r w:rsidRPr="002A6558">
        <w:rPr>
          <w:rtl/>
        </w:rPr>
        <w:t xml:space="preserve"> </w:t>
      </w:r>
      <w:r w:rsidRPr="002A6558">
        <w:rPr>
          <w:rFonts w:cs="David"/>
        </w:rPr>
        <w:t>Iraqi Special Tribunal to Try Crimes Against Humanity, http://www.hrcr.org/hottopics/iraqitribunal.html</w:t>
      </w:r>
    </w:p>
  </w:footnote>
  <w:footnote w:id="28">
    <w:p w:rsidR="009B636F" w:rsidRPr="002A6558" w:rsidRDefault="009B636F" w:rsidP="00397737">
      <w:pPr>
        <w:pStyle w:val="a5"/>
        <w:jc w:val="both"/>
        <w:rPr>
          <w:rtl/>
        </w:rPr>
      </w:pPr>
      <w:r w:rsidRPr="002A6558">
        <w:rPr>
          <w:rStyle w:val="a7"/>
        </w:rPr>
        <w:footnoteRef/>
      </w:r>
      <w:r w:rsidRPr="002A6558">
        <w:rPr>
          <w:rtl/>
        </w:rPr>
        <w:t xml:space="preserve"> </w:t>
      </w:r>
      <w:r w:rsidRPr="002A6558">
        <w:t>Declaration on fact-finding by the United Nations in the field of the Maintenance of International Peace and Security, A/RES/46/59</w:t>
      </w:r>
      <w:r>
        <w:t>, available at</w:t>
      </w:r>
      <w:r w:rsidRPr="002A6558">
        <w:t xml:space="preserve"> http://www.un.org/documents/ga/res/46/a46r059.htm</w:t>
      </w:r>
    </w:p>
  </w:footnote>
  <w:footnote w:id="29">
    <w:p w:rsidR="009B636F" w:rsidRPr="002A6558" w:rsidRDefault="009B636F" w:rsidP="00397737">
      <w:pPr>
        <w:pStyle w:val="a5"/>
        <w:jc w:val="both"/>
        <w:rPr>
          <w:rtl/>
        </w:rPr>
      </w:pPr>
      <w:r w:rsidRPr="002A6558">
        <w:rPr>
          <w:rStyle w:val="a7"/>
        </w:rPr>
        <w:footnoteRef/>
      </w:r>
      <w:r w:rsidRPr="002A6558">
        <w:rPr>
          <w:rtl/>
        </w:rPr>
        <w:t xml:space="preserve"> </w:t>
      </w:r>
      <w:r w:rsidRPr="002A6558">
        <w:t xml:space="preserve">Berg Axel (1993), The 1991 Declaration on Fact-finding by the United Nations, </w:t>
      </w:r>
      <w:r w:rsidRPr="002A6558">
        <w:rPr>
          <w:b/>
          <w:bCs/>
        </w:rPr>
        <w:t>EJIL</w:t>
      </w:r>
      <w:r w:rsidRPr="002A6558">
        <w:t>, Vol. 4, pp. 107-114,</w:t>
      </w:r>
      <w:r>
        <w:t xml:space="preserve"> available at</w:t>
      </w:r>
      <w:r w:rsidRPr="002A6558">
        <w:t xml:space="preserve"> http://www.ejil.org/pdfs/4/1/1184.pdf </w:t>
      </w:r>
    </w:p>
  </w:footnote>
  <w:footnote w:id="30">
    <w:p w:rsidR="009B636F" w:rsidRPr="009B0C8F" w:rsidRDefault="009B636F" w:rsidP="00397737">
      <w:pPr>
        <w:pStyle w:val="a5"/>
        <w:jc w:val="both"/>
        <w:rPr>
          <w:rFonts w:cs="David"/>
          <w:rtl/>
        </w:rPr>
      </w:pPr>
      <w:r>
        <w:rPr>
          <w:rStyle w:val="a7"/>
        </w:rPr>
        <w:footnoteRef/>
      </w:r>
      <w:r>
        <w:rPr>
          <w:rtl/>
        </w:rPr>
        <w:t xml:space="preserve"> </w:t>
      </w:r>
      <w:r>
        <w:rPr>
          <w:rFonts w:cs="David" w:hint="cs"/>
          <w:rtl/>
        </w:rPr>
        <w:t xml:space="preserve">לרשימה מלאה של ועדות החקירה של האו"ם ראה </w:t>
      </w:r>
      <w:r w:rsidRPr="009B0C8F">
        <w:rPr>
          <w:rFonts w:cs="Arial"/>
        </w:rPr>
        <w:t>International Commissions of Inquiry and Fact-finding Missions, United Nations Library Geneva,</w:t>
      </w:r>
      <w:r w:rsidRPr="00717B91">
        <w:rPr>
          <w:rFonts w:cs="Arial"/>
          <w:b/>
          <w:bCs/>
        </w:rPr>
        <w:t xml:space="preserve"> </w:t>
      </w:r>
      <w:r w:rsidRPr="00717B91">
        <w:rPr>
          <w:rFonts w:cs="Arial"/>
        </w:rPr>
        <w:t>http://libraryresources.unog.ch/factfinding/chronolist</w:t>
      </w:r>
      <w:r>
        <w:rPr>
          <w:rFonts w:cs="Arial" w:hint="cs"/>
          <w:rtl/>
        </w:rPr>
        <w:t>.</w:t>
      </w:r>
    </w:p>
  </w:footnote>
  <w:footnote w:id="31">
    <w:p w:rsidR="009B636F" w:rsidRPr="002A6558" w:rsidRDefault="009B636F" w:rsidP="00397737">
      <w:pPr>
        <w:pStyle w:val="a5"/>
        <w:jc w:val="both"/>
      </w:pPr>
      <w:r w:rsidRPr="002A6558">
        <w:rPr>
          <w:rStyle w:val="a7"/>
        </w:rPr>
        <w:footnoteRef/>
      </w:r>
      <w:r w:rsidRPr="002A6558">
        <w:rPr>
          <w:rtl/>
        </w:rPr>
        <w:t xml:space="preserve"> </w:t>
      </w:r>
      <w:r w:rsidRPr="002A6558">
        <w:t>Charter of the United Nations, United Nations Conference on International Organizations, United Nations, San Francisco, 26 June 1945,</w:t>
      </w:r>
      <w:r>
        <w:t xml:space="preserve"> available at</w:t>
      </w:r>
      <w:r w:rsidRPr="002A6558">
        <w:t xml:space="preserve"> http://www.un.org/en/sections/un-charter/un-charter-full-text/index.html</w:t>
      </w:r>
    </w:p>
  </w:footnote>
  <w:footnote w:id="32">
    <w:p w:rsidR="009B636F" w:rsidRPr="00C17D11" w:rsidRDefault="009B636F" w:rsidP="00397737">
      <w:pPr>
        <w:pStyle w:val="a5"/>
        <w:jc w:val="both"/>
        <w:rPr>
          <w:rtl/>
        </w:rPr>
      </w:pPr>
      <w:r w:rsidRPr="002A6558">
        <w:rPr>
          <w:rStyle w:val="a7"/>
        </w:rPr>
        <w:footnoteRef/>
      </w:r>
      <w:r w:rsidRPr="002A6558">
        <w:rPr>
          <w:rtl/>
        </w:rPr>
        <w:t xml:space="preserve"> </w:t>
      </w:r>
      <w:r w:rsidRPr="0037773D">
        <w:rPr>
          <w:rFonts w:eastAsia="Times New Roman" w:cs="Times New Roman"/>
        </w:rPr>
        <w:t>Pacific Settlements of Disputes (Chapter VI)</w:t>
      </w:r>
      <w:r w:rsidRPr="00C17D11">
        <w:rPr>
          <w:rFonts w:eastAsia="Times New Roman" w:cs="Times New Roman"/>
        </w:rPr>
        <w:t>,</w:t>
      </w:r>
      <w:r w:rsidRPr="0037773D">
        <w:rPr>
          <w:rFonts w:eastAsia="Times New Roman" w:cs="Times New Roman"/>
          <w:b/>
          <w:bCs/>
        </w:rPr>
        <w:t xml:space="preserve"> </w:t>
      </w:r>
      <w:r w:rsidRPr="0037773D">
        <w:rPr>
          <w:rFonts w:cs="Arial"/>
        </w:rPr>
        <w:t>A. Article 33 – Obligations of parties to a dispute, http://www.un.org/en/sc/repertoire/settlements.shtml</w:t>
      </w:r>
    </w:p>
  </w:footnote>
  <w:footnote w:id="33">
    <w:p w:rsidR="009B636F" w:rsidRPr="002A6558" w:rsidRDefault="009B636F" w:rsidP="004A1D72">
      <w:pPr>
        <w:pStyle w:val="a5"/>
        <w:jc w:val="both"/>
        <w:rPr>
          <w:rFonts w:cs="David"/>
        </w:rPr>
      </w:pPr>
      <w:r w:rsidRPr="002A6558">
        <w:rPr>
          <w:rStyle w:val="a7"/>
        </w:rPr>
        <w:footnoteRef/>
      </w:r>
      <w:r w:rsidRPr="002A6558">
        <w:rPr>
          <w:rtl/>
        </w:rPr>
        <w:t xml:space="preserve"> </w:t>
      </w:r>
      <w:r w:rsidRPr="002A6558">
        <w:rPr>
          <w:rFonts w:cs="David" w:hint="cs"/>
          <w:rtl/>
        </w:rPr>
        <w:t>וראה הרחבה לעניין זה בפרק</w:t>
      </w:r>
      <w:r>
        <w:rPr>
          <w:rFonts w:cs="David" w:hint="cs"/>
          <w:rtl/>
        </w:rPr>
        <w:t xml:space="preserve"> השלישי </w:t>
      </w:r>
      <w:r w:rsidRPr="002A6558">
        <w:rPr>
          <w:rFonts w:cs="David" w:hint="cs"/>
          <w:rtl/>
        </w:rPr>
        <w:t>להלן</w:t>
      </w:r>
      <w:r>
        <w:rPr>
          <w:rFonts w:cs="David" w:hint="cs"/>
          <w:rtl/>
        </w:rPr>
        <w:t>,</w:t>
      </w:r>
      <w:r w:rsidRPr="002A6558">
        <w:rPr>
          <w:rFonts w:cs="David" w:hint="cs"/>
          <w:rtl/>
        </w:rPr>
        <w:t xml:space="preserve"> שיעסוק בשיקולים רחבים בקבלת החלטה על שיתוף פעולה עם </w:t>
      </w:r>
      <w:r>
        <w:rPr>
          <w:rFonts w:cs="David" w:hint="cs"/>
          <w:rtl/>
        </w:rPr>
        <w:t xml:space="preserve">ועדות חקירה </w:t>
      </w:r>
      <w:r w:rsidRPr="002A6558">
        <w:rPr>
          <w:rFonts w:cs="David" w:hint="cs"/>
          <w:rtl/>
        </w:rPr>
        <w:t>בינלאומי</w:t>
      </w:r>
      <w:r>
        <w:rPr>
          <w:rFonts w:cs="David" w:hint="cs"/>
          <w:rtl/>
        </w:rPr>
        <w:t>ות.</w:t>
      </w:r>
    </w:p>
  </w:footnote>
  <w:footnote w:id="34">
    <w:p w:rsidR="009B636F" w:rsidRPr="002A6558" w:rsidRDefault="009B636F" w:rsidP="00515158">
      <w:pPr>
        <w:pStyle w:val="a5"/>
        <w:jc w:val="both"/>
      </w:pPr>
      <w:r w:rsidRPr="002A6558">
        <w:rPr>
          <w:rStyle w:val="a7"/>
        </w:rPr>
        <w:footnoteRef/>
      </w:r>
      <w:r w:rsidRPr="002A6558">
        <w:rPr>
          <w:rtl/>
        </w:rPr>
        <w:t xml:space="preserve"> </w:t>
      </w:r>
      <w:r w:rsidRPr="002A6558">
        <w:t xml:space="preserve">Commissions of Inquiry and Fact-Finding Missions on International Human Rights and Humanitarian Law – Guidance and Practice, United Nations Human Rights Office of the High Commissioner, 2015, available at </w:t>
      </w:r>
      <w:r w:rsidRPr="00D44503">
        <w:rPr>
          <w:rFonts w:cs="ת עצמ"/>
        </w:rPr>
        <w:t>http://www.ohchr.org/Documents/Publications/CoI_Guidance_and_Practice.pdf</w:t>
      </w:r>
    </w:p>
  </w:footnote>
  <w:footnote w:id="35">
    <w:p w:rsidR="009B636F" w:rsidRPr="002A6558" w:rsidRDefault="009B636F" w:rsidP="00397737">
      <w:pPr>
        <w:pStyle w:val="a5"/>
        <w:jc w:val="both"/>
      </w:pPr>
      <w:r w:rsidRPr="002A6558">
        <w:rPr>
          <w:rStyle w:val="a7"/>
        </w:rPr>
        <w:footnoteRef/>
      </w:r>
      <w:r w:rsidRPr="002A6558">
        <w:rPr>
          <w:rtl/>
        </w:rPr>
        <w:t xml:space="preserve"> </w:t>
      </w:r>
      <w:r w:rsidRPr="002A6558">
        <w:t>Note to the Chef de Cabinet, Executive Office of the Secretary-General, on the establishment of a commission of inquiry into the assassination of Benazir Bhutto,</w:t>
      </w:r>
      <w:r w:rsidRPr="002A6558">
        <w:rPr>
          <w:rFonts w:hint="cs"/>
        </w:rPr>
        <w:t xml:space="preserve"> U</w:t>
      </w:r>
      <w:r w:rsidRPr="002A6558">
        <w:t xml:space="preserve">nited Nations Juridical Yearbook 2008, Part 2, Chapter VI, p. 434, </w:t>
      </w:r>
      <w:r>
        <w:t xml:space="preserve">available at </w:t>
      </w:r>
      <w:r w:rsidRPr="002A6558">
        <w:t>http://legal.un.org/UNJuridicalYearbook/html/volumes/2008/dtSearch/Search_Forms/dtSearch.html</w:t>
      </w:r>
    </w:p>
  </w:footnote>
  <w:footnote w:id="36">
    <w:p w:rsidR="009B636F" w:rsidRPr="002A6558" w:rsidRDefault="009B636F" w:rsidP="00397737">
      <w:pPr>
        <w:pStyle w:val="a5"/>
        <w:jc w:val="both"/>
      </w:pPr>
      <w:r w:rsidRPr="002A6558">
        <w:rPr>
          <w:rStyle w:val="a7"/>
        </w:rPr>
        <w:footnoteRef/>
      </w:r>
      <w:r w:rsidRPr="002A6558">
        <w:rPr>
          <w:rtl/>
        </w:rPr>
        <w:t xml:space="preserve"> </w:t>
      </w:r>
      <w:r w:rsidRPr="002A6558">
        <w:t>S/RES/780 (1992), http://www.un.org/en/ga/search/view_doc.asp?symbol=S/RES/780(1992</w:t>
      </w:r>
      <w:r w:rsidRPr="002A6558">
        <w:rPr>
          <w:rFonts w:cs="Arial"/>
        </w:rPr>
        <w:t>)</w:t>
      </w:r>
    </w:p>
  </w:footnote>
  <w:footnote w:id="37">
    <w:p w:rsidR="009B636F" w:rsidRPr="002A6558" w:rsidRDefault="009B636F" w:rsidP="00397737">
      <w:pPr>
        <w:pStyle w:val="a5"/>
        <w:jc w:val="both"/>
      </w:pPr>
      <w:r w:rsidRPr="002A6558">
        <w:rPr>
          <w:rStyle w:val="a7"/>
        </w:rPr>
        <w:footnoteRef/>
      </w:r>
      <w:r w:rsidRPr="002A6558">
        <w:rPr>
          <w:rtl/>
        </w:rPr>
        <w:t xml:space="preserve"> </w:t>
      </w:r>
      <w:r w:rsidRPr="002A6558">
        <w:t>S/RES/935 (1994), http://www.un.org/en/ga/search/view_doc.asp?symbol=S/RES/935(1994</w:t>
      </w:r>
      <w:r w:rsidRPr="002A6558">
        <w:rPr>
          <w:rFonts w:cs="Arial"/>
        </w:rPr>
        <w:t>)</w:t>
      </w:r>
    </w:p>
  </w:footnote>
  <w:footnote w:id="38">
    <w:p w:rsidR="009B636F" w:rsidRPr="002A6558" w:rsidRDefault="009B636F" w:rsidP="00397737">
      <w:pPr>
        <w:pStyle w:val="a5"/>
        <w:jc w:val="both"/>
      </w:pPr>
      <w:r w:rsidRPr="002A6558">
        <w:rPr>
          <w:rStyle w:val="a7"/>
        </w:rPr>
        <w:footnoteRef/>
      </w:r>
      <w:r w:rsidRPr="002A6558">
        <w:rPr>
          <w:rtl/>
        </w:rPr>
        <w:t xml:space="preserve"> </w:t>
      </w:r>
      <w:r w:rsidRPr="002A6558">
        <w:t>S/RES/1012 (1995), http://www.un.org/en/ga/search/view_doc.asp?symbol=S/RES/1012(1995</w:t>
      </w:r>
      <w:r w:rsidRPr="002A6558">
        <w:rPr>
          <w:rFonts w:cs="Arial"/>
        </w:rPr>
        <w:t>)</w:t>
      </w:r>
    </w:p>
  </w:footnote>
  <w:footnote w:id="39">
    <w:p w:rsidR="009B636F" w:rsidRPr="002A6558" w:rsidRDefault="009B636F" w:rsidP="00397737">
      <w:pPr>
        <w:pStyle w:val="a5"/>
        <w:jc w:val="both"/>
      </w:pPr>
      <w:r w:rsidRPr="002A6558">
        <w:rPr>
          <w:rStyle w:val="a7"/>
        </w:rPr>
        <w:footnoteRef/>
      </w:r>
      <w:r w:rsidRPr="002A6558">
        <w:rPr>
          <w:rtl/>
        </w:rPr>
        <w:t xml:space="preserve"> </w:t>
      </w:r>
      <w:r w:rsidRPr="002A6558">
        <w:t>S/RES/827 (1993), http://www.un.org/en/ga/search/view_doc.asp?symbol=S/RES/827(1993</w:t>
      </w:r>
      <w:r w:rsidRPr="002A6558">
        <w:rPr>
          <w:rFonts w:cs="Arial"/>
        </w:rPr>
        <w:t>)</w:t>
      </w:r>
    </w:p>
  </w:footnote>
  <w:footnote w:id="40">
    <w:p w:rsidR="009B636F" w:rsidRPr="002A6558" w:rsidRDefault="009B636F" w:rsidP="00397737">
      <w:pPr>
        <w:pStyle w:val="a5"/>
        <w:jc w:val="both"/>
      </w:pPr>
      <w:r w:rsidRPr="002A6558">
        <w:rPr>
          <w:rStyle w:val="a7"/>
        </w:rPr>
        <w:footnoteRef/>
      </w:r>
      <w:r w:rsidRPr="002A6558">
        <w:rPr>
          <w:rtl/>
        </w:rPr>
        <w:t xml:space="preserve"> </w:t>
      </w:r>
      <w:r w:rsidRPr="002A6558">
        <w:t>S/RES/955 (1994), http://www.un.org/ga/search/view_doc.asp?symbol=S/RES/955(1994</w:t>
      </w:r>
      <w:r w:rsidRPr="002A6558">
        <w:rPr>
          <w:rFonts w:cs="Arial"/>
        </w:rPr>
        <w:t>)</w:t>
      </w:r>
    </w:p>
  </w:footnote>
  <w:footnote w:id="41">
    <w:p w:rsidR="009B636F" w:rsidRPr="002A6558" w:rsidRDefault="009B636F" w:rsidP="00397737">
      <w:pPr>
        <w:pStyle w:val="a5"/>
        <w:jc w:val="both"/>
      </w:pPr>
      <w:r w:rsidRPr="002A6558">
        <w:rPr>
          <w:rStyle w:val="a7"/>
        </w:rPr>
        <w:footnoteRef/>
      </w:r>
      <w:r w:rsidRPr="002A6558">
        <w:rPr>
          <w:rtl/>
        </w:rPr>
        <w:t xml:space="preserve"> </w:t>
      </w:r>
      <w:r w:rsidRPr="002A6558">
        <w:rPr>
          <w:rFonts w:cs="David" w:hint="cs"/>
          <w:rtl/>
        </w:rPr>
        <w:t>בתי הדין הוקמו מכוח סעיף 41 למגילת האו"ם, המתייחס לסמכותה של מועצת הביטחון לנקוט צעדים שאינם כוללים שימוש בכוח מזוין, חרף הטענה ש</w:t>
      </w:r>
      <w:r>
        <w:rPr>
          <w:rFonts w:cs="David" w:hint="cs"/>
          <w:rtl/>
        </w:rPr>
        <w:t>הע</w:t>
      </w:r>
      <w:r w:rsidRPr="002A6558">
        <w:rPr>
          <w:rFonts w:cs="David" w:hint="cs"/>
          <w:rtl/>
        </w:rPr>
        <w:t>ל</w:t>
      </w:r>
      <w:r>
        <w:rPr>
          <w:rFonts w:cs="David" w:hint="cs"/>
          <w:rtl/>
        </w:rPr>
        <w:t>ו</w:t>
      </w:r>
      <w:r w:rsidRPr="002A6558">
        <w:rPr>
          <w:rFonts w:cs="David" w:hint="cs"/>
          <w:rtl/>
        </w:rPr>
        <w:t xml:space="preserve"> חלק מהמדינות כי אין למועצה סמכות להקים בית דין מכוח הסעיף. ראה</w:t>
      </w:r>
      <w:r w:rsidRPr="002A6558">
        <w:rPr>
          <w:rFonts w:hint="cs"/>
          <w:rtl/>
        </w:rPr>
        <w:t xml:space="preserve"> </w:t>
      </w:r>
      <w:r>
        <w:t xml:space="preserve">International Tribunals, </w:t>
      </w:r>
      <w:r w:rsidRPr="002A6558">
        <w:t>http://www.un.org/en/sc/repertoire/subsidiary_organs/international_tribunals.shtml</w:t>
      </w:r>
    </w:p>
  </w:footnote>
  <w:footnote w:id="42">
    <w:p w:rsidR="009B636F" w:rsidRPr="002A6558" w:rsidRDefault="009B636F" w:rsidP="00397737">
      <w:pPr>
        <w:pStyle w:val="a5"/>
        <w:jc w:val="both"/>
        <w:rPr>
          <w:rtl/>
        </w:rPr>
      </w:pPr>
      <w:r w:rsidRPr="002A6558">
        <w:rPr>
          <w:rStyle w:val="a7"/>
        </w:rPr>
        <w:footnoteRef/>
      </w:r>
      <w:r w:rsidRPr="002A6558">
        <w:rPr>
          <w:rtl/>
        </w:rPr>
        <w:t xml:space="preserve"> </w:t>
      </w:r>
      <w:r>
        <w:t xml:space="preserve">Final Report to the Prosecutor by the Committee Established to Review the NATO Bombing Campaign Against the Federal Republic of Yugoslavia, available at </w:t>
      </w:r>
      <w:r w:rsidRPr="002A6558">
        <w:t>http://www.icty.org/en/press/final-report-prosecutor-committee-established-review-nato-bombing-campaign-against-federal</w:t>
      </w:r>
    </w:p>
  </w:footnote>
  <w:footnote w:id="43">
    <w:p w:rsidR="009B636F" w:rsidRPr="002A6558" w:rsidRDefault="009B636F" w:rsidP="00397737">
      <w:pPr>
        <w:pStyle w:val="a5"/>
        <w:jc w:val="both"/>
      </w:pPr>
      <w:r w:rsidRPr="002A6558">
        <w:rPr>
          <w:rStyle w:val="a7"/>
        </w:rPr>
        <w:footnoteRef/>
      </w:r>
      <w:r w:rsidRPr="002A6558">
        <w:rPr>
          <w:rtl/>
        </w:rPr>
        <w:t xml:space="preserve"> </w:t>
      </w:r>
      <w:r w:rsidRPr="002A6558">
        <w:t>S/RES/1564 (2004) http://www.un.org/en/ga/search/view_doc.asp?symbol=S/RES/1564(2004</w:t>
      </w:r>
      <w:r w:rsidRPr="002A6558">
        <w:rPr>
          <w:rFonts w:cs="Arial"/>
        </w:rPr>
        <w:t>)</w:t>
      </w:r>
    </w:p>
  </w:footnote>
  <w:footnote w:id="44">
    <w:p w:rsidR="009B636F" w:rsidRPr="002A6558" w:rsidRDefault="009B636F" w:rsidP="00397737">
      <w:pPr>
        <w:pStyle w:val="a5"/>
        <w:jc w:val="both"/>
        <w:rPr>
          <w:b/>
          <w:bCs/>
        </w:rPr>
      </w:pPr>
      <w:r w:rsidRPr="002A6558">
        <w:rPr>
          <w:rStyle w:val="a7"/>
        </w:rPr>
        <w:footnoteRef/>
      </w:r>
      <w:r w:rsidRPr="002A6558">
        <w:rPr>
          <w:rtl/>
        </w:rPr>
        <w:t xml:space="preserve"> </w:t>
      </w:r>
      <w:r w:rsidRPr="002A6558">
        <w:t xml:space="preserve">Shraga Daphna (2009), Commissions of Inquiry, in </w:t>
      </w:r>
      <w:r w:rsidRPr="002A6558">
        <w:rPr>
          <w:b/>
          <w:bCs/>
        </w:rPr>
        <w:t>The Oxford Companion to International Criminal Justice</w:t>
      </w:r>
      <w:r w:rsidRPr="002A6558">
        <w:t>, pp. 272-274</w:t>
      </w:r>
    </w:p>
  </w:footnote>
  <w:footnote w:id="45">
    <w:p w:rsidR="009B636F" w:rsidRPr="002A6558" w:rsidRDefault="009B636F" w:rsidP="00397737">
      <w:pPr>
        <w:pStyle w:val="a5"/>
        <w:jc w:val="both"/>
      </w:pPr>
      <w:r w:rsidRPr="002A6558">
        <w:rPr>
          <w:rStyle w:val="a7"/>
        </w:rPr>
        <w:footnoteRef/>
      </w:r>
      <w:r w:rsidRPr="002A6558">
        <w:rPr>
          <w:rtl/>
        </w:rPr>
        <w:t xml:space="preserve"> </w:t>
      </w:r>
      <w:r w:rsidRPr="002A6558">
        <w:t>S/RES/1593 (2005), http://www.un.org/en/ga/search/view_doc.asp?symbol=S/RES/1593(2005</w:t>
      </w:r>
      <w:r w:rsidRPr="002A6558">
        <w:rPr>
          <w:rFonts w:cs="Arial"/>
        </w:rPr>
        <w:t>)</w:t>
      </w:r>
    </w:p>
  </w:footnote>
  <w:footnote w:id="46">
    <w:p w:rsidR="009B636F" w:rsidRPr="002A6558" w:rsidRDefault="009B636F" w:rsidP="00397737">
      <w:pPr>
        <w:pStyle w:val="a5"/>
        <w:jc w:val="both"/>
        <w:rPr>
          <w:rtl/>
        </w:rPr>
      </w:pPr>
      <w:r w:rsidRPr="002A6558">
        <w:rPr>
          <w:rStyle w:val="a7"/>
        </w:rPr>
        <w:footnoteRef/>
      </w:r>
      <w:r w:rsidRPr="002A6558">
        <w:rPr>
          <w:rtl/>
        </w:rPr>
        <w:t xml:space="preserve"> </w:t>
      </w:r>
      <w:r w:rsidRPr="002A6558">
        <w:rPr>
          <w:rFonts w:cs="David" w:hint="cs"/>
          <w:rtl/>
        </w:rPr>
        <w:t>שהוחלפה מאוחר יותר</w:t>
      </w:r>
      <w:r>
        <w:rPr>
          <w:rFonts w:cs="David" w:hint="cs"/>
          <w:rtl/>
        </w:rPr>
        <w:t xml:space="preserve"> על ידי </w:t>
      </w:r>
      <w:r w:rsidRPr="002A6558">
        <w:rPr>
          <w:rFonts w:cs="David" w:hint="cs"/>
          <w:rtl/>
        </w:rPr>
        <w:t>מועצת זכויות האדם</w:t>
      </w:r>
    </w:p>
  </w:footnote>
  <w:footnote w:id="47">
    <w:p w:rsidR="009B636F" w:rsidRPr="002A6558" w:rsidRDefault="009B636F" w:rsidP="00397737">
      <w:pPr>
        <w:pStyle w:val="a5"/>
        <w:jc w:val="both"/>
      </w:pPr>
      <w:r w:rsidRPr="002A6558">
        <w:rPr>
          <w:rStyle w:val="a7"/>
        </w:rPr>
        <w:footnoteRef/>
      </w:r>
      <w:r w:rsidRPr="002A6558">
        <w:rPr>
          <w:rtl/>
        </w:rPr>
        <w:t xml:space="preserve"> </w:t>
      </w:r>
      <w:r>
        <w:t xml:space="preserve">Commission On Human Rights Report on the Fourth Special Session (23 - 27 September 1999), </w:t>
      </w:r>
      <w:r w:rsidRPr="002A6558">
        <w:t>E/1999/23/Add.1, E/CN.4/1999/167/Add.1,</w:t>
      </w:r>
      <w:r>
        <w:t xml:space="preserve"> available at</w:t>
      </w:r>
      <w:r w:rsidRPr="002A6558">
        <w:t xml:space="preserve"> http://www.un.org/documents/ecosoc/docs/1999/e1999-23a.pdf</w:t>
      </w:r>
    </w:p>
  </w:footnote>
  <w:footnote w:id="48">
    <w:p w:rsidR="009B636F" w:rsidRPr="002A6558" w:rsidRDefault="009B636F" w:rsidP="00397737">
      <w:pPr>
        <w:pStyle w:val="a5"/>
        <w:jc w:val="both"/>
      </w:pPr>
      <w:r w:rsidRPr="002A6558">
        <w:rPr>
          <w:rStyle w:val="a7"/>
        </w:rPr>
        <w:footnoteRef/>
      </w:r>
      <w:r w:rsidRPr="002A6558">
        <w:rPr>
          <w:rtl/>
        </w:rPr>
        <w:t xml:space="preserve"> </w:t>
      </w:r>
      <w:r w:rsidRPr="002A6558">
        <w:t>Note by the High Commissioner for Human Rights transmitting the report of the International Commission of Inquiry for Togo,</w:t>
      </w:r>
      <w:r>
        <w:t xml:space="preserve"> E/CN.4/2001/134, available at</w:t>
      </w:r>
      <w:r w:rsidRPr="002A6558">
        <w:t xml:space="preserve"> https://documents-dds-ny.un.org/doc/UNDOC/GEN/G01/115/25/PDF/G0111525.pdf?OpenElement</w:t>
      </w:r>
    </w:p>
  </w:footnote>
  <w:footnote w:id="49">
    <w:p w:rsidR="009B636F" w:rsidRPr="002A6558" w:rsidRDefault="009B636F" w:rsidP="00397737">
      <w:pPr>
        <w:pStyle w:val="a5"/>
        <w:jc w:val="both"/>
      </w:pPr>
      <w:r w:rsidRPr="002A6558">
        <w:rPr>
          <w:rStyle w:val="a7"/>
        </w:rPr>
        <w:footnoteRef/>
      </w:r>
      <w:r w:rsidRPr="002A6558">
        <w:rPr>
          <w:rtl/>
        </w:rPr>
        <w:t xml:space="preserve"> </w:t>
      </w:r>
      <w:r w:rsidRPr="002A6558">
        <w:t>S/RES/1690 (2006), http://www.un.org/en/ga/search/view_doc.asp?symbol=S/RES/1690(2006</w:t>
      </w:r>
      <w:r w:rsidRPr="002A6558">
        <w:rPr>
          <w:rFonts w:cs="Arial"/>
        </w:rPr>
        <w:t>)</w:t>
      </w:r>
    </w:p>
  </w:footnote>
  <w:footnote w:id="50">
    <w:p w:rsidR="009B636F" w:rsidRPr="002A6558" w:rsidRDefault="009B636F" w:rsidP="00397737">
      <w:pPr>
        <w:pStyle w:val="a5"/>
        <w:jc w:val="both"/>
      </w:pPr>
      <w:r w:rsidRPr="002A6558">
        <w:rPr>
          <w:rStyle w:val="a7"/>
        </w:rPr>
        <w:footnoteRef/>
      </w:r>
      <w:r w:rsidRPr="002A6558">
        <w:rPr>
          <w:rtl/>
        </w:rPr>
        <w:t xml:space="preserve"> </w:t>
      </w:r>
      <w:r w:rsidRPr="002A6558">
        <w:t>S/RES/2127 (2013), http://www.un.org/en/ga/search/view_doc.asp?symbol=S/RES/2127(2013</w:t>
      </w:r>
      <w:r w:rsidRPr="002A6558">
        <w:rPr>
          <w:rFonts w:cs="Arial"/>
        </w:rPr>
        <w:t>)</w:t>
      </w:r>
    </w:p>
  </w:footnote>
  <w:footnote w:id="51">
    <w:p w:rsidR="009B636F" w:rsidRPr="002A6558" w:rsidRDefault="009B636F" w:rsidP="00023FE5">
      <w:pPr>
        <w:pStyle w:val="a5"/>
        <w:jc w:val="both"/>
        <w:rPr>
          <w:rtl/>
        </w:rPr>
      </w:pPr>
      <w:r w:rsidRPr="002A6558">
        <w:rPr>
          <w:rStyle w:val="a7"/>
        </w:rPr>
        <w:footnoteRef/>
      </w:r>
      <w:r w:rsidRPr="002A6558">
        <w:rPr>
          <w:rtl/>
        </w:rPr>
        <w:t xml:space="preserve"> </w:t>
      </w:r>
      <w:r>
        <w:t xml:space="preserve">Letter dated 28 October 2009 from the Secretary-General addressed to the President of the Security Council, </w:t>
      </w:r>
      <w:r w:rsidRPr="002A6558">
        <w:t xml:space="preserve">S/2009/556, </w:t>
      </w:r>
      <w:r>
        <w:t xml:space="preserve">available at </w:t>
      </w:r>
      <w:r w:rsidRPr="002A6558">
        <w:t>http://www.securitycouncilreport.org/atf/cf/%7B65BFCF9B-6D27-4E9C-8CD3-CF6E4FF96FF9%7D/Guinea%20S%20PRST%202009%20556.pdf</w:t>
      </w:r>
    </w:p>
  </w:footnote>
  <w:footnote w:id="52">
    <w:p w:rsidR="009B636F" w:rsidRPr="002A6558" w:rsidRDefault="009B636F" w:rsidP="00023FE5">
      <w:pPr>
        <w:pStyle w:val="a5"/>
        <w:jc w:val="both"/>
        <w:rPr>
          <w:rtl/>
        </w:rPr>
      </w:pPr>
      <w:r w:rsidRPr="002A6558">
        <w:rPr>
          <w:rStyle w:val="a7"/>
        </w:rPr>
        <w:footnoteRef/>
      </w:r>
      <w:r w:rsidRPr="002A6558">
        <w:rPr>
          <w:rtl/>
        </w:rPr>
        <w:t xml:space="preserve"> </w:t>
      </w:r>
      <w:r>
        <w:t xml:space="preserve">Resolution adopted by the Council at its fifteenth special session, S-15/1. Situation of human rights in the Libyan Arab Jamahiriya, </w:t>
      </w:r>
      <w:r w:rsidRPr="002A6558">
        <w:t xml:space="preserve">A/HRC/S-15/1, </w:t>
      </w:r>
      <w:r>
        <w:t xml:space="preserve">available at </w:t>
      </w:r>
      <w:r w:rsidRPr="002A6558">
        <w:t>http://www2.ohchr.org/english/bodies/hrcouncil/docs/15session/HRC-S-15-1_AUV.pdf</w:t>
      </w:r>
    </w:p>
  </w:footnote>
  <w:footnote w:id="53">
    <w:p w:rsidR="009B636F" w:rsidRPr="002A6558" w:rsidRDefault="009B636F" w:rsidP="00397737">
      <w:pPr>
        <w:pStyle w:val="a5"/>
        <w:jc w:val="both"/>
      </w:pPr>
      <w:r w:rsidRPr="002A6558">
        <w:rPr>
          <w:rStyle w:val="a7"/>
        </w:rPr>
        <w:footnoteRef/>
      </w:r>
      <w:r w:rsidRPr="002A6558">
        <w:rPr>
          <w:rtl/>
        </w:rPr>
        <w:t xml:space="preserve"> </w:t>
      </w:r>
      <w:r>
        <w:sym w:font="Symbol" w:char="F02A"/>
      </w:r>
      <w:r>
        <w:t xml:space="preserve">Resolution adopted by the Human Rights Council, 22/13. Situation of human rights in the Democratic People’s Republic of Korea, </w:t>
      </w:r>
      <w:r w:rsidRPr="002A6558">
        <w:t xml:space="preserve">A/HRC/RES/22/13, </w:t>
      </w:r>
      <w:r>
        <w:t xml:space="preserve">available at </w:t>
      </w:r>
      <w:r w:rsidRPr="002A6558">
        <w:t>http://www.mofa.go.kr/mofat/htm/issue/nk_humanrights22_2013.pdf</w:t>
      </w:r>
    </w:p>
  </w:footnote>
  <w:footnote w:id="54">
    <w:p w:rsidR="009B636F" w:rsidRPr="002A6558" w:rsidRDefault="009B636F" w:rsidP="00397737">
      <w:pPr>
        <w:pStyle w:val="a5"/>
        <w:jc w:val="both"/>
      </w:pPr>
      <w:r w:rsidRPr="002A6558">
        <w:rPr>
          <w:rStyle w:val="a7"/>
        </w:rPr>
        <w:footnoteRef/>
      </w:r>
      <w:r w:rsidRPr="002A6558">
        <w:rPr>
          <w:rtl/>
        </w:rPr>
        <w:t xml:space="preserve"> </w:t>
      </w:r>
      <w:r>
        <w:t xml:space="preserve">Resolution adopted by the Human Rights Council, 25/1. Promoting reconciliation, accountability and human rights in Sri Lanka, </w:t>
      </w:r>
      <w:r w:rsidRPr="002A6558">
        <w:t xml:space="preserve">A/HRC/RES/25/1, </w:t>
      </w:r>
      <w:r>
        <w:t xml:space="preserve">available at </w:t>
      </w:r>
      <w:r w:rsidRPr="002A6558">
        <w:t>https://documents-dds-ny.un.org/doc/UNDOC/GEN/G14/132/86/PDF/G1413286.pdf?OpenElement</w:t>
      </w:r>
    </w:p>
  </w:footnote>
  <w:footnote w:id="55">
    <w:p w:rsidR="009B636F" w:rsidRPr="002A6558" w:rsidRDefault="009B636F" w:rsidP="00397737">
      <w:pPr>
        <w:pStyle w:val="a5"/>
        <w:jc w:val="both"/>
      </w:pPr>
      <w:r w:rsidRPr="002A6558">
        <w:rPr>
          <w:rStyle w:val="a7"/>
        </w:rPr>
        <w:footnoteRef/>
      </w:r>
      <w:r w:rsidRPr="002A6558">
        <w:rPr>
          <w:rtl/>
        </w:rPr>
        <w:t xml:space="preserve"> </w:t>
      </w:r>
      <w:r>
        <w:t>Resolution adopted by the Human Rights Council, S-16/1. The current human rights situation in the Syrian Arab Republic in the context of recent events,</w:t>
      </w:r>
      <w:r w:rsidRPr="002A6558">
        <w:t xml:space="preserve"> A/HRC/RES/S-16/1,</w:t>
      </w:r>
      <w:r>
        <w:t xml:space="preserve"> available at </w:t>
      </w:r>
      <w:r w:rsidRPr="002A6558">
        <w:t>http://www.lcil.cam.ac.uk/sites/default/files/LCIL/documents/arabspring/syria/Syria_5_Resolution_Human_Rights_Council.pdf</w:t>
      </w:r>
    </w:p>
  </w:footnote>
  <w:footnote w:id="56">
    <w:p w:rsidR="009B636F" w:rsidRPr="002A6558" w:rsidRDefault="009B636F" w:rsidP="00397737">
      <w:pPr>
        <w:pStyle w:val="a5"/>
        <w:jc w:val="both"/>
      </w:pPr>
      <w:r w:rsidRPr="002A6558">
        <w:rPr>
          <w:rStyle w:val="a7"/>
        </w:rPr>
        <w:footnoteRef/>
      </w:r>
      <w:r w:rsidRPr="002A6558">
        <w:rPr>
          <w:rtl/>
        </w:rPr>
        <w:t xml:space="preserve"> </w:t>
      </w:r>
      <w:r w:rsidRPr="002A6558">
        <w:t>S-17/1. Situation of human rights in the Syrian Arab Republic, http://www.ohchr.org/Documents/HRBodies/HRCouncil/CoISyria/ResS17_1.pdf</w:t>
      </w:r>
    </w:p>
  </w:footnote>
  <w:footnote w:id="57">
    <w:p w:rsidR="009B636F" w:rsidRDefault="009B636F">
      <w:pPr>
        <w:pStyle w:val="a5"/>
      </w:pPr>
      <w:r>
        <w:rPr>
          <w:rStyle w:val="a7"/>
        </w:rPr>
        <w:footnoteRef/>
      </w:r>
      <w:r>
        <w:rPr>
          <w:rtl/>
        </w:rPr>
        <w:t xml:space="preserve"> </w:t>
      </w:r>
      <w:r w:rsidRPr="00A94E5F">
        <w:rPr>
          <w:rFonts w:cs="David" w:hint="cs"/>
          <w:rtl/>
        </w:rPr>
        <w:t>ראה</w:t>
      </w:r>
      <w:r w:rsidRPr="00A94E5F">
        <w:rPr>
          <w:rFonts w:cs="David"/>
          <w:rtl/>
        </w:rPr>
        <w:t xml:space="preserve"> </w:t>
      </w:r>
      <w:r w:rsidRPr="00A94E5F">
        <w:rPr>
          <w:rFonts w:cs="David" w:hint="cs"/>
          <w:rtl/>
        </w:rPr>
        <w:t>ה</w:t>
      </w:r>
      <w:r w:rsidRPr="00A94E5F">
        <w:rPr>
          <w:rFonts w:cs="David"/>
          <w:rtl/>
        </w:rPr>
        <w:t>"</w:t>
      </w:r>
      <w:r w:rsidRPr="00A94E5F">
        <w:rPr>
          <w:rFonts w:cs="David" w:hint="cs"/>
          <w:rtl/>
        </w:rPr>
        <w:t>ש</w:t>
      </w:r>
      <w:r w:rsidRPr="00A94E5F">
        <w:rPr>
          <w:rFonts w:cs="David"/>
          <w:rtl/>
        </w:rPr>
        <w:t xml:space="preserve"> </w:t>
      </w:r>
      <w:fldSimple w:instr=" NOTEREF _Ref455327530 \h  \* MERGEFORMAT ">
        <w:r w:rsidRPr="00A94E5F">
          <w:rPr>
            <w:rFonts w:cs="David"/>
            <w:rtl/>
          </w:rPr>
          <w:t>34</w:t>
        </w:r>
      </w:fldSimple>
      <w:r w:rsidRPr="00A94E5F">
        <w:rPr>
          <w:rFonts w:cs="David"/>
          <w:rtl/>
        </w:rPr>
        <w:t xml:space="preserve"> </w:t>
      </w:r>
      <w:r w:rsidRPr="00A94E5F">
        <w:rPr>
          <w:rFonts w:cs="David" w:hint="cs"/>
          <w:rtl/>
        </w:rPr>
        <w:t>לעיל</w:t>
      </w:r>
      <w:r w:rsidRPr="00A94E5F">
        <w:rPr>
          <w:rFonts w:cs="David"/>
          <w:rtl/>
        </w:rPr>
        <w:t>.</w:t>
      </w:r>
    </w:p>
  </w:footnote>
  <w:footnote w:id="58">
    <w:p w:rsidR="009B636F" w:rsidRPr="002A6558" w:rsidRDefault="009B636F" w:rsidP="00397737">
      <w:pPr>
        <w:pStyle w:val="a5"/>
        <w:jc w:val="both"/>
        <w:rPr>
          <w:rtl/>
        </w:rPr>
      </w:pPr>
      <w:r w:rsidRPr="002A6558">
        <w:rPr>
          <w:rStyle w:val="a7"/>
        </w:rPr>
        <w:footnoteRef/>
      </w:r>
      <w:r w:rsidRPr="002A6558">
        <w:rPr>
          <w:rtl/>
        </w:rPr>
        <w:t xml:space="preserve"> </w:t>
      </w:r>
      <w:r>
        <w:t xml:space="preserve">The Secretary General &amp; Mediation, </w:t>
      </w:r>
      <w:r w:rsidRPr="002A6558">
        <w:t>http://peacemaker.un.org/peacemaking-mandate/secretary-general</w:t>
      </w:r>
    </w:p>
  </w:footnote>
  <w:footnote w:id="59">
    <w:p w:rsidR="009B636F" w:rsidRPr="002A6558" w:rsidRDefault="009B636F" w:rsidP="00397737">
      <w:pPr>
        <w:pStyle w:val="a5"/>
        <w:jc w:val="both"/>
        <w:rPr>
          <w:rtl/>
        </w:rPr>
      </w:pPr>
      <w:r w:rsidRPr="002A6558">
        <w:rPr>
          <w:rStyle w:val="a7"/>
        </w:rPr>
        <w:footnoteRef/>
      </w:r>
      <w:r w:rsidRPr="002A6558">
        <w:rPr>
          <w:rtl/>
        </w:rPr>
        <w:t xml:space="preserve"> </w:t>
      </w:r>
      <w:r w:rsidRPr="002A6558">
        <w:rPr>
          <w:rFonts w:cs="David" w:hint="cs"/>
          <w:rtl/>
        </w:rPr>
        <w:t>וראה לעניין זה</w:t>
      </w:r>
      <w:r w:rsidRPr="002A6558">
        <w:rPr>
          <w:rFonts w:hint="cs"/>
          <w:rtl/>
        </w:rPr>
        <w:t xml:space="preserve"> </w:t>
      </w:r>
      <w:r w:rsidRPr="002A6558">
        <w:t xml:space="preserve">Parisi Piergiuseppe (2012), Finding The Crime: The Fact-Finding Mission on the Gaza Conflict Through the Lenses of International Criminal Justice, Università Degli Studi Di Trento, p.9, http://www.penalecontemporaneo.it/upload/1364555822Tesi_Parisi.pdf </w:t>
      </w:r>
    </w:p>
  </w:footnote>
  <w:footnote w:id="60">
    <w:p w:rsidR="009B636F" w:rsidRPr="002A6558" w:rsidRDefault="009B636F" w:rsidP="00397737">
      <w:pPr>
        <w:pStyle w:val="a5"/>
        <w:jc w:val="both"/>
      </w:pPr>
      <w:r w:rsidRPr="002A6558">
        <w:rPr>
          <w:rStyle w:val="a7"/>
        </w:rPr>
        <w:footnoteRef/>
      </w:r>
      <w:r w:rsidRPr="002A6558">
        <w:rPr>
          <w:rtl/>
        </w:rPr>
        <w:t xml:space="preserve"> </w:t>
      </w:r>
      <w:r w:rsidRPr="002A6558">
        <w:t>S/RES/1757 (2007), http://www.un.org/en/ga/search/view_doc.asp?symbol=S/RES/1757(2007</w:t>
      </w:r>
      <w:r w:rsidRPr="002A6558">
        <w:rPr>
          <w:rFonts w:cs="Arial"/>
        </w:rPr>
        <w:t>)</w:t>
      </w:r>
    </w:p>
  </w:footnote>
  <w:footnote w:id="61">
    <w:p w:rsidR="009B636F" w:rsidRPr="002A6558" w:rsidRDefault="009B636F" w:rsidP="00397737">
      <w:pPr>
        <w:pStyle w:val="a5"/>
        <w:jc w:val="both"/>
        <w:rPr>
          <w:rFonts w:cs="David"/>
          <w:rtl/>
        </w:rPr>
      </w:pPr>
      <w:r w:rsidRPr="002A6558">
        <w:rPr>
          <w:rStyle w:val="a7"/>
        </w:rPr>
        <w:footnoteRef/>
      </w:r>
      <w:r w:rsidRPr="002A6558">
        <w:rPr>
          <w:rtl/>
        </w:rPr>
        <w:t xml:space="preserve"> </w:t>
      </w:r>
      <w:r w:rsidRPr="002A6558">
        <w:rPr>
          <w:rFonts w:cs="David" w:hint="cs"/>
          <w:rtl/>
        </w:rPr>
        <w:t>סעיף 10 למגילת האו"ם קובע, בין היתר, כי לעצרת הכללית יש סמכות לפעול בכל העניינים שנופלים בגדר המגילה, ולהמליץ למועצת הביטחון בעניינים הללו.</w:t>
      </w:r>
    </w:p>
  </w:footnote>
  <w:footnote w:id="62">
    <w:p w:rsidR="009B636F" w:rsidRPr="002A6558" w:rsidRDefault="009B636F" w:rsidP="00397737">
      <w:pPr>
        <w:pStyle w:val="a5"/>
        <w:jc w:val="both"/>
        <w:rPr>
          <w:rtl/>
        </w:rPr>
      </w:pPr>
      <w:r w:rsidRPr="002A6558">
        <w:rPr>
          <w:rStyle w:val="a7"/>
        </w:rPr>
        <w:footnoteRef/>
      </w:r>
      <w:r w:rsidRPr="002A6558">
        <w:rPr>
          <w:rtl/>
        </w:rPr>
        <w:t xml:space="preserve"> </w:t>
      </w:r>
      <w:r w:rsidRPr="002A6558">
        <w:rPr>
          <w:rFonts w:eastAsia="Times New Roman" w:cs="Times New Roman"/>
        </w:rPr>
        <w:t>Respect for human rights in armed conflicts : report of the Secretary-General, A/8052, available at http://repository.un.org/handle/11176/139076</w:t>
      </w:r>
    </w:p>
  </w:footnote>
  <w:footnote w:id="63">
    <w:p w:rsidR="009B636F" w:rsidRPr="002A6558" w:rsidRDefault="009B636F" w:rsidP="00397737">
      <w:pPr>
        <w:pStyle w:val="a5"/>
        <w:jc w:val="both"/>
        <w:rPr>
          <w:rtl/>
        </w:rPr>
      </w:pPr>
      <w:r w:rsidRPr="002A6558">
        <w:rPr>
          <w:rStyle w:val="a7"/>
        </w:rPr>
        <w:footnoteRef/>
      </w:r>
      <w:r w:rsidRPr="002A6558">
        <w:rPr>
          <w:rtl/>
        </w:rPr>
        <w:t xml:space="preserve"> </w:t>
      </w:r>
      <w:r w:rsidRPr="002A6558">
        <w:t>Protocol Additional to the Geneva Conventions of 12 August 1949, and relating to the Protection of Victims of International Armed Conflicts (Protocol I), 8 June 1977, available at https://www.icrc.org/ihl/INTRO/470</w:t>
      </w:r>
    </w:p>
  </w:footnote>
  <w:footnote w:id="64">
    <w:p w:rsidR="009B636F" w:rsidRPr="002A6558" w:rsidRDefault="009B636F" w:rsidP="00397737">
      <w:pPr>
        <w:pStyle w:val="a5"/>
        <w:jc w:val="both"/>
      </w:pPr>
      <w:r w:rsidRPr="002A6558">
        <w:rPr>
          <w:rStyle w:val="a7"/>
        </w:rPr>
        <w:footnoteRef/>
      </w:r>
      <w:r w:rsidRPr="002A6558">
        <w:rPr>
          <w:rtl/>
        </w:rPr>
        <w:t xml:space="preserve"> </w:t>
      </w:r>
      <w:r>
        <w:t xml:space="preserve">States Parties, IHFFC, </w:t>
      </w:r>
      <w:r w:rsidRPr="002A6558">
        <w:t>http://www.ihffc.org/index.asp?Language=EN&amp;page=statesparties_list&amp;listfilter=off</w:t>
      </w:r>
    </w:p>
  </w:footnote>
  <w:footnote w:id="65">
    <w:p w:rsidR="009B636F" w:rsidRPr="002A6558" w:rsidRDefault="009B636F" w:rsidP="00CF66CE">
      <w:pPr>
        <w:pStyle w:val="a5"/>
        <w:jc w:val="both"/>
      </w:pPr>
      <w:r w:rsidRPr="002A6558">
        <w:rPr>
          <w:rStyle w:val="a7"/>
        </w:rPr>
        <w:footnoteRef/>
      </w:r>
      <w:r w:rsidRPr="002A6558">
        <w:rPr>
          <w:rtl/>
        </w:rPr>
        <w:t xml:space="preserve"> </w:t>
      </w:r>
      <w:r>
        <w:t>UN Headquarters Compound</w:t>
      </w:r>
      <w:r w:rsidRPr="002A6558">
        <w:t xml:space="preserve">, </w:t>
      </w:r>
      <w:r w:rsidRPr="00D44503">
        <w:rPr>
          <w:b/>
          <w:bCs/>
        </w:rPr>
        <w:t>Global Security.org</w:t>
      </w:r>
      <w:r>
        <w:t xml:space="preserve">, </w:t>
      </w:r>
      <w:r w:rsidRPr="00CF66CE">
        <w:t>http://www.globalsecurity.org/military/world/iraq/un-hq-baghdad-bombing.htm</w:t>
      </w:r>
    </w:p>
  </w:footnote>
  <w:footnote w:id="66">
    <w:p w:rsidR="009B636F" w:rsidRPr="002A6558" w:rsidRDefault="009B636F" w:rsidP="00CF66CE">
      <w:pPr>
        <w:pStyle w:val="a5"/>
        <w:jc w:val="both"/>
        <w:rPr>
          <w:rtl/>
        </w:rPr>
      </w:pPr>
      <w:r w:rsidRPr="002A6558">
        <w:rPr>
          <w:rStyle w:val="a7"/>
        </w:rPr>
        <w:footnoteRef/>
      </w:r>
      <w:r w:rsidRPr="002A6558">
        <w:rPr>
          <w:rtl/>
        </w:rPr>
        <w:t xml:space="preserve"> </w:t>
      </w:r>
      <w:r>
        <w:t>Roggio Bill (2007)</w:t>
      </w:r>
      <w:r w:rsidRPr="002A6558">
        <w:t xml:space="preserve">, </w:t>
      </w:r>
      <w:r>
        <w:t xml:space="preserve">Al Qaeda hits UN offices, courts, police station in Algiers, </w:t>
      </w:r>
      <w:r>
        <w:rPr>
          <w:b/>
          <w:bCs/>
        </w:rPr>
        <w:t xml:space="preserve">The Long War </w:t>
      </w:r>
      <w:r w:rsidRPr="00D44503">
        <w:t>Journal</w:t>
      </w:r>
      <w:r>
        <w:t xml:space="preserve">, </w:t>
      </w:r>
      <w:r w:rsidRPr="00CF66CE">
        <w:t>http://www.longwarjournal.org/archives/2007/12/al_qaeda_hits_un_off.php</w:t>
      </w:r>
    </w:p>
  </w:footnote>
  <w:footnote w:id="67">
    <w:p w:rsidR="009B636F" w:rsidRPr="002A6558" w:rsidRDefault="009B636F" w:rsidP="00397737">
      <w:pPr>
        <w:pStyle w:val="a5"/>
        <w:jc w:val="both"/>
        <w:rPr>
          <w:rFonts w:cs="David"/>
          <w:rtl/>
        </w:rPr>
      </w:pPr>
      <w:r w:rsidRPr="002A6558">
        <w:rPr>
          <w:rStyle w:val="a7"/>
        </w:rPr>
        <w:footnoteRef/>
      </w:r>
      <w:r w:rsidRPr="002A6558">
        <w:rPr>
          <w:rtl/>
        </w:rPr>
        <w:t xml:space="preserve"> </w:t>
      </w:r>
      <w:r w:rsidRPr="002A6558">
        <w:rPr>
          <w:rFonts w:cs="David" w:hint="cs"/>
          <w:rtl/>
        </w:rPr>
        <w:t>ד"ר שרגא סבורה שגם הדוחות על עיראק ואלג'יריה פורסמו, כמו הדוחות על המבצעים של ישראל בעזה, שיוזכרו בהמשך, אך בחיפוש במרשתת לא נמצאו הדוחות האמורים או דוחות כלשהם אחרים מלבד הדוחות על המבצעים הישראליים בעזה.</w:t>
      </w:r>
    </w:p>
  </w:footnote>
  <w:footnote w:id="68">
    <w:p w:rsidR="009B636F" w:rsidRDefault="009B636F">
      <w:pPr>
        <w:pStyle w:val="a5"/>
        <w:jc w:val="both"/>
        <w:rPr>
          <w:rtl/>
        </w:rPr>
      </w:pPr>
      <w:r>
        <w:rPr>
          <w:rStyle w:val="a7"/>
        </w:rPr>
        <w:footnoteRef/>
      </w:r>
      <w:r>
        <w:rPr>
          <w:rtl/>
        </w:rPr>
        <w:t xml:space="preserve"> </w:t>
      </w:r>
      <w:r w:rsidRPr="00D44503">
        <w:rPr>
          <w:rFonts w:cs="David" w:hint="cs"/>
          <w:rtl/>
        </w:rPr>
        <w:t>היום</w:t>
      </w:r>
      <w:r w:rsidRPr="00D44503">
        <w:rPr>
          <w:rFonts w:cs="David"/>
          <w:rtl/>
        </w:rPr>
        <w:t xml:space="preserve"> </w:t>
      </w:r>
      <w:r w:rsidRPr="00D44503">
        <w:rPr>
          <w:rFonts w:cs="David" w:hint="cs"/>
          <w:rtl/>
        </w:rPr>
        <w:t>שגריר</w:t>
      </w:r>
      <w:r w:rsidRPr="00D44503">
        <w:rPr>
          <w:rFonts w:cs="David"/>
          <w:rtl/>
        </w:rPr>
        <w:t xml:space="preserve"> </w:t>
      </w:r>
      <w:r w:rsidRPr="00D44503">
        <w:rPr>
          <w:rFonts w:cs="David" w:hint="cs"/>
          <w:rtl/>
        </w:rPr>
        <w:t>נורבגיה</w:t>
      </w:r>
      <w:r w:rsidRPr="00D44503">
        <w:rPr>
          <w:rFonts w:cs="David"/>
          <w:rtl/>
        </w:rPr>
        <w:t xml:space="preserve"> </w:t>
      </w:r>
      <w:r w:rsidRPr="00D44503">
        <w:rPr>
          <w:rFonts w:cs="David" w:hint="cs"/>
          <w:rtl/>
        </w:rPr>
        <w:t>לאו</w:t>
      </w:r>
      <w:r w:rsidRPr="00D44503">
        <w:rPr>
          <w:rFonts w:cs="David"/>
          <w:rtl/>
        </w:rPr>
        <w:t>"</w:t>
      </w:r>
      <w:r w:rsidRPr="00D44503">
        <w:rPr>
          <w:rFonts w:cs="David" w:hint="cs"/>
          <w:rtl/>
        </w:rPr>
        <w:t>ם</w:t>
      </w:r>
    </w:p>
  </w:footnote>
  <w:footnote w:id="69">
    <w:p w:rsidR="009B636F" w:rsidRPr="002A6558" w:rsidRDefault="009B636F" w:rsidP="00397737">
      <w:pPr>
        <w:pStyle w:val="a5"/>
        <w:jc w:val="both"/>
      </w:pPr>
      <w:r w:rsidRPr="002A6558">
        <w:rPr>
          <w:rStyle w:val="a7"/>
        </w:rPr>
        <w:footnoteRef/>
      </w:r>
      <w:r w:rsidRPr="002A6558">
        <w:rPr>
          <w:rtl/>
        </w:rPr>
        <w:t xml:space="preserve"> </w:t>
      </w:r>
      <w:r w:rsidRPr="002A6558">
        <w:rPr>
          <w:rFonts w:cs="David" w:hint="cs"/>
          <w:rtl/>
        </w:rPr>
        <w:t xml:space="preserve">ראה לעניין זה: </w:t>
      </w:r>
      <w:r w:rsidRPr="002A6558">
        <w:t xml:space="preserve">Security Council to Discuss Draft Resolution on Middle East, </w:t>
      </w:r>
      <w:hyperlink r:id="rId4" w:history="1">
        <w:r w:rsidRPr="002A6558">
          <w:t>https://unispal.un.org/DPA/DPR/unispal.nsf/0/CC2BA38AD897B94985256F24006BC5C3</w:t>
        </w:r>
      </w:hyperlink>
      <w:r w:rsidRPr="002A6558">
        <w:t xml:space="preserve">; Weizman Steve (2004), Israel backs off charges that U.N. ran rockets for Palestinians. U.N. sends mission of inquiry, </w:t>
      </w:r>
      <w:r w:rsidRPr="002A6558">
        <w:rPr>
          <w:b/>
          <w:bCs/>
        </w:rPr>
        <w:t>San Diego Union Tribune</w:t>
      </w:r>
      <w:r w:rsidRPr="002A6558">
        <w:t xml:space="preserve">, </w:t>
      </w:r>
      <w:hyperlink r:id="rId5" w:history="1">
        <w:r w:rsidRPr="002A6558">
          <w:t>http://legacy.sandiegouniontribune.com/news/world/20041005-1516-israel-un.html</w:t>
        </w:r>
      </w:hyperlink>
      <w:r w:rsidRPr="002A6558">
        <w:t>;</w:t>
      </w:r>
      <w:r>
        <w:t xml:space="preserve"> </w:t>
      </w:r>
      <w:r w:rsidRPr="002A6558">
        <w:rPr>
          <w:rFonts w:cs="David"/>
        </w:rPr>
        <w:t>Harel Amos (</w:t>
      </w:r>
      <w:r w:rsidRPr="002A6558">
        <w:t>2004), UN challenges Israel on UNRWA terror link claim,</w:t>
      </w:r>
      <w:r>
        <w:t xml:space="preserve"> </w:t>
      </w:r>
      <w:r w:rsidRPr="002A6558">
        <w:rPr>
          <w:b/>
          <w:bCs/>
        </w:rPr>
        <w:t>Haaretz</w:t>
      </w:r>
      <w:r w:rsidRPr="002A6558">
        <w:t xml:space="preserve">, </w:t>
      </w:r>
      <w:hyperlink r:id="rId6" w:history="1">
        <w:r w:rsidRPr="002A6558">
          <w:t>http://list2.mcgill.ca/scripts/wa.exe?A2=ind0410a&amp;L=fofognet&amp;T=0&amp;F=&amp;S=&amp;P=4988</w:t>
        </w:r>
      </w:hyperlink>
      <w:r w:rsidRPr="002A6558">
        <w:t xml:space="preserve">; Plushnik Masti Ramit (2004) </w:t>
      </w:r>
      <w:hyperlink r:id="rId7" w:tgtFrame="_self" w:history="1">
        <w:r w:rsidRPr="002A6558">
          <w:t>Israel to decry U.N. Hamas hirings</w:t>
        </w:r>
      </w:hyperlink>
      <w:r w:rsidRPr="002A6558">
        <w:t xml:space="preserve">, </w:t>
      </w:r>
      <w:r w:rsidRPr="002A6558">
        <w:rPr>
          <w:b/>
          <w:bCs/>
        </w:rPr>
        <w:t>Free Republic</w:t>
      </w:r>
      <w:r w:rsidRPr="002A6558">
        <w:t xml:space="preserve">, </w:t>
      </w:r>
      <w:hyperlink r:id="rId8" w:history="1">
        <w:r w:rsidRPr="002A6558">
          <w:t>http://www.freerepublic.com/focus/f-news/1237295/posts</w:t>
        </w:r>
      </w:hyperlink>
      <w:r w:rsidRPr="002A6558">
        <w:t xml:space="preserve">; Israel softens UN ambulance claim (2004), </w:t>
      </w:r>
      <w:r w:rsidRPr="002A6558">
        <w:rPr>
          <w:b/>
          <w:bCs/>
        </w:rPr>
        <w:t>BBC News</w:t>
      </w:r>
      <w:r w:rsidRPr="002A6558">
        <w:t>, http://news.bbc.co.uk/2/hi/middle_east/3716930.stm</w:t>
      </w:r>
      <w:r>
        <w:rPr>
          <w:rFonts w:hint="cs"/>
          <w:rtl/>
        </w:rPr>
        <w:t>.</w:t>
      </w:r>
    </w:p>
  </w:footnote>
  <w:footnote w:id="70">
    <w:p w:rsidR="009B636F" w:rsidRPr="002A6558" w:rsidRDefault="009B636F" w:rsidP="00397737">
      <w:pPr>
        <w:pStyle w:val="a5"/>
        <w:jc w:val="both"/>
        <w:rPr>
          <w:b/>
          <w:bCs/>
        </w:rPr>
      </w:pPr>
      <w:r w:rsidRPr="002A6558">
        <w:rPr>
          <w:rStyle w:val="a7"/>
        </w:rPr>
        <w:footnoteRef/>
      </w:r>
      <w:r w:rsidRPr="002A6558">
        <w:rPr>
          <w:rtl/>
        </w:rPr>
        <w:t xml:space="preserve"> </w:t>
      </w:r>
      <w:r w:rsidRPr="002A6558">
        <w:rPr>
          <w:rStyle w:val="aa"/>
          <w:rFonts w:cs="Lucida Grande"/>
          <w:b w:val="0"/>
          <w:bCs w:val="0"/>
          <w:bdr w:val="none" w:sz="0" w:space="0" w:color="auto" w:frame="1"/>
          <w:shd w:val="clear" w:color="auto" w:fill="FFFFFF"/>
        </w:rPr>
        <w:t>Council Decision 2008/901/CFSP of 2 December 2008 concerning an independent international fact-finding mission on the conflict in Georgia,</w:t>
      </w:r>
      <w:r>
        <w:rPr>
          <w:rStyle w:val="aa"/>
          <w:rFonts w:cs="Lucida Grande"/>
          <w:b w:val="0"/>
          <w:bCs w:val="0"/>
          <w:bdr w:val="none" w:sz="0" w:space="0" w:color="auto" w:frame="1"/>
          <w:shd w:val="clear" w:color="auto" w:fill="FFFFFF"/>
        </w:rPr>
        <w:t xml:space="preserve"> available at</w:t>
      </w:r>
      <w:r w:rsidRPr="002A6558">
        <w:rPr>
          <w:rStyle w:val="aa"/>
          <w:rFonts w:cs="Lucida Grande"/>
          <w:b w:val="0"/>
          <w:bCs w:val="0"/>
          <w:bdr w:val="none" w:sz="0" w:space="0" w:color="auto" w:frame="1"/>
          <w:shd w:val="clear" w:color="auto" w:fill="FFFFFF"/>
        </w:rPr>
        <w:t xml:space="preserve"> http://eur-lex.europa.eu/legal-content/EN/TXT/PDF/?uri=CELEX:32008D0901&amp;from=EN</w:t>
      </w:r>
    </w:p>
  </w:footnote>
  <w:footnote w:id="71">
    <w:p w:rsidR="009B636F" w:rsidRPr="002A6558" w:rsidRDefault="009B636F" w:rsidP="005C7C5F">
      <w:pPr>
        <w:pStyle w:val="a5"/>
        <w:jc w:val="both"/>
      </w:pPr>
      <w:r w:rsidRPr="002A6558">
        <w:rPr>
          <w:rStyle w:val="a7"/>
        </w:rPr>
        <w:footnoteRef/>
      </w:r>
      <w:r w:rsidRPr="002A6558">
        <w:rPr>
          <w:rtl/>
        </w:rPr>
        <w:t xml:space="preserve"> </w:t>
      </w:r>
      <w:r w:rsidRPr="002A6558">
        <w:rPr>
          <w:rFonts w:cs="David" w:hint="cs"/>
          <w:rtl/>
        </w:rPr>
        <w:t xml:space="preserve">שני יובל (2010), </w:t>
      </w:r>
      <w:r w:rsidRPr="002A6558">
        <w:rPr>
          <w:rFonts w:ascii="Arial" w:eastAsia="Times New Roman" w:hAnsi="Arial" w:cs="David"/>
          <w:rtl/>
        </w:rPr>
        <w:t>כמו כלים שלובים: ריבונות המדינה בעידן החוקתיזציה של המשפט הבין-לאומי</w:t>
      </w:r>
      <w:r w:rsidRPr="002A6558">
        <w:rPr>
          <w:rFonts w:ascii="Arial" w:eastAsia="Times New Roman" w:hAnsi="Arial" w:cs="David" w:hint="cs"/>
          <w:rtl/>
        </w:rPr>
        <w:t xml:space="preserve">, פרלמנט, המכון הישראלי לדמוקרטיה, גיליון 65, </w:t>
      </w:r>
      <w:r w:rsidRPr="002A6558">
        <w:rPr>
          <w:rFonts w:eastAsia="Times New Roman" w:cs="David"/>
        </w:rPr>
        <w:t>http://www.idi.org.il/%D7%A1%D7%A4%D7%A8%D7%99%D7%9D-%D7%95%D7%9E%D7%90%D7%9E%D7%A8%D7%99%D7%9D/%D7%A4%D7%A8%D7%9C%D7%9E%D7%A0%D7%98/%D7%92%D7%99%D7%9C%D7%99%D7%95%D7%9F-65/%D7%9B%D7%9E%D7%95-%D7%9B%D7%9C%D7%99%D7%9D-%D7%A9%D7%9C%D7%95%D7%91%D7%99%D7%9D-%D7%A8%D7%99%D7%91%D7%95%D7%A0%D7%95%D7%AA-%D7%94%D7%9E%D7%93%D7%99%D7%A0%D7%94-%D7%91%D7%A2%D7%99%D7%93%D7%9F-%D7%94%D7%97%D7%95%D7%A7%D7%AA%D7%99%D7%96%D7%A6%D7%99%D7%94-%D7%A9%D7%9C-%D7%94%D7%9E%D7%A9%D7%A4%D7%98-%D7%94%D7%91%D7%99%D7%9F-%D7%9C%D7%90%D7%95%D7%9E%D7%99</w:t>
      </w:r>
      <w:r w:rsidRPr="002A6558">
        <w:rPr>
          <w:rFonts w:eastAsia="Times New Roman" w:cs="David"/>
          <w:rtl/>
        </w:rPr>
        <w:t>/</w:t>
      </w:r>
    </w:p>
  </w:footnote>
  <w:footnote w:id="72">
    <w:p w:rsidR="009B636F" w:rsidRPr="002A6558" w:rsidRDefault="009B636F" w:rsidP="005C7C5F">
      <w:pPr>
        <w:spacing w:after="0" w:line="240" w:lineRule="auto"/>
        <w:jc w:val="both"/>
        <w:rPr>
          <w:sz w:val="20"/>
          <w:szCs w:val="20"/>
          <w:rtl/>
        </w:rPr>
      </w:pPr>
      <w:r w:rsidRPr="002A6558">
        <w:rPr>
          <w:rStyle w:val="a7"/>
          <w:sz w:val="20"/>
          <w:szCs w:val="20"/>
        </w:rPr>
        <w:footnoteRef/>
      </w:r>
      <w:r w:rsidRPr="002A6558">
        <w:rPr>
          <w:sz w:val="20"/>
          <w:szCs w:val="20"/>
          <w:rtl/>
        </w:rPr>
        <w:t xml:space="preserve"> </w:t>
      </w:r>
      <w:r w:rsidRPr="002A6558">
        <w:rPr>
          <w:rFonts w:cs="David" w:hint="cs"/>
          <w:sz w:val="20"/>
          <w:szCs w:val="20"/>
          <w:rtl/>
        </w:rPr>
        <w:t>בסיס לתפיסה זו ניתן למצוא עוד בפסיקת בית הדין הקבוע לצדק בינלאומי בהאג (</w:t>
      </w:r>
      <w:r w:rsidRPr="002A6558">
        <w:rPr>
          <w:rFonts w:cs="David"/>
          <w:sz w:val="20"/>
          <w:szCs w:val="20"/>
        </w:rPr>
        <w:t>Permanent Court of International Justice – PCIJ</w:t>
      </w:r>
      <w:r w:rsidRPr="002A6558">
        <w:rPr>
          <w:rFonts w:cs="David" w:hint="cs"/>
          <w:sz w:val="20"/>
          <w:szCs w:val="20"/>
          <w:rtl/>
        </w:rPr>
        <w:t xml:space="preserve">) שקדם לבית הדין הבינלאומי לצדק ופעל בשנים 1922-1946. ראה </w:t>
      </w:r>
      <w:r w:rsidRPr="002A6558">
        <w:rPr>
          <w:sz w:val="20"/>
          <w:szCs w:val="20"/>
        </w:rPr>
        <w:t xml:space="preserve">Spiermann Ole (2004), </w:t>
      </w:r>
      <w:r w:rsidRPr="002A6558">
        <w:rPr>
          <w:b/>
          <w:bCs/>
          <w:sz w:val="20"/>
          <w:szCs w:val="20"/>
        </w:rPr>
        <w:t>International Legal Argument in the Permanent Court of International Justice - The Rise of the International Judiciary</w:t>
      </w:r>
      <w:r w:rsidRPr="002A6558">
        <w:rPr>
          <w:sz w:val="20"/>
          <w:szCs w:val="20"/>
        </w:rPr>
        <w:t>, Cambridge, New York, p. 68</w:t>
      </w:r>
    </w:p>
  </w:footnote>
  <w:footnote w:id="73">
    <w:p w:rsidR="009B636F" w:rsidRPr="002A6558" w:rsidRDefault="009B636F" w:rsidP="005C7C5F">
      <w:pPr>
        <w:pStyle w:val="a5"/>
        <w:jc w:val="both"/>
        <w:rPr>
          <w:rFonts w:cs="David"/>
          <w:rtl/>
        </w:rPr>
      </w:pPr>
      <w:r w:rsidRPr="002A6558">
        <w:rPr>
          <w:rStyle w:val="a7"/>
        </w:rPr>
        <w:footnoteRef/>
      </w:r>
      <w:r w:rsidRPr="002A6558">
        <w:rPr>
          <w:rtl/>
        </w:rPr>
        <w:t xml:space="preserve"> </w:t>
      </w:r>
      <w:r w:rsidRPr="002A6558">
        <w:rPr>
          <w:rFonts w:cs="David" w:hint="cs"/>
          <w:rtl/>
        </w:rPr>
        <w:t>סעיף 2(3) למגילת האו"ם</w:t>
      </w:r>
    </w:p>
  </w:footnote>
  <w:footnote w:id="74">
    <w:p w:rsidR="009B636F" w:rsidRPr="002A6558" w:rsidRDefault="009B636F" w:rsidP="005C7C5F">
      <w:pPr>
        <w:pStyle w:val="a5"/>
        <w:jc w:val="both"/>
      </w:pPr>
      <w:r w:rsidRPr="002A6558">
        <w:rPr>
          <w:rStyle w:val="a7"/>
        </w:rPr>
        <w:footnoteRef/>
      </w:r>
      <w:r w:rsidRPr="002A6558">
        <w:rPr>
          <w:rtl/>
        </w:rPr>
        <w:t xml:space="preserve"> </w:t>
      </w:r>
      <w:r w:rsidRPr="002A6558">
        <w:rPr>
          <w:rFonts w:cs="David" w:hint="cs"/>
          <w:rtl/>
        </w:rPr>
        <w:t>סעיף 2(4) למגילת האו"ם</w:t>
      </w:r>
    </w:p>
  </w:footnote>
  <w:footnote w:id="75">
    <w:p w:rsidR="009B636F" w:rsidRPr="002A6558" w:rsidRDefault="009B636F" w:rsidP="005C7C5F">
      <w:pPr>
        <w:pStyle w:val="a5"/>
        <w:jc w:val="both"/>
        <w:rPr>
          <w:rFonts w:cs="David"/>
          <w:rtl/>
        </w:rPr>
      </w:pPr>
      <w:r w:rsidRPr="002A6558">
        <w:rPr>
          <w:rStyle w:val="a7"/>
        </w:rPr>
        <w:footnoteRef/>
      </w:r>
      <w:r w:rsidRPr="002A6558">
        <w:rPr>
          <w:rtl/>
        </w:rPr>
        <w:t xml:space="preserve"> </w:t>
      </w:r>
      <w:r w:rsidRPr="002A6558">
        <w:rPr>
          <w:rFonts w:cs="David" w:hint="cs"/>
          <w:rtl/>
        </w:rPr>
        <w:t xml:space="preserve">יסודותיה של תפיסה זו במשנתו של עמנואל קאנט. ראה </w:t>
      </w:r>
      <w:r w:rsidRPr="002A6558">
        <w:rPr>
          <w:rFonts w:eastAsia="Times New Roman" w:cs="David"/>
        </w:rPr>
        <w:t xml:space="preserve">Maliks Reidar, Follesdal Andreas (2014), </w:t>
      </w:r>
      <w:r w:rsidRPr="002A6558">
        <w:rPr>
          <w:rFonts w:eastAsia="Times New Roman" w:cs="David"/>
          <w:b/>
          <w:bCs/>
        </w:rPr>
        <w:t>Kantian Theory and Human Rights</w:t>
      </w:r>
      <w:r w:rsidRPr="002A6558">
        <w:rPr>
          <w:rFonts w:eastAsia="Times New Roman" w:cs="David"/>
        </w:rPr>
        <w:t>, Routledge, New York, pp. 1-7</w:t>
      </w:r>
      <w:r w:rsidRPr="002A6558">
        <w:rPr>
          <w:rFonts w:hint="cs"/>
          <w:rtl/>
        </w:rPr>
        <w:t xml:space="preserve">. </w:t>
      </w:r>
      <w:r w:rsidRPr="002A6558">
        <w:rPr>
          <w:rFonts w:cs="David" w:hint="cs"/>
          <w:rtl/>
        </w:rPr>
        <w:t xml:space="preserve">לעניין הקשר בין זכויות האדם לשלום בעולם ולחובתו של האו"ם להתערב במקרים של הפרת זכויות אדם, מאלפים במיוחד הם הדברים שנשא מזכ"ל האו"ם הקודם, קופי אנאן, בפני העצרת הכללית ביום 20.09.99, ואשר ראויים מאוד לקריאה במלואם: </w:t>
      </w:r>
      <w:r w:rsidRPr="002A6558">
        <w:rPr>
          <w:rFonts w:cs="Helvetica"/>
        </w:rPr>
        <w:t>Secretary-General Presents His Annual Report to General Assembly, Press Release, SG/SM/7136</w:t>
      </w:r>
      <w:r>
        <w:rPr>
          <w:rStyle w:val="apple-converted-space"/>
          <w:rFonts w:cs="Helvetica"/>
        </w:rPr>
        <w:t>,</w:t>
      </w:r>
      <w:r w:rsidRPr="002A6558">
        <w:rPr>
          <w:rFonts w:cs="Helvetica"/>
        </w:rPr>
        <w:t xml:space="preserve"> GA/9596, http://www.un.org/press/en/1999/19990920.sgsm7136.html</w:t>
      </w:r>
    </w:p>
  </w:footnote>
  <w:footnote w:id="76">
    <w:p w:rsidR="009B636F" w:rsidRPr="002A6558" w:rsidRDefault="009B636F" w:rsidP="005C7C5F">
      <w:pPr>
        <w:pStyle w:val="a5"/>
        <w:jc w:val="both"/>
        <w:rPr>
          <w:rFonts w:cs="David"/>
          <w:rtl/>
        </w:rPr>
      </w:pPr>
      <w:r w:rsidRPr="002A6558">
        <w:rPr>
          <w:rStyle w:val="a7"/>
        </w:rPr>
        <w:footnoteRef/>
      </w:r>
      <w:r w:rsidRPr="002A6558">
        <w:rPr>
          <w:rtl/>
        </w:rPr>
        <w:t xml:space="preserve"> </w:t>
      </w:r>
      <w:r w:rsidRPr="002A6558">
        <w:rPr>
          <w:rFonts w:cs="David" w:hint="cs"/>
          <w:rtl/>
        </w:rPr>
        <w:t>ראה, לדוגמה, סעיפים 1 ו-2 למגילת האו"ם.</w:t>
      </w:r>
    </w:p>
  </w:footnote>
  <w:footnote w:id="77">
    <w:p w:rsidR="009B636F" w:rsidRPr="002A6558" w:rsidRDefault="009B636F" w:rsidP="005C7C5F">
      <w:pPr>
        <w:pStyle w:val="a5"/>
        <w:jc w:val="both"/>
        <w:rPr>
          <w:rtl/>
        </w:rPr>
      </w:pPr>
      <w:r w:rsidRPr="002A6558">
        <w:rPr>
          <w:rStyle w:val="a7"/>
        </w:rPr>
        <w:footnoteRef/>
      </w:r>
      <w:r w:rsidRPr="002A6558">
        <w:rPr>
          <w:rtl/>
        </w:rPr>
        <w:t xml:space="preserve"> </w:t>
      </w:r>
      <w:r w:rsidRPr="002A6558">
        <w:rPr>
          <w:rFonts w:cs="David" w:hint="cs"/>
          <w:rtl/>
        </w:rPr>
        <w:t xml:space="preserve">סיבל רובי (2010), אזרחות וזכויות האדם, בתוך סיבל רובי, </w:t>
      </w:r>
      <w:r w:rsidRPr="002A6558">
        <w:rPr>
          <w:rFonts w:cs="David" w:hint="cs"/>
          <w:b/>
          <w:bCs/>
          <w:rtl/>
        </w:rPr>
        <w:t>משפט בינלאומי</w:t>
      </w:r>
      <w:r w:rsidRPr="002A6558">
        <w:rPr>
          <w:rFonts w:cs="David" w:hint="cs"/>
          <w:rtl/>
        </w:rPr>
        <w:t>, עמ' 208</w:t>
      </w:r>
    </w:p>
  </w:footnote>
  <w:footnote w:id="78">
    <w:p w:rsidR="009B636F" w:rsidRPr="002A6558" w:rsidRDefault="009B636F" w:rsidP="005C7C5F">
      <w:pPr>
        <w:pStyle w:val="a5"/>
        <w:jc w:val="both"/>
        <w:rPr>
          <w:rFonts w:cs="David"/>
        </w:rPr>
      </w:pPr>
      <w:r w:rsidRPr="002A6558">
        <w:rPr>
          <w:rStyle w:val="a7"/>
        </w:rPr>
        <w:footnoteRef/>
      </w:r>
      <w:r w:rsidRPr="002A6558">
        <w:rPr>
          <w:rtl/>
        </w:rPr>
        <w:t xml:space="preserve"> </w:t>
      </w:r>
      <w:r w:rsidRPr="002A6558">
        <w:rPr>
          <w:rFonts w:cs="David" w:hint="cs"/>
          <w:rtl/>
        </w:rPr>
        <w:t>משטר הסנקציות שהטילו מדינות רבות באו"ם על דרום אפריקה בשל האפרטהייד שנקטה הוא דוגמה לחריג שבו הפרת זכויות אדם הביאה לפעולה בינלאומית של האו"ם.</w:t>
      </w:r>
    </w:p>
  </w:footnote>
  <w:footnote w:id="79">
    <w:p w:rsidR="009B636F" w:rsidRPr="002A6558" w:rsidRDefault="009B636F" w:rsidP="00DB7F53">
      <w:pPr>
        <w:pStyle w:val="a5"/>
        <w:jc w:val="both"/>
        <w:rPr>
          <w:rFonts w:cs="David"/>
          <w:rtl/>
        </w:rPr>
      </w:pPr>
      <w:r w:rsidRPr="002A6558">
        <w:rPr>
          <w:rStyle w:val="a7"/>
        </w:rPr>
        <w:footnoteRef/>
      </w:r>
      <w:r w:rsidRPr="002A6558">
        <w:rPr>
          <w:rtl/>
        </w:rPr>
        <w:t xml:space="preserve"> </w:t>
      </w:r>
      <w:r w:rsidRPr="002A6558">
        <w:rPr>
          <w:rFonts w:cs="David" w:hint="cs"/>
          <w:rtl/>
        </w:rPr>
        <w:t xml:space="preserve">ראה סקירה לעיל בפרק </w:t>
      </w:r>
      <w:r>
        <w:rPr>
          <w:rFonts w:cs="David" w:hint="cs"/>
          <w:rtl/>
        </w:rPr>
        <w:t xml:space="preserve">א' על ועדות חקירה </w:t>
      </w:r>
      <w:r w:rsidRPr="002A6558">
        <w:rPr>
          <w:rFonts w:cs="David" w:hint="cs"/>
          <w:rtl/>
        </w:rPr>
        <w:t>בינלאומיות.</w:t>
      </w:r>
    </w:p>
  </w:footnote>
  <w:footnote w:id="80">
    <w:p w:rsidR="009B636F" w:rsidRPr="002A6558" w:rsidRDefault="009B636F" w:rsidP="005C7C5F">
      <w:pPr>
        <w:pStyle w:val="a5"/>
        <w:jc w:val="both"/>
        <w:rPr>
          <w:rtl/>
        </w:rPr>
      </w:pPr>
      <w:r w:rsidRPr="002A6558">
        <w:rPr>
          <w:rStyle w:val="a7"/>
        </w:rPr>
        <w:footnoteRef/>
      </w:r>
      <w:r w:rsidRPr="002A6558">
        <w:rPr>
          <w:rtl/>
        </w:rPr>
        <w:t xml:space="preserve"> </w:t>
      </w:r>
      <w:r w:rsidRPr="002A6558">
        <w:t>"Having regard to paragraph 10 of the Preamble and article 1, the Court shall determine that a case is inadmissible where: (a) The case is being investigated or prosecuted by a State which has jurisdiction over it, unless the State is unwilling or unable genuinely to carry out the investigation or prosecution"</w:t>
      </w:r>
    </w:p>
  </w:footnote>
  <w:footnote w:id="81">
    <w:p w:rsidR="009B636F" w:rsidRPr="002A6558" w:rsidRDefault="009B636F" w:rsidP="005C7C5F">
      <w:pPr>
        <w:pStyle w:val="a5"/>
        <w:jc w:val="both"/>
        <w:rPr>
          <w:rFonts w:cs="David"/>
          <w:rtl/>
        </w:rPr>
      </w:pPr>
      <w:r w:rsidRPr="002A6558">
        <w:rPr>
          <w:rStyle w:val="a7"/>
        </w:rPr>
        <w:footnoteRef/>
      </w:r>
      <w:r w:rsidRPr="002A6558">
        <w:rPr>
          <w:rtl/>
        </w:rPr>
        <w:t xml:space="preserve"> </w:t>
      </w:r>
      <w:r w:rsidRPr="002A6558">
        <w:rPr>
          <w:rFonts w:cs="David" w:hint="cs"/>
          <w:rtl/>
        </w:rPr>
        <w:t>ראה לעניין זה סעיף 49 לאמנת ג'נבה הראשונה; סעיף 50 לאמנת ג'נבה השנייה; סעיף 129 לאמנת ג'נבה השלישית; סעיף 146 לאמנת ג'נבה הרביעית</w:t>
      </w:r>
    </w:p>
  </w:footnote>
  <w:footnote w:id="82">
    <w:p w:rsidR="009B636F" w:rsidRPr="002A6558" w:rsidRDefault="009B636F" w:rsidP="004215E0">
      <w:pPr>
        <w:pStyle w:val="a5"/>
        <w:jc w:val="both"/>
        <w:rPr>
          <w:b/>
          <w:bCs/>
          <w:rtl/>
        </w:rPr>
      </w:pPr>
      <w:r w:rsidRPr="002A6558">
        <w:rPr>
          <w:rStyle w:val="a7"/>
        </w:rPr>
        <w:footnoteRef/>
      </w:r>
      <w:r w:rsidRPr="002A6558">
        <w:rPr>
          <w:rtl/>
        </w:rPr>
        <w:t xml:space="preserve"> </w:t>
      </w:r>
      <w:r w:rsidRPr="002A6558">
        <w:t xml:space="preserve">Dunlap Charles (2008), Lawfare Today – A Perspective, </w:t>
      </w:r>
      <w:r w:rsidRPr="002A6558">
        <w:rPr>
          <w:b/>
          <w:bCs/>
        </w:rPr>
        <w:t>Yale Journal of International Affairs</w:t>
      </w:r>
      <w:r w:rsidRPr="002A6558">
        <w:t>, Winter 2008, 146</w:t>
      </w:r>
      <w:r w:rsidRPr="002A6558">
        <w:rPr>
          <w:b/>
          <w:bCs/>
        </w:rPr>
        <w:t xml:space="preserve"> </w:t>
      </w:r>
    </w:p>
  </w:footnote>
  <w:footnote w:id="83">
    <w:p w:rsidR="009B636F" w:rsidRPr="002A6558" w:rsidRDefault="009B636F" w:rsidP="00C4706E">
      <w:pPr>
        <w:pStyle w:val="a5"/>
        <w:jc w:val="both"/>
        <w:rPr>
          <w:rtl/>
        </w:rPr>
      </w:pPr>
      <w:r w:rsidRPr="002A6558">
        <w:rPr>
          <w:rStyle w:val="a7"/>
        </w:rPr>
        <w:footnoteRef/>
      </w:r>
      <w:r w:rsidRPr="002A6558">
        <w:rPr>
          <w:rtl/>
        </w:rPr>
        <w:t xml:space="preserve"> </w:t>
      </w:r>
      <w:r w:rsidRPr="002A6558">
        <w:rPr>
          <w:rFonts w:cs="David" w:hint="cs"/>
          <w:rtl/>
        </w:rPr>
        <w:t xml:space="preserve">ראה שני יובל, ה"ש </w:t>
      </w:r>
      <w:r>
        <w:rPr>
          <w:rFonts w:cs="David"/>
          <w:rtl/>
        </w:rPr>
        <w:fldChar w:fldCharType="begin"/>
      </w:r>
      <w:r>
        <w:rPr>
          <w:rFonts w:cs="David"/>
          <w:rtl/>
        </w:rPr>
        <w:instrText xml:space="preserve"> </w:instrText>
      </w:r>
      <w:r>
        <w:rPr>
          <w:rFonts w:cs="David" w:hint="cs"/>
        </w:rPr>
        <w:instrText>NOTEREF</w:instrText>
      </w:r>
      <w:r>
        <w:rPr>
          <w:rFonts w:cs="David" w:hint="cs"/>
          <w:rtl/>
        </w:rPr>
        <w:instrText xml:space="preserve"> _</w:instrText>
      </w:r>
      <w:r>
        <w:rPr>
          <w:rFonts w:cs="David" w:hint="cs"/>
        </w:rPr>
        <w:instrText>Ref455327722 \h</w:instrText>
      </w:r>
      <w:r>
        <w:rPr>
          <w:rFonts w:cs="David"/>
          <w:rtl/>
        </w:rPr>
        <w:instrText xml:space="preserve"> </w:instrText>
      </w:r>
      <w:r>
        <w:rPr>
          <w:rFonts w:cs="David"/>
          <w:rtl/>
        </w:rPr>
      </w:r>
      <w:r>
        <w:rPr>
          <w:rFonts w:cs="David"/>
          <w:rtl/>
        </w:rPr>
        <w:fldChar w:fldCharType="separate"/>
      </w:r>
      <w:r>
        <w:rPr>
          <w:rFonts w:cs="David"/>
          <w:rtl/>
        </w:rPr>
        <w:t>72</w:t>
      </w:r>
      <w:r>
        <w:rPr>
          <w:rFonts w:cs="David"/>
          <w:rtl/>
        </w:rPr>
        <w:fldChar w:fldCharType="end"/>
      </w:r>
      <w:r>
        <w:rPr>
          <w:rFonts w:cs="David" w:hint="cs"/>
          <w:rtl/>
        </w:rPr>
        <w:t xml:space="preserve"> </w:t>
      </w:r>
      <w:r w:rsidRPr="002A6558">
        <w:rPr>
          <w:rFonts w:cs="David" w:hint="cs"/>
          <w:rtl/>
        </w:rPr>
        <w:t>לעיל.</w:t>
      </w:r>
    </w:p>
  </w:footnote>
  <w:footnote w:id="84">
    <w:p w:rsidR="009B636F" w:rsidRPr="002A6558" w:rsidRDefault="009B636F" w:rsidP="005C7C5F">
      <w:pPr>
        <w:pStyle w:val="a5"/>
        <w:jc w:val="both"/>
        <w:rPr>
          <w:rtl/>
        </w:rPr>
      </w:pPr>
      <w:r w:rsidRPr="002A6558">
        <w:rPr>
          <w:rStyle w:val="a7"/>
        </w:rPr>
        <w:footnoteRef/>
      </w:r>
      <w:r w:rsidRPr="002A6558">
        <w:rPr>
          <w:rtl/>
        </w:rPr>
        <w:t xml:space="preserve"> </w:t>
      </w:r>
      <w:r w:rsidRPr="002A6558">
        <w:t xml:space="preserve">Henkin Louis (1979), </w:t>
      </w:r>
      <w:r w:rsidRPr="002A6558">
        <w:rPr>
          <w:b/>
          <w:bCs/>
        </w:rPr>
        <w:t>How Nations Behave</w:t>
      </w:r>
      <w:r w:rsidRPr="002A6558">
        <w:t>, 2</w:t>
      </w:r>
      <w:r w:rsidRPr="002A6558">
        <w:rPr>
          <w:vertAlign w:val="superscript"/>
        </w:rPr>
        <w:t>nd</w:t>
      </w:r>
      <w:r w:rsidRPr="002A6558">
        <w:t xml:space="preserve"> edition, Council on Foreign Relations</w:t>
      </w:r>
    </w:p>
  </w:footnote>
  <w:footnote w:id="85">
    <w:p w:rsidR="009B636F" w:rsidRPr="002A6558" w:rsidRDefault="009B636F" w:rsidP="005C7C5F">
      <w:pPr>
        <w:pStyle w:val="a5"/>
        <w:jc w:val="both"/>
        <w:rPr>
          <w:rtl/>
        </w:rPr>
      </w:pPr>
      <w:r w:rsidRPr="002A6558">
        <w:rPr>
          <w:rStyle w:val="a7"/>
        </w:rPr>
        <w:footnoteRef/>
      </w:r>
      <w:r w:rsidRPr="002A6558">
        <w:rPr>
          <w:rtl/>
        </w:rPr>
        <w:t xml:space="preserve"> </w:t>
      </w:r>
      <w:r w:rsidRPr="002A6558">
        <w:t xml:space="preserve">Franck Thomas (1990), </w:t>
      </w:r>
      <w:r w:rsidRPr="002A6558">
        <w:rPr>
          <w:b/>
          <w:bCs/>
        </w:rPr>
        <w:t>The Power of Legitimacy Among Nations</w:t>
      </w:r>
      <w:r w:rsidRPr="002A6558">
        <w:t xml:space="preserve">, Oxford University Press </w:t>
      </w:r>
    </w:p>
  </w:footnote>
  <w:footnote w:id="86">
    <w:p w:rsidR="009B636F" w:rsidRPr="002A6558" w:rsidRDefault="009B636F" w:rsidP="005C7C5F">
      <w:pPr>
        <w:pStyle w:val="a5"/>
        <w:jc w:val="both"/>
        <w:rPr>
          <w:rFonts w:cs="David"/>
        </w:rPr>
      </w:pPr>
      <w:r w:rsidRPr="002A6558">
        <w:rPr>
          <w:rStyle w:val="a7"/>
        </w:rPr>
        <w:footnoteRef/>
      </w:r>
      <w:r w:rsidRPr="002A6558">
        <w:rPr>
          <w:rtl/>
        </w:rPr>
        <w:t xml:space="preserve"> </w:t>
      </w:r>
      <w:r w:rsidRPr="002A6558">
        <w:rPr>
          <w:rFonts w:cs="David" w:hint="cs"/>
          <w:rtl/>
        </w:rPr>
        <w:t xml:space="preserve">להדגשת הקשר בין כיבוד המשפט הבינלאומי לאינטרס הלאומי בראייה רחבה ראה גם </w:t>
      </w:r>
      <w:r w:rsidRPr="002A6558">
        <w:rPr>
          <w:rFonts w:cs="David"/>
        </w:rPr>
        <w:t xml:space="preserve">Franck Thomas (2006), The Power of Legitimacy and the Legitimacy of Power: International Law in an Age of Power Disequilibrium, </w:t>
      </w:r>
      <w:r w:rsidRPr="002A6558">
        <w:rPr>
          <w:rFonts w:cs="David"/>
          <w:b/>
          <w:bCs/>
        </w:rPr>
        <w:t>AJIL</w:t>
      </w:r>
      <w:r w:rsidRPr="002A6558">
        <w:rPr>
          <w:rFonts w:cs="David"/>
        </w:rPr>
        <w:t xml:space="preserve">, Vol. 100, No. 1 (Jan. 2006), pp. 88-106 </w:t>
      </w:r>
    </w:p>
  </w:footnote>
  <w:footnote w:id="87">
    <w:p w:rsidR="009B636F" w:rsidRPr="002A6558" w:rsidRDefault="009B636F" w:rsidP="005C7C5F">
      <w:pPr>
        <w:pStyle w:val="a5"/>
        <w:jc w:val="both"/>
        <w:rPr>
          <w:rFonts w:cs="David"/>
        </w:rPr>
      </w:pPr>
      <w:r w:rsidRPr="002A6558">
        <w:rPr>
          <w:rStyle w:val="a7"/>
        </w:rPr>
        <w:footnoteRef/>
      </w:r>
      <w:r w:rsidRPr="002A6558">
        <w:rPr>
          <w:rtl/>
        </w:rPr>
        <w:t xml:space="preserve"> </w:t>
      </w:r>
      <w:r w:rsidRPr="002A6558">
        <w:rPr>
          <w:rFonts w:cs="David" w:hint="cs"/>
          <w:rtl/>
        </w:rPr>
        <w:t xml:space="preserve">על התנאים שמציב פראנק בפני מי שמעלה דרישת צדק ראה </w:t>
      </w:r>
      <w:r w:rsidRPr="002A6558">
        <w:rPr>
          <w:rFonts w:cs="David"/>
        </w:rPr>
        <w:t xml:space="preserve">Franck Thomas (1989), Justice in the International System, </w:t>
      </w:r>
      <w:r w:rsidRPr="002A6558">
        <w:rPr>
          <w:rFonts w:cs="David"/>
          <w:b/>
          <w:bCs/>
        </w:rPr>
        <w:t>Michigan Journal of International Law</w:t>
      </w:r>
      <w:r w:rsidRPr="002A6558">
        <w:rPr>
          <w:rFonts w:cs="David"/>
        </w:rPr>
        <w:t>, Vol. 10, pp. 127-162</w:t>
      </w:r>
    </w:p>
  </w:footnote>
  <w:footnote w:id="88">
    <w:p w:rsidR="009B636F" w:rsidRPr="002A6558" w:rsidRDefault="009B636F" w:rsidP="005C7C5F">
      <w:pPr>
        <w:pStyle w:val="a5"/>
        <w:jc w:val="both"/>
        <w:rPr>
          <w:rtl/>
        </w:rPr>
      </w:pPr>
      <w:r w:rsidRPr="002A6558">
        <w:rPr>
          <w:rStyle w:val="a7"/>
        </w:rPr>
        <w:footnoteRef/>
      </w:r>
      <w:r w:rsidRPr="002A6558">
        <w:rPr>
          <w:rtl/>
        </w:rPr>
        <w:t xml:space="preserve"> </w:t>
      </w:r>
      <w:r w:rsidRPr="002A6558">
        <w:t xml:space="preserve">Chayes Abram, Handler Chayes Antonia (1995), </w:t>
      </w:r>
      <w:r w:rsidRPr="002A6558">
        <w:rPr>
          <w:b/>
          <w:bCs/>
        </w:rPr>
        <w:t>The New Sovereignty</w:t>
      </w:r>
      <w:r w:rsidRPr="002A6558">
        <w:t xml:space="preserve"> - </w:t>
      </w:r>
      <w:r w:rsidRPr="002A6558">
        <w:rPr>
          <w:b/>
          <w:bCs/>
        </w:rPr>
        <w:t>Compliance with International Regulatory Agreements</w:t>
      </w:r>
      <w:r w:rsidRPr="002A6558">
        <w:t xml:space="preserve">, Harvard University Press </w:t>
      </w:r>
    </w:p>
  </w:footnote>
  <w:footnote w:id="89">
    <w:p w:rsidR="009B636F" w:rsidRPr="002A6558" w:rsidRDefault="009B636F" w:rsidP="005C7C5F">
      <w:pPr>
        <w:pStyle w:val="a5"/>
        <w:jc w:val="both"/>
      </w:pPr>
      <w:r w:rsidRPr="002A6558">
        <w:rPr>
          <w:rStyle w:val="a7"/>
        </w:rPr>
        <w:footnoteRef/>
      </w:r>
      <w:r w:rsidRPr="002A6558">
        <w:rPr>
          <w:rtl/>
        </w:rPr>
        <w:t xml:space="preserve"> </w:t>
      </w:r>
      <w:r w:rsidRPr="002A6558">
        <w:t xml:space="preserve">Koh Harold (1997), Why do Nations Obey International Law?, </w:t>
      </w:r>
      <w:r w:rsidRPr="002A6558">
        <w:rPr>
          <w:b/>
          <w:bCs/>
        </w:rPr>
        <w:t>The Yale Law Journal</w:t>
      </w:r>
      <w:r w:rsidRPr="002A6558">
        <w:t xml:space="preserve">, Vol. 106, No. 8, pp. 2599-2659, </w:t>
      </w:r>
      <w:r>
        <w:t xml:space="preserve">available at </w:t>
      </w:r>
      <w:r w:rsidRPr="002A6558">
        <w:t>http://digitalcommons.law.yale.edu/cgi/viewcontent.cgi?article=2897&amp;context=fss_papers</w:t>
      </w:r>
    </w:p>
  </w:footnote>
  <w:footnote w:id="90">
    <w:p w:rsidR="009B636F" w:rsidRPr="002A6558" w:rsidRDefault="009B636F" w:rsidP="005C7C5F">
      <w:pPr>
        <w:pStyle w:val="a5"/>
        <w:jc w:val="both"/>
        <w:rPr>
          <w:rFonts w:cs="David"/>
          <w:rtl/>
        </w:rPr>
      </w:pPr>
      <w:r w:rsidRPr="002A6558">
        <w:rPr>
          <w:rStyle w:val="a7"/>
        </w:rPr>
        <w:footnoteRef/>
      </w:r>
      <w:r w:rsidRPr="002A6558">
        <w:rPr>
          <w:rtl/>
        </w:rPr>
        <w:t xml:space="preserve"> </w:t>
      </w:r>
      <w:r w:rsidRPr="002A6558">
        <w:rPr>
          <w:rFonts w:cs="David" w:hint="cs"/>
          <w:rtl/>
        </w:rPr>
        <w:t xml:space="preserve">ראה גם </w:t>
      </w:r>
      <w:r w:rsidRPr="002A6558">
        <w:rPr>
          <w:rFonts w:cs="David"/>
        </w:rPr>
        <w:t xml:space="preserve">Koh Harold (1998), Bringing International Law Home, </w:t>
      </w:r>
      <w:r w:rsidRPr="002A6558">
        <w:rPr>
          <w:rFonts w:cs="David"/>
          <w:b/>
          <w:bCs/>
        </w:rPr>
        <w:t>Houston Law Review</w:t>
      </w:r>
      <w:r w:rsidRPr="002A6558">
        <w:rPr>
          <w:rFonts w:cs="David"/>
        </w:rPr>
        <w:t xml:space="preserve">, Vol. 35, pp. 623-681; Koh Harold (1998), How is International Human Rights Law Enforced?, </w:t>
      </w:r>
      <w:r w:rsidRPr="002A6558">
        <w:rPr>
          <w:rFonts w:cs="David"/>
          <w:b/>
          <w:bCs/>
        </w:rPr>
        <w:t>Indiana Law Journal</w:t>
      </w:r>
      <w:r w:rsidRPr="002A6558">
        <w:rPr>
          <w:rFonts w:cs="David"/>
        </w:rPr>
        <w:t>, Vol. 74, pp. 1397-1417</w:t>
      </w:r>
    </w:p>
  </w:footnote>
  <w:footnote w:id="91">
    <w:p w:rsidR="009B636F" w:rsidRPr="002A6558" w:rsidRDefault="009B636F" w:rsidP="00397737">
      <w:pPr>
        <w:pStyle w:val="a5"/>
        <w:jc w:val="both"/>
        <w:rPr>
          <w:rFonts w:cs="David"/>
          <w:rtl/>
        </w:rPr>
      </w:pPr>
      <w:r w:rsidRPr="002A6558">
        <w:rPr>
          <w:rStyle w:val="a7"/>
        </w:rPr>
        <w:footnoteRef/>
      </w:r>
      <w:r w:rsidRPr="002A6558">
        <w:rPr>
          <w:rtl/>
        </w:rPr>
        <w:t xml:space="preserve"> </w:t>
      </w:r>
      <w:r w:rsidRPr="002A6558">
        <w:rPr>
          <w:rFonts w:cs="David" w:hint="cs"/>
          <w:rtl/>
        </w:rPr>
        <w:t xml:space="preserve">ראה מן רפי (2014), כיצד נולד הביטוי או"ם-שמום, </w:t>
      </w:r>
      <w:r w:rsidRPr="002A6558">
        <w:rPr>
          <w:rFonts w:cs="David" w:hint="cs"/>
          <w:b/>
          <w:bCs/>
          <w:rtl/>
        </w:rPr>
        <w:t>הערות שוליים להיסטוריה</w:t>
      </w:r>
      <w:r w:rsidRPr="002A6558">
        <w:rPr>
          <w:rFonts w:cs="David" w:hint="cs"/>
          <w:rtl/>
        </w:rPr>
        <w:t xml:space="preserve">, </w:t>
      </w:r>
      <w:r w:rsidRPr="002A6558">
        <w:rPr>
          <w:rFonts w:cs="David"/>
        </w:rPr>
        <w:t>https://rafimann.wordpress.com/2014/12/17/%D7%9B%D7%9A-%D7%A0%D7%95%D7%9C%D7%93-%D7%94%D7%91%D7%99%D7%98%D7%95%D7%99-%D7%90%D7%95%D7%9D-%D7%A9%D7%9E%D7%95%D7%9D</w:t>
      </w:r>
      <w:r w:rsidRPr="002A6558">
        <w:rPr>
          <w:rFonts w:cs="David"/>
          <w:rtl/>
        </w:rPr>
        <w:t>/</w:t>
      </w:r>
    </w:p>
  </w:footnote>
  <w:footnote w:id="92">
    <w:p w:rsidR="009B636F" w:rsidRPr="002A6558" w:rsidRDefault="009B636F" w:rsidP="00397737">
      <w:pPr>
        <w:pStyle w:val="a5"/>
        <w:jc w:val="both"/>
        <w:rPr>
          <w:rFonts w:cs="David"/>
          <w:rtl/>
        </w:rPr>
      </w:pPr>
      <w:r w:rsidRPr="002A6558">
        <w:rPr>
          <w:rStyle w:val="a7"/>
        </w:rPr>
        <w:footnoteRef/>
      </w:r>
      <w:r w:rsidRPr="002A6558">
        <w:rPr>
          <w:rtl/>
        </w:rPr>
        <w:t xml:space="preserve"> </w:t>
      </w:r>
      <w:r w:rsidRPr="002A6558">
        <w:rPr>
          <w:rFonts w:cs="David" w:hint="cs"/>
          <w:rtl/>
        </w:rPr>
        <w:t xml:space="preserve">אבא אבן, אתר ההנצחה של משרד החוץ, </w:t>
      </w:r>
      <w:r w:rsidRPr="002A6558">
        <w:rPr>
          <w:rFonts w:cs="David"/>
        </w:rPr>
        <w:t>http://mfa.gov.il/memorial/Perpetuated/Pages/Abba-Eban.aspx</w:t>
      </w:r>
    </w:p>
  </w:footnote>
  <w:footnote w:id="93">
    <w:p w:rsidR="009B636F" w:rsidRPr="002A6558" w:rsidRDefault="009B636F" w:rsidP="00397737">
      <w:pPr>
        <w:pStyle w:val="a5"/>
        <w:jc w:val="both"/>
        <w:rPr>
          <w:rFonts w:cs="David"/>
        </w:rPr>
      </w:pPr>
      <w:r w:rsidRPr="002A6558">
        <w:rPr>
          <w:rStyle w:val="a7"/>
        </w:rPr>
        <w:footnoteRef/>
      </w:r>
      <w:r w:rsidRPr="002A6558">
        <w:rPr>
          <w:rtl/>
        </w:rPr>
        <w:t xml:space="preserve"> </w:t>
      </w:r>
      <w:r w:rsidRPr="002A6558">
        <w:rPr>
          <w:rFonts w:cs="David" w:hint="cs"/>
          <w:rtl/>
        </w:rPr>
        <w:t xml:space="preserve">רביד ברק, בוקר משה, חורי ג'קי (2015), הפלסטינים משכו את בקשתם להשעות את ישראל מפיפ"א, </w:t>
      </w:r>
      <w:r w:rsidRPr="002A6558">
        <w:rPr>
          <w:rFonts w:cs="David" w:hint="cs"/>
          <w:b/>
          <w:bCs/>
          <w:rtl/>
        </w:rPr>
        <w:t>הארץ</w:t>
      </w:r>
      <w:r w:rsidRPr="002A6558">
        <w:rPr>
          <w:rFonts w:cs="David" w:hint="cs"/>
          <w:rtl/>
        </w:rPr>
        <w:t xml:space="preserve">, </w:t>
      </w:r>
      <w:r w:rsidRPr="002A6558">
        <w:rPr>
          <w:rFonts w:cs="David"/>
        </w:rPr>
        <w:t>http://www.haaretz.co.il/news/politics/1.2647412</w:t>
      </w:r>
    </w:p>
  </w:footnote>
  <w:footnote w:id="94">
    <w:p w:rsidR="009B636F" w:rsidRPr="002A6558" w:rsidRDefault="009B636F" w:rsidP="00397737">
      <w:pPr>
        <w:pStyle w:val="a5"/>
        <w:jc w:val="both"/>
        <w:rPr>
          <w:rFonts w:cs="David"/>
          <w:rtl/>
        </w:rPr>
      </w:pPr>
      <w:r w:rsidRPr="002A6558">
        <w:rPr>
          <w:rStyle w:val="a7"/>
        </w:rPr>
        <w:footnoteRef/>
      </w:r>
      <w:r w:rsidRPr="002A6558">
        <w:rPr>
          <w:rtl/>
        </w:rPr>
        <w:t xml:space="preserve"> </w:t>
      </w:r>
      <w:r w:rsidRPr="002A6558">
        <w:rPr>
          <w:rFonts w:cs="David" w:hint="cs"/>
          <w:rtl/>
        </w:rPr>
        <w:t>ראה סעיף 27 למגילת האו"ם</w:t>
      </w:r>
    </w:p>
  </w:footnote>
  <w:footnote w:id="95">
    <w:p w:rsidR="009B636F" w:rsidRPr="002A6558" w:rsidRDefault="009B636F" w:rsidP="00397737">
      <w:pPr>
        <w:pStyle w:val="a5"/>
        <w:jc w:val="both"/>
      </w:pPr>
      <w:r w:rsidRPr="002A6558">
        <w:rPr>
          <w:rStyle w:val="a7"/>
        </w:rPr>
        <w:footnoteRef/>
      </w:r>
      <w:r w:rsidRPr="002A6558">
        <w:rPr>
          <w:rtl/>
        </w:rPr>
        <w:t xml:space="preserve"> </w:t>
      </w:r>
      <w:r w:rsidRPr="002A6558">
        <w:t xml:space="preserve">Kunduz Hospital Bombing: 16 US forces 'disciplined', </w:t>
      </w:r>
      <w:r w:rsidRPr="002A6558">
        <w:rPr>
          <w:b/>
          <w:bCs/>
        </w:rPr>
        <w:t>BBC News</w:t>
      </w:r>
      <w:r w:rsidRPr="002A6558">
        <w:t>, 28 April 2016, http://www.bbc.com/news/world-us-canada-36164595</w:t>
      </w:r>
    </w:p>
  </w:footnote>
  <w:footnote w:id="96">
    <w:p w:rsidR="009B636F" w:rsidRPr="002A6558" w:rsidRDefault="009B636F" w:rsidP="00397737">
      <w:pPr>
        <w:pStyle w:val="a5"/>
        <w:jc w:val="both"/>
        <w:rPr>
          <w:rtl/>
        </w:rPr>
      </w:pPr>
      <w:r w:rsidRPr="002A6558">
        <w:rPr>
          <w:rStyle w:val="a7"/>
        </w:rPr>
        <w:footnoteRef/>
      </w:r>
      <w:r w:rsidRPr="002A6558">
        <w:rPr>
          <w:rtl/>
        </w:rPr>
        <w:t xml:space="preserve"> </w:t>
      </w:r>
      <w:r w:rsidRPr="002A6558">
        <w:t xml:space="preserve">Preliminary Examinations – Afghanistan, </w:t>
      </w:r>
      <w:hyperlink r:id="rId9" w:history="1">
        <w:r w:rsidRPr="006D1A39">
          <w:t>https://www.icc-cpi.int/en_menus/icc/structure%20of%20the%20court/office%20of%20the%20prosecutor/comm%20and%20ref/pe-ongoing/afghanistan/Pages/afghanistan.aspx</w:t>
        </w:r>
      </w:hyperlink>
      <w:r w:rsidRPr="002A6558">
        <w:rPr>
          <w:rFonts w:hint="cs"/>
          <w:rtl/>
        </w:rPr>
        <w:t xml:space="preserve">. </w:t>
      </w:r>
      <w:r w:rsidRPr="002A6558">
        <w:rPr>
          <w:rFonts w:cs="David" w:hint="cs"/>
          <w:rtl/>
        </w:rPr>
        <w:t>וראה הדוח המקיף שפורסם בעניין:</w:t>
      </w:r>
      <w:r w:rsidRPr="002A6558">
        <w:rPr>
          <w:rFonts w:hint="cs"/>
          <w:rtl/>
        </w:rPr>
        <w:t xml:space="preserve"> </w:t>
      </w:r>
      <w:r w:rsidRPr="002A6558">
        <w:rPr>
          <w:rFonts w:cs="Arial"/>
          <w:shd w:val="clear" w:color="auto" w:fill="FFFFFF"/>
        </w:rPr>
        <w:t xml:space="preserve">Airstrike on the MSF Trauma Center in Kunduz Afghanistan - 3 Oct 2015, US CENTCOM FOIA Library, </w:t>
      </w:r>
      <w:r>
        <w:rPr>
          <w:rFonts w:cs="Arial"/>
          <w:shd w:val="clear" w:color="auto" w:fill="FFFFFF"/>
        </w:rPr>
        <w:t xml:space="preserve">available at </w:t>
      </w:r>
      <w:r w:rsidRPr="002A6558">
        <w:rPr>
          <w:rFonts w:cs="Arial"/>
          <w:shd w:val="clear" w:color="auto" w:fill="FFFFFF"/>
        </w:rPr>
        <w:t>https://www6.centcom.mil/foia_rr/FOIA_RR.asp?Path=/5%20USC%20552(a)(2)(D)Records&amp;Folder=1.%20Airstrike%20on%20the%20MSF%20Trauma%20Center%20in%20Kunduz%20Afghanistan%20-%203%20Oct%202015</w:t>
      </w:r>
      <w:r w:rsidRPr="002A6558">
        <w:rPr>
          <w:rFonts w:hint="cs"/>
          <w:rtl/>
        </w:rPr>
        <w:t>.</w:t>
      </w:r>
    </w:p>
  </w:footnote>
  <w:footnote w:id="97">
    <w:p w:rsidR="009B636F" w:rsidRPr="002A6558" w:rsidRDefault="009B636F" w:rsidP="00397737">
      <w:pPr>
        <w:pStyle w:val="a5"/>
        <w:jc w:val="both"/>
        <w:rPr>
          <w:rtl/>
        </w:rPr>
      </w:pPr>
      <w:r w:rsidRPr="002A6558">
        <w:rPr>
          <w:rStyle w:val="a7"/>
        </w:rPr>
        <w:footnoteRef/>
      </w:r>
      <w:r w:rsidRPr="002A6558">
        <w:rPr>
          <w:rtl/>
        </w:rPr>
        <w:t xml:space="preserve"> </w:t>
      </w:r>
      <w:r w:rsidRPr="002A6558">
        <w:rPr>
          <w:rFonts w:cs="David" w:hint="cs"/>
          <w:rtl/>
        </w:rPr>
        <w:t>זאת, לאחר שבשנת 2006 החליט התובע של בית הדין שאין מקום לפתוח בחקירה בתלונות דומות מהטעם שאין הן עומדות ברף החומרה (</w:t>
      </w:r>
      <w:r w:rsidRPr="002A6558">
        <w:rPr>
          <w:rFonts w:cs="David"/>
        </w:rPr>
        <w:t>gravity</w:t>
      </w:r>
      <w:r w:rsidRPr="002A6558">
        <w:rPr>
          <w:rFonts w:cs="David" w:hint="cs"/>
          <w:rtl/>
        </w:rPr>
        <w:t xml:space="preserve">) הנדרש לפי אמנת רומא: </w:t>
      </w:r>
      <w:r w:rsidRPr="002A6558">
        <w:t>OTP response to communications received concerning Iraq, https://www.icc-cpi.int/NR/rdonlyres/04D143C8-19FB-466C-AB77-4CDB2FDEBEF7/143682/OTP_letter_to_senders_re_Iraq_9_February_2006.pdf</w:t>
      </w:r>
      <w:r w:rsidRPr="002A6558">
        <w:rPr>
          <w:rFonts w:hint="cs"/>
          <w:rtl/>
        </w:rPr>
        <w:t>.</w:t>
      </w:r>
    </w:p>
  </w:footnote>
  <w:footnote w:id="98">
    <w:p w:rsidR="009B636F" w:rsidRPr="002A6558" w:rsidRDefault="009B636F" w:rsidP="00397737">
      <w:pPr>
        <w:pStyle w:val="a5"/>
        <w:jc w:val="both"/>
        <w:rPr>
          <w:rtl/>
        </w:rPr>
      </w:pPr>
      <w:r w:rsidRPr="002A6558">
        <w:rPr>
          <w:rStyle w:val="a7"/>
        </w:rPr>
        <w:footnoteRef/>
      </w:r>
      <w:r w:rsidRPr="002A6558">
        <w:rPr>
          <w:rtl/>
        </w:rPr>
        <w:t xml:space="preserve"> </w:t>
      </w:r>
      <w:r w:rsidRPr="002A6558">
        <w:t>https://www.ecchr.eu/en/home.html</w:t>
      </w:r>
    </w:p>
  </w:footnote>
  <w:footnote w:id="99">
    <w:p w:rsidR="009B636F" w:rsidRPr="002A6558" w:rsidRDefault="009B636F" w:rsidP="00397737">
      <w:pPr>
        <w:pStyle w:val="a5"/>
        <w:jc w:val="both"/>
      </w:pPr>
      <w:r w:rsidRPr="002A6558">
        <w:rPr>
          <w:rStyle w:val="a7"/>
        </w:rPr>
        <w:footnoteRef/>
      </w:r>
      <w:r w:rsidRPr="002A6558">
        <w:rPr>
          <w:rtl/>
        </w:rPr>
        <w:t xml:space="preserve"> </w:t>
      </w:r>
      <w:r w:rsidRPr="002A6558">
        <w:t>Preliminary Examinations – Iraq, https://www.icc-cpi.int/EN_Menus/icc/structure%20of%20the%20court/office%20of%20the%20prosecutor/comm%20and%20ref/pe-ongoing/iraq/pages/iraq.aspx</w:t>
      </w:r>
    </w:p>
  </w:footnote>
  <w:footnote w:id="100">
    <w:p w:rsidR="009B636F" w:rsidRPr="002A6558" w:rsidRDefault="009B636F" w:rsidP="00397737">
      <w:pPr>
        <w:pStyle w:val="a5"/>
        <w:jc w:val="both"/>
      </w:pPr>
      <w:r w:rsidRPr="002A6558">
        <w:rPr>
          <w:rStyle w:val="a7"/>
        </w:rPr>
        <w:footnoteRef/>
      </w:r>
      <w:r w:rsidRPr="002A6558">
        <w:rPr>
          <w:rtl/>
        </w:rPr>
        <w:t xml:space="preserve"> </w:t>
      </w:r>
      <w:r w:rsidRPr="002A6558">
        <w:t xml:space="preserve">Gladstone Rick (2016), U.N. Peacekeeping Hit by New Allegations of 'Sickening' Sex Abuse, </w:t>
      </w:r>
      <w:r w:rsidRPr="002A6558">
        <w:rPr>
          <w:b/>
          <w:bCs/>
        </w:rPr>
        <w:t>The New York Times</w:t>
      </w:r>
      <w:r w:rsidRPr="002A6558">
        <w:t>, http://www.nytimes.com/2016/04/01/world/africa/un-peacekeeping-hit-by-new-allegations-of-sickening-sex-abuse.html?_r=1</w:t>
      </w:r>
    </w:p>
  </w:footnote>
  <w:footnote w:id="101">
    <w:p w:rsidR="009B636F" w:rsidRDefault="009B636F" w:rsidP="00513DBA">
      <w:pPr>
        <w:pStyle w:val="a5"/>
        <w:jc w:val="both"/>
        <w:rPr>
          <w:rtl/>
        </w:rPr>
      </w:pPr>
      <w:r>
        <w:rPr>
          <w:rStyle w:val="a7"/>
        </w:rPr>
        <w:footnoteRef/>
      </w:r>
      <w:r>
        <w:rPr>
          <w:rtl/>
        </w:rPr>
        <w:t xml:space="preserve"> </w:t>
      </w:r>
      <w:r w:rsidRPr="002A6558">
        <w:rPr>
          <w:rFonts w:cs="David" w:hint="cs"/>
          <w:rtl/>
        </w:rPr>
        <w:t xml:space="preserve">רביד ברק (2015), </w:t>
      </w:r>
      <w:r w:rsidRPr="002A6558">
        <w:rPr>
          <w:rFonts w:ascii="Helvetica" w:hAnsi="Helvetica" w:cs="David"/>
          <w:rtl/>
        </w:rPr>
        <w:t>ישראל החליטה לשנות מדיניות ולפתוח בשיחות עם בית הדין בהאג</w:t>
      </w:r>
      <w:r w:rsidRPr="002A6558">
        <w:rPr>
          <w:rFonts w:ascii="Helvetica" w:hAnsi="Helvetica" w:cs="David" w:hint="cs"/>
          <w:rtl/>
        </w:rPr>
        <w:t xml:space="preserve">, </w:t>
      </w:r>
      <w:r w:rsidRPr="002A6558">
        <w:rPr>
          <w:rFonts w:ascii="Helvetica" w:hAnsi="Helvetica" w:cs="David" w:hint="cs"/>
          <w:b/>
          <w:bCs/>
          <w:rtl/>
        </w:rPr>
        <w:t>הארץ</w:t>
      </w:r>
      <w:r w:rsidRPr="002A6558">
        <w:rPr>
          <w:rFonts w:ascii="Helvetica" w:hAnsi="Helvetica" w:cs="David" w:hint="cs"/>
          <w:rtl/>
        </w:rPr>
        <w:t xml:space="preserve">, </w:t>
      </w:r>
      <w:r w:rsidRPr="002A6558">
        <w:rPr>
          <w:rFonts w:cs="David"/>
        </w:rPr>
        <w:t>http://www.haaretz.co.il/news/politics/.premium-1.2680076</w:t>
      </w:r>
    </w:p>
  </w:footnote>
  <w:footnote w:id="102">
    <w:p w:rsidR="009B636F" w:rsidRPr="002A6558" w:rsidRDefault="009B636F" w:rsidP="00397737">
      <w:pPr>
        <w:pStyle w:val="a5"/>
        <w:jc w:val="both"/>
        <w:rPr>
          <w:rFonts w:cs="David"/>
        </w:rPr>
      </w:pPr>
      <w:r w:rsidRPr="002A6558">
        <w:rPr>
          <w:rStyle w:val="a7"/>
        </w:rPr>
        <w:footnoteRef/>
      </w:r>
      <w:r w:rsidRPr="002A6558">
        <w:rPr>
          <w:rtl/>
        </w:rPr>
        <w:t xml:space="preserve"> </w:t>
      </w:r>
      <w:r w:rsidRPr="002A6558">
        <w:rPr>
          <w:rFonts w:cs="David" w:hint="cs"/>
          <w:rtl/>
        </w:rPr>
        <w:t xml:space="preserve">כ-29% מסך היצוא במהלך שנת 2015. ראה </w:t>
      </w:r>
      <w:r w:rsidRPr="002A6558">
        <w:rPr>
          <w:rFonts w:cs="David"/>
          <w:rtl/>
        </w:rPr>
        <w:t>התפתחויות ומגמות ביצוא הישראלי</w:t>
      </w:r>
      <w:r w:rsidRPr="002A6558">
        <w:rPr>
          <w:rFonts w:cs="David" w:hint="cs"/>
          <w:rtl/>
        </w:rPr>
        <w:t xml:space="preserve"> - </w:t>
      </w:r>
      <w:r w:rsidRPr="002A6558">
        <w:rPr>
          <w:rFonts w:cs="David"/>
          <w:rtl/>
        </w:rPr>
        <w:t>סיכום 2015 ותחזית 2016</w:t>
      </w:r>
      <w:r w:rsidRPr="002A6558">
        <w:rPr>
          <w:rFonts w:cs="David" w:hint="cs"/>
          <w:rtl/>
        </w:rPr>
        <w:t xml:space="preserve">, </w:t>
      </w:r>
      <w:r w:rsidRPr="002A6558">
        <w:rPr>
          <w:rFonts w:cs="David" w:hint="cs"/>
          <w:b/>
          <w:bCs/>
          <w:rtl/>
        </w:rPr>
        <w:t>המכון הישראלי ליצוא ולשיתוף פעולה בינלאומי</w:t>
      </w:r>
      <w:r w:rsidRPr="002A6558">
        <w:rPr>
          <w:rFonts w:cs="David" w:hint="cs"/>
          <w:rtl/>
        </w:rPr>
        <w:t xml:space="preserve">, עמ' 13, </w:t>
      </w:r>
      <w:r w:rsidRPr="002A6558">
        <w:rPr>
          <w:rFonts w:cs="David"/>
        </w:rPr>
        <w:t>http://www.export.gov.il/UploadFiles/03_2016/ExportMegamotMarch16.pdf?redirect=no</w:t>
      </w:r>
      <w:r w:rsidRPr="002A6558">
        <w:rPr>
          <w:rFonts w:cs="David" w:hint="cs"/>
          <w:rtl/>
        </w:rPr>
        <w:t>.</w:t>
      </w:r>
    </w:p>
  </w:footnote>
  <w:footnote w:id="103">
    <w:p w:rsidR="009B636F" w:rsidRPr="002A6558" w:rsidRDefault="009B636F" w:rsidP="00397737">
      <w:pPr>
        <w:pStyle w:val="a5"/>
        <w:jc w:val="both"/>
        <w:rPr>
          <w:rtl/>
        </w:rPr>
      </w:pPr>
      <w:r w:rsidRPr="002A6558">
        <w:rPr>
          <w:rStyle w:val="a7"/>
        </w:rPr>
        <w:footnoteRef/>
      </w:r>
      <w:r w:rsidRPr="002A6558">
        <w:rPr>
          <w:rtl/>
        </w:rPr>
        <w:t xml:space="preserve"> </w:t>
      </w:r>
      <w:r w:rsidRPr="002A6558">
        <w:t xml:space="preserve">EURO-MEDITERRANEAN AGREEMENT establishing an association between the European Communities and their Member States, of the one part, and the State of Israel, of the other part, Official Journal of the European Communities, L 147/3, 21.6.2000, </w:t>
      </w:r>
      <w:r>
        <w:t xml:space="preserve">available at </w:t>
      </w:r>
      <w:r w:rsidRPr="002A6558">
        <w:t>http://eeas.europa.eu/delegations/israel/documents/eu_israel/asso_agree_en.pdf</w:t>
      </w:r>
    </w:p>
  </w:footnote>
  <w:footnote w:id="104">
    <w:p w:rsidR="009B636F" w:rsidRPr="002A6558" w:rsidRDefault="009B636F" w:rsidP="00397737">
      <w:pPr>
        <w:pStyle w:val="a5"/>
        <w:jc w:val="both"/>
        <w:rPr>
          <w:rFonts w:cs="David"/>
        </w:rPr>
      </w:pPr>
      <w:r w:rsidRPr="002A6558">
        <w:rPr>
          <w:rStyle w:val="a7"/>
        </w:rPr>
        <w:footnoteRef/>
      </w:r>
      <w:r w:rsidRPr="002A6558">
        <w:rPr>
          <w:rtl/>
        </w:rPr>
        <w:t xml:space="preserve"> </w:t>
      </w:r>
      <w:r w:rsidRPr="002A6558">
        <w:rPr>
          <w:rFonts w:cs="David" w:hint="cs"/>
          <w:rtl/>
        </w:rPr>
        <w:t xml:space="preserve">האיחוד האירופי כבר נקע בעבר צעדים ל"ענישת" ישראל בגין פעילות שנתפסה בעיניו כבלתי חוקית, כגון פעילות ההתנחלות ביהודה ושומרון, והחליט לסמן מוצרים ישראלים שמיוצרים מעבר לשטחים שביו בשליטת ישראל עד לערב מלחמת ששת הימים. ראה </w:t>
      </w:r>
      <w:r w:rsidRPr="002A6558">
        <w:t>Interpretative Notice on indication of origin of goods from the territories occupied by Israel since June 1967, European Commission, Brussels, 11.11.2015,</w:t>
      </w:r>
      <w:r>
        <w:t xml:space="preserve"> </w:t>
      </w:r>
      <w:r w:rsidRPr="002A6558">
        <w:t xml:space="preserve">C(2015) 7834 final, </w:t>
      </w:r>
      <w:r>
        <w:t xml:space="preserve">available at </w:t>
      </w:r>
      <w:r w:rsidRPr="002A6558">
        <w:t>http://eeas.europa.eu/delegations/israel/documents/related-links/20151111_interpretative_notice_indication_of_origin_en.pdf</w:t>
      </w:r>
    </w:p>
  </w:footnote>
  <w:footnote w:id="105">
    <w:p w:rsidR="009B636F" w:rsidRPr="001F3660" w:rsidRDefault="009B636F" w:rsidP="006D1A39">
      <w:pPr>
        <w:pStyle w:val="a5"/>
        <w:jc w:val="both"/>
        <w:rPr>
          <w:rFonts w:cs="David"/>
          <w:rtl/>
        </w:rPr>
      </w:pPr>
      <w:r>
        <w:rPr>
          <w:rStyle w:val="a7"/>
        </w:rPr>
        <w:footnoteRef/>
      </w:r>
      <w:r>
        <w:rPr>
          <w:rtl/>
        </w:rPr>
        <w:t xml:space="preserve"> </w:t>
      </w:r>
      <w:r>
        <w:rPr>
          <w:rFonts w:cs="David" w:hint="cs"/>
          <w:rtl/>
        </w:rPr>
        <w:t xml:space="preserve">ראה, לדוגמה: שניר אביחי (2014), באירופה שוקלים מחדש את אספקת הנשק לישראל, </w:t>
      </w:r>
      <w:r>
        <w:rPr>
          <w:rFonts w:cs="David" w:hint="cs"/>
          <w:b/>
          <w:bCs/>
          <w:rtl/>
        </w:rPr>
        <w:t>גלובס</w:t>
      </w:r>
      <w:r>
        <w:rPr>
          <w:rFonts w:cs="David" w:hint="cs"/>
          <w:rtl/>
        </w:rPr>
        <w:t xml:space="preserve">, </w:t>
      </w:r>
      <w:r w:rsidRPr="007D6CF7">
        <w:rPr>
          <w:rFonts w:cs="David"/>
        </w:rPr>
        <w:t>http://www.globes.co.il/news/article.aspx?did=1000971868</w:t>
      </w:r>
      <w:r>
        <w:rPr>
          <w:rFonts w:cs="David" w:hint="cs"/>
          <w:rtl/>
        </w:rPr>
        <w:t xml:space="preserve">; רוחקס דומבה עמי (2014), נשק ישראלי וצביעות אירופאית, </w:t>
      </w:r>
      <w:r>
        <w:rPr>
          <w:rFonts w:cs="David"/>
          <w:b/>
          <w:bCs/>
        </w:rPr>
        <w:t>Israel Defense</w:t>
      </w:r>
      <w:r>
        <w:rPr>
          <w:rFonts w:cs="David" w:hint="cs"/>
          <w:rtl/>
        </w:rPr>
        <w:t xml:space="preserve">, </w:t>
      </w:r>
      <w:r w:rsidRPr="001F3660">
        <w:rPr>
          <w:rFonts w:cs="David"/>
        </w:rPr>
        <w:t>http://www.israeldefense.co.il/he/content/%D7%A0%D7%A9%D7%A7-%D7%99%D7%A9%D7%A8%D7%90%D7%9C%D7%99-%D7%95%D7%A6%D7%91%D7%99%D7%A2%D7%95%D7%AA-%D7%90%D7%99%D7%A8%D7%95%D7%A4%D7%90%D7%99%D7%AA</w:t>
      </w:r>
      <w:r>
        <w:rPr>
          <w:rFonts w:cs="David" w:hint="cs"/>
          <w:rtl/>
        </w:rPr>
        <w:t xml:space="preserve">; איום בריטי: אם העימות הצבאי יימשך </w:t>
      </w:r>
      <w:r>
        <w:rPr>
          <w:rFonts w:cs="David"/>
          <w:rtl/>
        </w:rPr>
        <w:t>–</w:t>
      </w:r>
      <w:r>
        <w:rPr>
          <w:rFonts w:cs="David" w:hint="cs"/>
          <w:rtl/>
        </w:rPr>
        <w:t xml:space="preserve"> יצוא הנשק יושעה, </w:t>
      </w:r>
      <w:r>
        <w:rPr>
          <w:rFonts w:cs="David"/>
          <w:b/>
          <w:bCs/>
        </w:rPr>
        <w:t>nrg</w:t>
      </w:r>
      <w:r>
        <w:rPr>
          <w:rFonts w:cs="David" w:hint="cs"/>
          <w:rtl/>
        </w:rPr>
        <w:t xml:space="preserve">, 12.08.14, </w:t>
      </w:r>
      <w:r w:rsidRPr="001F3660">
        <w:rPr>
          <w:rFonts w:cs="David"/>
        </w:rPr>
        <w:t>http://www.nrg.co.il/online/1/ART2/607/060.html</w:t>
      </w:r>
      <w:r>
        <w:rPr>
          <w:rFonts w:cs="David" w:hint="cs"/>
          <w:rtl/>
        </w:rPr>
        <w:t xml:space="preserve">; בשל המבצע: ספרד עוצרת העברת נשק לישראל, </w:t>
      </w:r>
      <w:r>
        <w:rPr>
          <w:rFonts w:cs="David" w:hint="cs"/>
          <w:b/>
          <w:bCs/>
        </w:rPr>
        <w:t>Y</w:t>
      </w:r>
      <w:r>
        <w:rPr>
          <w:rFonts w:cs="David"/>
          <w:b/>
          <w:bCs/>
        </w:rPr>
        <w:t>net</w:t>
      </w:r>
      <w:r>
        <w:rPr>
          <w:rFonts w:cs="David" w:hint="cs"/>
          <w:rtl/>
        </w:rPr>
        <w:t xml:space="preserve">, </w:t>
      </w:r>
      <w:r w:rsidRPr="001F3660">
        <w:rPr>
          <w:rFonts w:cs="David"/>
        </w:rPr>
        <w:t>http://www.ynet.co.il/articles/0,7340,L-4555013,00.html</w:t>
      </w:r>
      <w:r>
        <w:rPr>
          <w:rFonts w:cs="David" w:hint="cs"/>
          <w:rtl/>
        </w:rPr>
        <w:t>.</w:t>
      </w:r>
    </w:p>
  </w:footnote>
  <w:footnote w:id="106">
    <w:p w:rsidR="009B636F" w:rsidRPr="002A6558" w:rsidRDefault="009B636F" w:rsidP="00397737">
      <w:pPr>
        <w:pStyle w:val="a5"/>
        <w:jc w:val="both"/>
      </w:pPr>
      <w:r w:rsidRPr="002A6558">
        <w:rPr>
          <w:rStyle w:val="a7"/>
        </w:rPr>
        <w:footnoteRef/>
      </w:r>
      <w:r w:rsidRPr="002A6558">
        <w:rPr>
          <w:rtl/>
        </w:rPr>
        <w:t xml:space="preserve"> </w:t>
      </w:r>
      <w:r w:rsidRPr="002A6558">
        <w:t xml:space="preserve">Holocaust remembrance, A/RES/60/7, </w:t>
      </w:r>
      <w:r>
        <w:t xml:space="preserve">available at </w:t>
      </w:r>
      <w:r w:rsidRPr="002A6558">
        <w:t>http://www.un.org/en/ga/search/view_doc.asp?symbol=A/RES/60/7</w:t>
      </w:r>
    </w:p>
  </w:footnote>
  <w:footnote w:id="107">
    <w:p w:rsidR="009B636F" w:rsidRPr="002A6558" w:rsidRDefault="009B636F" w:rsidP="007E491E">
      <w:pPr>
        <w:pStyle w:val="a5"/>
        <w:jc w:val="both"/>
        <w:rPr>
          <w:rtl/>
        </w:rPr>
      </w:pPr>
      <w:r w:rsidRPr="002A6558">
        <w:rPr>
          <w:rStyle w:val="a7"/>
        </w:rPr>
        <w:footnoteRef/>
      </w:r>
      <w:r w:rsidRPr="002A6558">
        <w:rPr>
          <w:rtl/>
        </w:rPr>
        <w:t xml:space="preserve"> </w:t>
      </w:r>
      <w:r w:rsidRPr="002A6558">
        <w:t>Science, technology and innovation for development, A/RES/68/220,</w:t>
      </w:r>
      <w:r>
        <w:t xml:space="preserve"> available at</w:t>
      </w:r>
      <w:r w:rsidRPr="002A6558">
        <w:t xml:space="preserve"> </w:t>
      </w:r>
      <w:hyperlink r:id="rId10" w:history="1">
        <w:r w:rsidRPr="002A6558">
          <w:rPr>
            <w:rFonts w:cs="David"/>
          </w:rPr>
          <w:t>http://www.un.org/en/ga/search/view_doc.asp?symbol=A/RES/68/220</w:t>
        </w:r>
      </w:hyperlink>
      <w:r w:rsidRPr="002A6558">
        <w:rPr>
          <w:rFonts w:hint="cs"/>
          <w:rtl/>
        </w:rPr>
        <w:t xml:space="preserve">. </w:t>
      </w:r>
      <w:r w:rsidRPr="002A6558">
        <w:rPr>
          <w:rFonts w:cs="David" w:hint="cs"/>
          <w:rtl/>
        </w:rPr>
        <w:t xml:space="preserve">בעקבות ההחלטה אף קיימה ישראל כנס גדול בהשתתפות חברות רבות באו"ם, שבו הציעה לעולם פתרונות לפיתוח יזמות גלובלית. ראה דגוני רן (2013), </w:t>
      </w:r>
      <w:r w:rsidRPr="002A6558">
        <w:rPr>
          <w:rFonts w:ascii="almoni-dl" w:hAnsi="almoni-dl" w:cs="David"/>
          <w:rtl/>
        </w:rPr>
        <w:t>הניצחון הגדול של ישראל בעצרת הכללית: 141 חתמים</w:t>
      </w:r>
      <w:r w:rsidRPr="002A6558">
        <w:rPr>
          <w:rFonts w:ascii="almoni-dl" w:hAnsi="almoni-dl" w:cs="David" w:hint="cs"/>
          <w:rtl/>
        </w:rPr>
        <w:t>,</w:t>
      </w:r>
      <w:r w:rsidRPr="002A6558">
        <w:rPr>
          <w:rFonts w:ascii="almoni-dl" w:hAnsi="almoni-dl" w:cs="David" w:hint="cs"/>
          <w:b/>
          <w:bCs/>
          <w:rtl/>
        </w:rPr>
        <w:t xml:space="preserve"> גלובס, </w:t>
      </w:r>
      <w:r w:rsidRPr="002A6558">
        <w:rPr>
          <w:rFonts w:cs="David"/>
        </w:rPr>
        <w:t>http://www.globes.co.il/news/article.aspx?did=1000857561</w:t>
      </w:r>
      <w:r w:rsidRPr="002A6558">
        <w:rPr>
          <w:rFonts w:ascii="almoni-dl" w:hAnsi="almoni-dl" w:cs="David" w:hint="cs"/>
          <w:rtl/>
        </w:rPr>
        <w:t>.</w:t>
      </w:r>
    </w:p>
  </w:footnote>
  <w:footnote w:id="108">
    <w:p w:rsidR="009B636F" w:rsidRPr="002A6558" w:rsidRDefault="009B636F" w:rsidP="00397737">
      <w:pPr>
        <w:pStyle w:val="a5"/>
        <w:jc w:val="both"/>
        <w:rPr>
          <w:rFonts w:cs="David"/>
          <w:rtl/>
        </w:rPr>
      </w:pPr>
      <w:r w:rsidRPr="002A6558">
        <w:rPr>
          <w:rStyle w:val="a7"/>
        </w:rPr>
        <w:footnoteRef/>
      </w:r>
      <w:r w:rsidRPr="002A6558">
        <w:rPr>
          <w:rtl/>
        </w:rPr>
        <w:t xml:space="preserve"> </w:t>
      </w:r>
      <w:r w:rsidRPr="002A6558">
        <w:rPr>
          <w:rFonts w:cs="David" w:hint="cs"/>
          <w:rtl/>
        </w:rPr>
        <w:t xml:space="preserve">וראה מאמרם של הפרופסורים עמיחי כהן וסטיוארט כהן לעניין תהליך ההפנמה של המשפט הבינלאומי שעוברת מדינת ישראל: </w:t>
      </w:r>
      <w:r w:rsidRPr="002A6558">
        <w:rPr>
          <w:rFonts w:cs="David"/>
        </w:rPr>
        <w:t xml:space="preserve">Cohen Amichai, Cohen Stuart (2011), </w:t>
      </w:r>
      <w:hyperlink r:id="rId11" w:history="1">
        <w:r w:rsidRPr="002A6558">
          <w:rPr>
            <w:rFonts w:eastAsia="Times New Roman" w:cs="Arial"/>
          </w:rPr>
          <w:t>Israel and International Humanitarian Law: Between the Neo-Realism of State Security and the "Soft Power" of Legal Acceptability</w:t>
        </w:r>
      </w:hyperlink>
      <w:r w:rsidRPr="002A6558">
        <w:rPr>
          <w:rFonts w:eastAsia="Times New Roman" w:cs="Arial"/>
        </w:rPr>
        <w:t xml:space="preserve">, </w:t>
      </w:r>
      <w:hyperlink r:id="rId12" w:history="1">
        <w:r w:rsidRPr="002A6558">
          <w:rPr>
            <w:rStyle w:val="Hyperlink"/>
            <w:rFonts w:cs="Arial"/>
            <w:b/>
            <w:bCs/>
            <w:color w:val="auto"/>
            <w:u w:val="none"/>
            <w:shd w:val="clear" w:color="auto" w:fill="FFFFFF"/>
          </w:rPr>
          <w:t>Israel Studies</w:t>
        </w:r>
      </w:hyperlink>
      <w:r w:rsidRPr="002A6558">
        <w:t>, Volume 16, Number 2, Summer 2011,</w:t>
      </w:r>
      <w:r w:rsidRPr="002A6558">
        <w:rPr>
          <w:b/>
          <w:bCs/>
        </w:rPr>
        <w:t xml:space="preserve"> </w:t>
      </w:r>
      <w:r>
        <w:t xml:space="preserve">available at </w:t>
      </w:r>
      <w:r w:rsidRPr="002A6558">
        <w:t>http://muse.jhu.edu/article/429105/pdf</w:t>
      </w:r>
      <w:r>
        <w:rPr>
          <w:rFonts w:hint="cs"/>
          <w:rtl/>
        </w:rPr>
        <w:t xml:space="preserve">; </w:t>
      </w:r>
      <w:r w:rsidRPr="00BA22C2">
        <w:rPr>
          <w:rFonts w:cs="David" w:hint="cs"/>
          <w:rtl/>
        </w:rPr>
        <w:t xml:space="preserve">וכן כהן עמיחי וכהן סטיוארט (2014), </w:t>
      </w:r>
      <w:r w:rsidRPr="00BA22C2">
        <w:rPr>
          <w:rFonts w:cs="David" w:hint="cs"/>
          <w:b/>
          <w:bCs/>
          <w:rtl/>
        </w:rPr>
        <w:t xml:space="preserve">יורים ושופטים </w:t>
      </w:r>
      <w:r w:rsidRPr="00BA22C2">
        <w:rPr>
          <w:rFonts w:cs="David"/>
          <w:b/>
          <w:bCs/>
          <w:rtl/>
        </w:rPr>
        <w:t>–</w:t>
      </w:r>
      <w:r w:rsidRPr="00BA22C2">
        <w:rPr>
          <w:rFonts w:cs="David" w:hint="cs"/>
          <w:b/>
          <w:bCs/>
          <w:rtl/>
        </w:rPr>
        <w:t xml:space="preserve"> ביטחון ומשפט בישראל</w:t>
      </w:r>
      <w:r w:rsidRPr="00BA22C2">
        <w:rPr>
          <w:rFonts w:cs="David" w:hint="cs"/>
          <w:rtl/>
        </w:rPr>
        <w:t xml:space="preserve">, תל אביב, ידיעות אחרונות </w:t>
      </w:r>
      <w:r w:rsidRPr="00BA22C2">
        <w:rPr>
          <w:rFonts w:cs="David"/>
          <w:rtl/>
        </w:rPr>
        <w:t>–</w:t>
      </w:r>
      <w:r w:rsidRPr="00BA22C2">
        <w:rPr>
          <w:rFonts w:cs="David" w:hint="cs"/>
          <w:rtl/>
        </w:rPr>
        <w:t xml:space="preserve"> ספרי חמד </w:t>
      </w:r>
      <w:r w:rsidRPr="00BA22C2">
        <w:rPr>
          <w:rFonts w:cs="David"/>
          <w:rtl/>
        </w:rPr>
        <w:t>–</w:t>
      </w:r>
      <w:r w:rsidRPr="00BA22C2">
        <w:rPr>
          <w:rFonts w:cs="David" w:hint="cs"/>
          <w:rtl/>
        </w:rPr>
        <w:t xml:space="preserve"> הקריה האקדמית אונו, עמודים 200-209</w:t>
      </w:r>
    </w:p>
  </w:footnote>
  <w:footnote w:id="109">
    <w:p w:rsidR="009B636F" w:rsidRPr="002A6558" w:rsidRDefault="009B636F" w:rsidP="00397737">
      <w:pPr>
        <w:pStyle w:val="a5"/>
        <w:jc w:val="both"/>
        <w:rPr>
          <w:rtl/>
        </w:rPr>
      </w:pPr>
      <w:r w:rsidRPr="002A6558">
        <w:rPr>
          <w:rStyle w:val="a7"/>
        </w:rPr>
        <w:footnoteRef/>
      </w:r>
      <w:r w:rsidRPr="002A6558">
        <w:rPr>
          <w:rtl/>
        </w:rPr>
        <w:t xml:space="preserve"> </w:t>
      </w:r>
      <w:r w:rsidRPr="002A6558">
        <w:rPr>
          <w:rFonts w:cs="Arial"/>
          <w:spacing w:val="4"/>
          <w:shd w:val="clear" w:color="auto" w:fill="FFFFFF"/>
        </w:rPr>
        <w:t>United Nations Truce Supervision Organization, http://untso.unmissions.org/</w:t>
      </w:r>
    </w:p>
  </w:footnote>
  <w:footnote w:id="110">
    <w:p w:rsidR="009B636F" w:rsidRPr="002A6558" w:rsidRDefault="009B636F" w:rsidP="00397737">
      <w:pPr>
        <w:pStyle w:val="a5"/>
        <w:jc w:val="both"/>
        <w:rPr>
          <w:rtl/>
        </w:rPr>
      </w:pPr>
      <w:r w:rsidRPr="002A6558">
        <w:rPr>
          <w:rStyle w:val="a7"/>
        </w:rPr>
        <w:footnoteRef/>
      </w:r>
      <w:r w:rsidRPr="002A6558">
        <w:rPr>
          <w:rtl/>
        </w:rPr>
        <w:t xml:space="preserve"> </w:t>
      </w:r>
      <w:r w:rsidRPr="002A6558">
        <w:t>United Nations Interim Force in Lebanon, http://www.un.org/en/peacekeeping/missions/unifil/</w:t>
      </w:r>
    </w:p>
  </w:footnote>
  <w:footnote w:id="111">
    <w:p w:rsidR="009B636F" w:rsidRPr="002A6558" w:rsidRDefault="009B636F" w:rsidP="00397737">
      <w:pPr>
        <w:pStyle w:val="a5"/>
        <w:jc w:val="both"/>
        <w:rPr>
          <w:rtl/>
        </w:rPr>
      </w:pPr>
      <w:r w:rsidRPr="002A6558">
        <w:rPr>
          <w:rStyle w:val="a7"/>
        </w:rPr>
        <w:footnoteRef/>
      </w:r>
      <w:r w:rsidRPr="002A6558">
        <w:rPr>
          <w:rtl/>
        </w:rPr>
        <w:t xml:space="preserve"> </w:t>
      </w:r>
      <w:r w:rsidRPr="002A6558">
        <w:rPr>
          <w:shd w:val="clear" w:color="auto" w:fill="FFFFFF"/>
        </w:rPr>
        <w:t>United Nations</w:t>
      </w:r>
      <w:r w:rsidRPr="002A6558">
        <w:rPr>
          <w:rStyle w:val="apple-converted-space"/>
          <w:shd w:val="clear" w:color="auto" w:fill="FFFFFF"/>
        </w:rPr>
        <w:t> </w:t>
      </w:r>
      <w:r w:rsidRPr="002A6558">
        <w:rPr>
          <w:shd w:val="clear" w:color="auto" w:fill="FFFFFF"/>
        </w:rPr>
        <w:t>Office for the Coordination of Humanitarian Affairs - Occupied Palestinian Territory, http://www.ochaopt.org/index.aspx</w:t>
      </w:r>
    </w:p>
  </w:footnote>
  <w:footnote w:id="112">
    <w:p w:rsidR="009B636F" w:rsidRPr="002A6558" w:rsidRDefault="009B636F" w:rsidP="00397737">
      <w:pPr>
        <w:pStyle w:val="a5"/>
        <w:jc w:val="both"/>
        <w:rPr>
          <w:rtl/>
        </w:rPr>
      </w:pPr>
      <w:r w:rsidRPr="002A6558">
        <w:rPr>
          <w:rStyle w:val="a7"/>
        </w:rPr>
        <w:footnoteRef/>
      </w:r>
      <w:r w:rsidRPr="002A6558">
        <w:rPr>
          <w:rtl/>
        </w:rPr>
        <w:t xml:space="preserve"> </w:t>
      </w:r>
      <w:r w:rsidRPr="002A6558">
        <w:t>United Nations Disengagement Observer Force, http://www.un.org/en/peacekeeping/missions/undof/</w:t>
      </w:r>
    </w:p>
  </w:footnote>
  <w:footnote w:id="113">
    <w:p w:rsidR="009B636F" w:rsidRPr="002A6558" w:rsidRDefault="009B636F" w:rsidP="00397737">
      <w:pPr>
        <w:pStyle w:val="a5"/>
        <w:jc w:val="both"/>
        <w:rPr>
          <w:rtl/>
        </w:rPr>
      </w:pPr>
      <w:r w:rsidRPr="002A6558">
        <w:rPr>
          <w:rStyle w:val="a7"/>
        </w:rPr>
        <w:footnoteRef/>
      </w:r>
      <w:r w:rsidRPr="002A6558">
        <w:rPr>
          <w:rtl/>
        </w:rPr>
        <w:t xml:space="preserve"> </w:t>
      </w:r>
      <w:r w:rsidRPr="002A6558">
        <w:rPr>
          <w:shd w:val="clear" w:color="auto" w:fill="FFFFFF"/>
        </w:rPr>
        <w:t>United Nations Relief and Works Agency for Palestine Refugees</w:t>
      </w:r>
      <w:r w:rsidRPr="002A6558">
        <w:t>, http://www.unrwa.org/</w:t>
      </w:r>
    </w:p>
  </w:footnote>
  <w:footnote w:id="114">
    <w:p w:rsidR="009B636F" w:rsidRPr="002A6558" w:rsidRDefault="009B636F" w:rsidP="00397737">
      <w:pPr>
        <w:pStyle w:val="a5"/>
        <w:jc w:val="both"/>
        <w:rPr>
          <w:rtl/>
        </w:rPr>
      </w:pPr>
      <w:r w:rsidRPr="002A6558">
        <w:rPr>
          <w:rStyle w:val="a7"/>
        </w:rPr>
        <w:footnoteRef/>
      </w:r>
      <w:r w:rsidRPr="002A6558">
        <w:rPr>
          <w:rtl/>
        </w:rPr>
        <w:t xml:space="preserve"> </w:t>
      </w:r>
      <w:r w:rsidRPr="002A6558">
        <w:t>The Multinational Force &amp; Observers, http://mfo.org/en</w:t>
      </w:r>
    </w:p>
  </w:footnote>
  <w:footnote w:id="115">
    <w:p w:rsidR="009B636F" w:rsidRPr="002A6558" w:rsidRDefault="009B636F" w:rsidP="00397737">
      <w:pPr>
        <w:pStyle w:val="a5"/>
        <w:jc w:val="both"/>
        <w:rPr>
          <w:rtl/>
        </w:rPr>
      </w:pPr>
      <w:r w:rsidRPr="002A6558">
        <w:rPr>
          <w:rStyle w:val="a7"/>
        </w:rPr>
        <w:footnoteRef/>
      </w:r>
      <w:r w:rsidRPr="002A6558">
        <w:rPr>
          <w:rtl/>
        </w:rPr>
        <w:t xml:space="preserve"> </w:t>
      </w:r>
      <w:hyperlink r:id="rId13" w:tooltip="Home" w:history="1">
        <w:r w:rsidRPr="002A6558">
          <w:rPr>
            <w:rStyle w:val="logotext"/>
            <w:rFonts w:cs="Arial"/>
          </w:rPr>
          <w:t>Temporary International Presence in Hebron</w:t>
        </w:r>
      </w:hyperlink>
      <w:r w:rsidRPr="002A6558">
        <w:rPr>
          <w:rFonts w:cs="Arial"/>
        </w:rPr>
        <w:t>, http://www.tiph.org/en/About_TIPH</w:t>
      </w:r>
    </w:p>
  </w:footnote>
  <w:footnote w:id="116">
    <w:p w:rsidR="009B636F" w:rsidRPr="002A6558" w:rsidRDefault="009B636F" w:rsidP="00C43B4B">
      <w:pPr>
        <w:pStyle w:val="a5"/>
        <w:jc w:val="both"/>
        <w:rPr>
          <w:rFonts w:cs="David"/>
        </w:rPr>
      </w:pPr>
      <w:r w:rsidRPr="002A6558">
        <w:rPr>
          <w:rStyle w:val="a7"/>
        </w:rPr>
        <w:footnoteRef/>
      </w:r>
      <w:r w:rsidRPr="002A6558">
        <w:rPr>
          <w:rtl/>
        </w:rPr>
        <w:t xml:space="preserve"> </w:t>
      </w:r>
      <w:r w:rsidRPr="002A6558">
        <w:rPr>
          <w:rFonts w:cs="David" w:hint="cs"/>
          <w:rtl/>
        </w:rPr>
        <w:t xml:space="preserve">ראה לדוגמה ההפניות שיש בדוח גולדסטון הנזכר בה"ש </w:t>
      </w:r>
      <w:r>
        <w:rPr>
          <w:rFonts w:cs="David"/>
          <w:rtl/>
        </w:rPr>
        <w:fldChar w:fldCharType="begin"/>
      </w:r>
      <w:r>
        <w:rPr>
          <w:rFonts w:cs="David"/>
          <w:rtl/>
        </w:rPr>
        <w:instrText xml:space="preserve"> </w:instrText>
      </w:r>
      <w:r>
        <w:rPr>
          <w:rFonts w:cs="David" w:hint="cs"/>
        </w:rPr>
        <w:instrText>NOTEREF</w:instrText>
      </w:r>
      <w:r>
        <w:rPr>
          <w:rFonts w:cs="David" w:hint="cs"/>
          <w:rtl/>
        </w:rPr>
        <w:instrText xml:space="preserve"> _</w:instrText>
      </w:r>
      <w:r>
        <w:rPr>
          <w:rFonts w:cs="David" w:hint="cs"/>
        </w:rPr>
        <w:instrText>Ref454786290 \h</w:instrText>
      </w:r>
      <w:r>
        <w:rPr>
          <w:rFonts w:cs="David"/>
          <w:rtl/>
        </w:rPr>
        <w:instrText xml:space="preserve"> </w:instrText>
      </w:r>
      <w:r>
        <w:rPr>
          <w:rFonts w:cs="David"/>
          <w:rtl/>
        </w:rPr>
      </w:r>
      <w:r>
        <w:rPr>
          <w:rFonts w:cs="David"/>
          <w:rtl/>
        </w:rPr>
        <w:fldChar w:fldCharType="separate"/>
      </w:r>
      <w:r>
        <w:rPr>
          <w:rFonts w:cs="David"/>
          <w:rtl/>
        </w:rPr>
        <w:t>315</w:t>
      </w:r>
      <w:r>
        <w:rPr>
          <w:rFonts w:cs="David"/>
          <w:rtl/>
        </w:rPr>
        <w:fldChar w:fldCharType="end"/>
      </w:r>
      <w:r>
        <w:rPr>
          <w:rFonts w:cs="David" w:hint="cs"/>
          <w:rtl/>
        </w:rPr>
        <w:t xml:space="preserve"> </w:t>
      </w:r>
      <w:r w:rsidRPr="002A6558">
        <w:rPr>
          <w:rFonts w:cs="David" w:hint="cs"/>
          <w:rtl/>
        </w:rPr>
        <w:t>לדוחות של דווחים מיוחדים שונים של מועצת זכויות האדם.</w:t>
      </w:r>
    </w:p>
  </w:footnote>
  <w:footnote w:id="117">
    <w:p w:rsidR="009B636F" w:rsidRPr="002A6558" w:rsidRDefault="009B636F" w:rsidP="00397737">
      <w:pPr>
        <w:pStyle w:val="a5"/>
        <w:jc w:val="both"/>
        <w:rPr>
          <w:rFonts w:cs="David"/>
        </w:rPr>
      </w:pPr>
      <w:r w:rsidRPr="002A6558">
        <w:rPr>
          <w:rStyle w:val="a7"/>
        </w:rPr>
        <w:footnoteRef/>
      </w:r>
      <w:r w:rsidRPr="002A6558">
        <w:rPr>
          <w:rtl/>
        </w:rPr>
        <w:t xml:space="preserve"> </w:t>
      </w:r>
      <w:r w:rsidRPr="002A6558">
        <w:rPr>
          <w:rFonts w:cs="David" w:hint="cs"/>
          <w:rtl/>
        </w:rPr>
        <w:t>ראה היקף ההפניות הרב אפילו לדוחות של ארגונים לא ממשלתיים בינלאומיים</w:t>
      </w:r>
      <w:r>
        <w:rPr>
          <w:rFonts w:cs="David" w:hint="cs"/>
          <w:rtl/>
        </w:rPr>
        <w:t xml:space="preserve"> על ידי </w:t>
      </w:r>
      <w:r w:rsidRPr="002A6558">
        <w:rPr>
          <w:rFonts w:cs="David" w:hint="cs"/>
          <w:rtl/>
        </w:rPr>
        <w:t xml:space="preserve">בתי משפט בכל רחבי העולם: </w:t>
      </w:r>
      <w:r w:rsidRPr="002A6558">
        <w:rPr>
          <w:rFonts w:cs="David"/>
        </w:rPr>
        <w:t>Court References to Fact-Finding Missions, International Bar Association</w:t>
      </w:r>
    </w:p>
  </w:footnote>
  <w:footnote w:id="118">
    <w:p w:rsidR="009B636F" w:rsidRPr="002A6558" w:rsidRDefault="009B636F" w:rsidP="00FD0E3A">
      <w:pPr>
        <w:pStyle w:val="a5"/>
        <w:jc w:val="both"/>
        <w:rPr>
          <w:rFonts w:cs="David"/>
          <w:rtl/>
        </w:rPr>
      </w:pPr>
      <w:r w:rsidRPr="002A6558">
        <w:rPr>
          <w:rStyle w:val="a7"/>
        </w:rPr>
        <w:footnoteRef/>
      </w:r>
      <w:r w:rsidRPr="002A6558">
        <w:rPr>
          <w:rtl/>
        </w:rPr>
        <w:t xml:space="preserve"> </w:t>
      </w:r>
      <w:r w:rsidRPr="002A6558">
        <w:rPr>
          <w:rFonts w:cs="David" w:hint="cs"/>
          <w:rtl/>
        </w:rPr>
        <w:t xml:space="preserve">חוות הדעת רצופה הפניות לדוחות של דווחים שונים של מועצת זכויות האדם ובמיוחד הדווח המיוחד ל"שטחים הפלסטיניים הכבושים". ראה </w:t>
      </w:r>
      <w:r w:rsidRPr="002A6558">
        <w:t xml:space="preserve">Legal Consequences of the Construction of a Wall in the Occupied Palestinian Territory, Advisory Opinion, ICJ, 9 July 2004, </w:t>
      </w:r>
      <w:r>
        <w:t>available at</w:t>
      </w:r>
      <w:r w:rsidRPr="002A6558">
        <w:t xml:space="preserve"> http://www.icj-cij.org/docket/files/131/1671.pdf</w:t>
      </w:r>
      <w:r>
        <w:rPr>
          <w:rFonts w:cs="David" w:hint="cs"/>
          <w:rtl/>
        </w:rPr>
        <w:t>.</w:t>
      </w:r>
    </w:p>
  </w:footnote>
  <w:footnote w:id="119">
    <w:p w:rsidR="009B636F" w:rsidRPr="002A6558" w:rsidRDefault="009B636F" w:rsidP="00870436">
      <w:pPr>
        <w:pStyle w:val="a5"/>
        <w:jc w:val="both"/>
        <w:rPr>
          <w:rFonts w:cs="David"/>
          <w:rtl/>
        </w:rPr>
      </w:pPr>
      <w:r w:rsidRPr="002A6558">
        <w:rPr>
          <w:rStyle w:val="a7"/>
        </w:rPr>
        <w:footnoteRef/>
      </w:r>
      <w:r w:rsidRPr="002A6558">
        <w:rPr>
          <w:rtl/>
        </w:rPr>
        <w:t xml:space="preserve"> </w:t>
      </w:r>
      <w:r w:rsidRPr="002A6558">
        <w:rPr>
          <w:rFonts w:cs="David" w:hint="cs"/>
          <w:rtl/>
        </w:rPr>
        <w:t xml:space="preserve">ראה לעניין זה מאמר המנתח באופן ביקורתי את הסטנדרטים המשפטיים לפיהם פועל צה"ל בתקיפת מטרות: </w:t>
      </w:r>
      <w:r>
        <w:t>Schmitt Michael</w:t>
      </w:r>
      <w:r w:rsidRPr="002A6558">
        <w:t>, Merriam John (2015), The Tyranny of Context: Israeli Targeting Practices in Legal Perspective, University of Pennsylvania Journal of International Law, Volume 37, Issue 1, pp. 53-139</w:t>
      </w:r>
      <w:r>
        <w:t xml:space="preserve">, available at </w:t>
      </w:r>
      <w:r w:rsidRPr="001A60EA">
        <w:t>https://ore.exeter.ac.uk/repository/bitstream/handle/10871/18671/Israeli%20Targeting%20Practices%20in%20Legal%20Pers.pdf?sequence=1</w:t>
      </w:r>
      <w:r>
        <w:rPr>
          <w:rFonts w:cs="David" w:hint="cs"/>
          <w:rtl/>
        </w:rPr>
        <w:t xml:space="preserve">; כן ראה התייחסות בעניין בדוחות שפרסמה מדינת ישראל לאחר מבצע "עופרת יצוקה", ה"ש </w:t>
      </w:r>
      <w:r>
        <w:rPr>
          <w:rFonts w:cs="David"/>
          <w:rtl/>
        </w:rPr>
        <w:fldChar w:fldCharType="begin"/>
      </w:r>
      <w:r>
        <w:rPr>
          <w:rFonts w:cs="David"/>
          <w:rtl/>
        </w:rPr>
        <w:instrText xml:space="preserve"> </w:instrText>
      </w:r>
      <w:r>
        <w:rPr>
          <w:rFonts w:cs="David" w:hint="cs"/>
        </w:rPr>
        <w:instrText>NOTEREF</w:instrText>
      </w:r>
      <w:r>
        <w:rPr>
          <w:rFonts w:cs="David" w:hint="cs"/>
          <w:rtl/>
        </w:rPr>
        <w:instrText xml:space="preserve"> _</w:instrText>
      </w:r>
      <w:r>
        <w:rPr>
          <w:rFonts w:cs="David" w:hint="cs"/>
        </w:rPr>
        <w:instrText>Ref454726808 \h</w:instrText>
      </w:r>
      <w:r>
        <w:rPr>
          <w:rFonts w:cs="David"/>
          <w:rtl/>
        </w:rPr>
        <w:instrText xml:space="preserve"> </w:instrText>
      </w:r>
      <w:r>
        <w:rPr>
          <w:rFonts w:cs="David"/>
          <w:rtl/>
        </w:rPr>
      </w:r>
      <w:r>
        <w:rPr>
          <w:rFonts w:cs="David"/>
          <w:rtl/>
        </w:rPr>
        <w:fldChar w:fldCharType="separate"/>
      </w:r>
      <w:r>
        <w:rPr>
          <w:rFonts w:cs="David"/>
          <w:rtl/>
        </w:rPr>
        <w:t>268</w:t>
      </w:r>
      <w:r>
        <w:rPr>
          <w:rFonts w:cs="David"/>
          <w:rtl/>
        </w:rPr>
        <w:fldChar w:fldCharType="end"/>
      </w:r>
      <w:r>
        <w:rPr>
          <w:rFonts w:cs="David" w:hint="cs"/>
          <w:rtl/>
        </w:rPr>
        <w:t xml:space="preserve"> להלן, ולאחר מבצע "צוק איתן", ה"ש </w:t>
      </w:r>
      <w:r>
        <w:rPr>
          <w:rFonts w:cs="David"/>
          <w:rtl/>
        </w:rPr>
        <w:fldChar w:fldCharType="begin"/>
      </w:r>
      <w:r>
        <w:rPr>
          <w:rFonts w:cs="David"/>
          <w:rtl/>
        </w:rPr>
        <w:instrText xml:space="preserve"> </w:instrText>
      </w:r>
      <w:r>
        <w:rPr>
          <w:rFonts w:cs="David" w:hint="cs"/>
        </w:rPr>
        <w:instrText>NOTEREF</w:instrText>
      </w:r>
      <w:r>
        <w:rPr>
          <w:rFonts w:cs="David" w:hint="cs"/>
          <w:rtl/>
        </w:rPr>
        <w:instrText xml:space="preserve"> _</w:instrText>
      </w:r>
      <w:r>
        <w:rPr>
          <w:rFonts w:cs="David" w:hint="cs"/>
        </w:rPr>
        <w:instrText>Ref454726540 \h</w:instrText>
      </w:r>
      <w:r>
        <w:rPr>
          <w:rFonts w:cs="David"/>
          <w:rtl/>
        </w:rPr>
        <w:instrText xml:space="preserve"> </w:instrText>
      </w:r>
      <w:r>
        <w:rPr>
          <w:rFonts w:cs="David"/>
          <w:rtl/>
        </w:rPr>
      </w:r>
      <w:r>
        <w:rPr>
          <w:rFonts w:cs="David"/>
          <w:rtl/>
        </w:rPr>
        <w:fldChar w:fldCharType="separate"/>
      </w:r>
      <w:r>
        <w:rPr>
          <w:rFonts w:cs="David"/>
          <w:rtl/>
        </w:rPr>
        <w:t>269</w:t>
      </w:r>
      <w:r>
        <w:rPr>
          <w:rFonts w:cs="David"/>
          <w:rtl/>
        </w:rPr>
        <w:fldChar w:fldCharType="end"/>
      </w:r>
      <w:r>
        <w:rPr>
          <w:rFonts w:cs="David" w:hint="cs"/>
          <w:rtl/>
        </w:rPr>
        <w:t xml:space="preserve"> להלן, ובפרסומים מגוונים באתר הפרקליטות הצבאית, בכתובת </w:t>
      </w:r>
      <w:r w:rsidRPr="004C78C4">
        <w:rPr>
          <w:rFonts w:cs="David"/>
        </w:rPr>
        <w:t>http://www.law.idf.il/14-en/Patzar.aspx</w:t>
      </w:r>
      <w:r>
        <w:rPr>
          <w:rFonts w:cs="David" w:hint="cs"/>
          <w:rtl/>
        </w:rPr>
        <w:t>.</w:t>
      </w:r>
    </w:p>
  </w:footnote>
  <w:footnote w:id="120">
    <w:p w:rsidR="009B636F" w:rsidRDefault="009B636F" w:rsidP="0029031E">
      <w:pPr>
        <w:pStyle w:val="a5"/>
        <w:jc w:val="both"/>
      </w:pPr>
      <w:r>
        <w:rPr>
          <w:rStyle w:val="a7"/>
        </w:rPr>
        <w:footnoteRef/>
      </w:r>
      <w:r>
        <w:rPr>
          <w:rtl/>
        </w:rPr>
        <w:t xml:space="preserve"> </w:t>
      </w:r>
      <w:r w:rsidRPr="0029031E">
        <w:rPr>
          <w:rFonts w:cs="David" w:hint="cs"/>
          <w:rtl/>
        </w:rPr>
        <w:t xml:space="preserve">ראה ה"ש </w:t>
      </w:r>
      <w:fldSimple w:instr=" NOTEREF _Ref454785690 \h  \* MERGEFORMAT ">
        <w:r w:rsidRPr="0029031E">
          <w:rPr>
            <w:rFonts w:cs="David"/>
            <w:rtl/>
          </w:rPr>
          <w:t>119</w:t>
        </w:r>
      </w:fldSimple>
      <w:r w:rsidRPr="0029031E">
        <w:rPr>
          <w:rFonts w:cs="David" w:hint="cs"/>
          <w:rtl/>
        </w:rPr>
        <w:t xml:space="preserve"> לעיל.</w:t>
      </w:r>
    </w:p>
  </w:footnote>
  <w:footnote w:id="121">
    <w:p w:rsidR="009B636F" w:rsidRPr="002A6558" w:rsidRDefault="009B636F" w:rsidP="00397737">
      <w:pPr>
        <w:pStyle w:val="a5"/>
        <w:jc w:val="both"/>
        <w:rPr>
          <w:rFonts w:cs="David"/>
        </w:rPr>
      </w:pPr>
      <w:r w:rsidRPr="002A6558">
        <w:rPr>
          <w:rStyle w:val="a7"/>
        </w:rPr>
        <w:footnoteRef/>
      </w:r>
      <w:r w:rsidRPr="002A6558">
        <w:rPr>
          <w:rtl/>
        </w:rPr>
        <w:t xml:space="preserve"> </w:t>
      </w:r>
      <w:r w:rsidRPr="002A6558">
        <w:rPr>
          <w:rFonts w:cs="David" w:hint="cs"/>
          <w:rtl/>
        </w:rPr>
        <w:t xml:space="preserve">ראה לדוגמאות מקורות המשפט הבינלאומי בהם עושה שימוש בית הדין הבינלאומי לצדק, בסעיף 38 לאמנת בית הדין: </w:t>
      </w:r>
      <w:r w:rsidRPr="002A6558">
        <w:rPr>
          <w:rFonts w:cs="David"/>
        </w:rPr>
        <w:t>Statute of the International Court of Justice, United Nations, 18 April 1946, available at http://www.icj-cij.org/documents/?p1=4&amp;p2=2</w:t>
      </w:r>
    </w:p>
  </w:footnote>
  <w:footnote w:id="122">
    <w:p w:rsidR="009B636F" w:rsidRPr="002A6558" w:rsidRDefault="009B636F" w:rsidP="001A60EA">
      <w:pPr>
        <w:pStyle w:val="a5"/>
        <w:jc w:val="both"/>
        <w:rPr>
          <w:rFonts w:cs="David"/>
          <w:rtl/>
        </w:rPr>
      </w:pPr>
      <w:r w:rsidRPr="002A6558">
        <w:rPr>
          <w:rStyle w:val="a7"/>
        </w:rPr>
        <w:footnoteRef/>
      </w:r>
      <w:r w:rsidRPr="002A6558">
        <w:rPr>
          <w:rtl/>
        </w:rPr>
        <w:t xml:space="preserve"> </w:t>
      </w:r>
      <w:r w:rsidRPr="002A6558">
        <w:rPr>
          <w:rFonts w:cs="David" w:hint="cs"/>
          <w:rtl/>
        </w:rPr>
        <w:t xml:space="preserve">ראה, לדוגמה הפניה לדוח מלחמת לבנון השנייה של מועצת זכויות האדם לעניין הבחנה בין עימות מזוין בינלאומי לעימות מזוין שאינו בינלאומי בה"ש 101 בקישור </w:t>
      </w:r>
      <w:hyperlink r:id="rId14" w:history="1">
        <w:r w:rsidRPr="002A6558">
          <w:rPr>
            <w:rFonts w:cs="David"/>
          </w:rPr>
          <w:t>Convention (I) for the Amelioration of the Condition of the Wounded and Sick in Armed Forces in the Field. Geneva, 12 August 1949,</w:t>
        </w:r>
      </w:hyperlink>
      <w:r w:rsidRPr="002A6558">
        <w:rPr>
          <w:rFonts w:cs="David"/>
        </w:rPr>
        <w:t xml:space="preserve"> COMMENTARY OF 2016, ARTICLE 2 : APPLICATION OF THE CONVENTION, available at https://www.icrc.org/applic/ihl/ihl.nsf/Comment.xsp?documentId=BE2D518CF5DE54EAC1257F7D0036B518&amp;action=OpenDocument#101_B</w:t>
      </w:r>
      <w:r w:rsidRPr="002A6558">
        <w:rPr>
          <w:rFonts w:cs="David" w:hint="cs"/>
          <w:rtl/>
        </w:rPr>
        <w:t xml:space="preserve">; הפניה לדוח ועדת החקירה של מועצת זכויות האדם על לוב לעניין השאלה האם האיסור על רצח כלול בהגנות שבסעיף 4 המשותף לאמנות ג'נבה מ-1949, הפניה למחקר של הוועדה המייעצת למועצת זכויות האדם על פרקטיקות מיטביות בנושא אנשים נעדרים באשר לאיסור פגיעה באנשים מתים, הפניה לדוח ועדת החקירה על סוריה של מועצת זכויות האדם לעניין איסור תקיפת שיירות רפואיות בזמן שהן מובילות לוחמים פצועים, והפניה לדוח ועדת החקירה של מועצת זכויות האדם על סוריה לעניין כיבוד המשפט הבינלאומי בעימותים מזוינים שאינם בינלאומיים, בה"ש 282, 540, 728 ו-893, בהתאמה, בקישור הבא </w:t>
      </w:r>
      <w:hyperlink r:id="rId15" w:history="1">
        <w:r w:rsidRPr="002A6558">
          <w:rPr>
            <w:rFonts w:cs="David"/>
          </w:rPr>
          <w:t>Convention (I) for the Amelioration of the Condition of the Wounded and Sick in Armed Forces in the Field. Geneva, 12 August 1949,</w:t>
        </w:r>
      </w:hyperlink>
      <w:r w:rsidRPr="002A6558">
        <w:rPr>
          <w:rFonts w:cs="David"/>
        </w:rPr>
        <w:t xml:space="preserve"> COMMENTARY OF 2016, ARTICLE 3: CONFLICTS NOT OF AN INTERNATIONAL CHARACTER, available at</w:t>
      </w:r>
      <w:r>
        <w:rPr>
          <w:rFonts w:cs="David" w:hint="cs"/>
        </w:rPr>
        <w:t xml:space="preserve"> </w:t>
      </w:r>
      <w:r w:rsidRPr="002A6558">
        <w:rPr>
          <w:rFonts w:cs="David"/>
        </w:rPr>
        <w:t>https://www.icrc.org/applic/ihl/ihl.nsf/Comment.xsp?documentId=59F6CDFA490736C1C1257F7D004BA0EC&amp;action=OpenDocument#893_B</w:t>
      </w:r>
      <w:r w:rsidRPr="002A6558">
        <w:rPr>
          <w:rFonts w:cs="David" w:hint="cs"/>
          <w:rtl/>
        </w:rPr>
        <w:t>; ההכרה בזכות ההגדרה העצמית</w:t>
      </w:r>
      <w:r>
        <w:rPr>
          <w:rFonts w:cs="David" w:hint="cs"/>
          <w:rtl/>
        </w:rPr>
        <w:t xml:space="preserve"> על ידי </w:t>
      </w:r>
      <w:r w:rsidRPr="002A6558">
        <w:rPr>
          <w:rFonts w:cs="David" w:hint="cs"/>
          <w:rtl/>
        </w:rPr>
        <w:t xml:space="preserve">נציבות זכויות האדם, בקישור </w:t>
      </w:r>
      <w:hyperlink r:id="rId16" w:history="1">
        <w:r w:rsidRPr="002A6558">
          <w:rPr>
            <w:rFonts w:eastAsia="Times New Roman" w:cs="Arial"/>
            <w:spacing w:val="2"/>
          </w:rPr>
          <w:t>Protocol Additional to the Geneva Conventions of 12 August 1949, and relating to the Protection of Victims of International Armed Conflicts (Protocol I), 8 June 1977,</w:t>
        </w:r>
      </w:hyperlink>
      <w:r w:rsidRPr="002A6558">
        <w:rPr>
          <w:rFonts w:eastAsia="Times New Roman" w:cs="Arial"/>
          <w:spacing w:val="2"/>
        </w:rPr>
        <w:t xml:space="preserve"> </w:t>
      </w:r>
      <w:r w:rsidRPr="002A6558">
        <w:rPr>
          <w:rFonts w:eastAsia="Times New Roman" w:cs="Arial"/>
          <w:caps/>
        </w:rPr>
        <w:t xml:space="preserve">COMMENTARY OF 1987, GENERAL </w:t>
      </w:r>
      <w:r w:rsidRPr="002A6558">
        <w:rPr>
          <w:rFonts w:eastAsia="Times New Roman" w:cs="Arial"/>
          <w:spacing w:val="2"/>
        </w:rPr>
        <w:t xml:space="preserve">PRINCIPLES AND SCOPE OF APPLICATION, available at </w:t>
      </w:r>
      <w:hyperlink r:id="rId17" w:history="1">
        <w:r w:rsidRPr="002A6558">
          <w:rPr>
            <w:spacing w:val="2"/>
          </w:rPr>
          <w:t>https://www.icrc.org/applic/ihl/ihl.nsf/Comment.xsp?documentId=7125D4CBD57A70DDC12563CD0042F793&amp;action=OpenDocument</w:t>
        </w:r>
      </w:hyperlink>
      <w:r w:rsidRPr="002A6558">
        <w:rPr>
          <w:rFonts w:cs="David" w:hint="cs"/>
          <w:rtl/>
        </w:rPr>
        <w:t>. וישנן עוד מאות דוגמאות נוספות במחקר האמור.</w:t>
      </w:r>
    </w:p>
  </w:footnote>
  <w:footnote w:id="123">
    <w:p w:rsidR="009B636F" w:rsidRPr="002A6558" w:rsidRDefault="009B636F" w:rsidP="00870436">
      <w:pPr>
        <w:pStyle w:val="a5"/>
        <w:jc w:val="both"/>
      </w:pPr>
      <w:r w:rsidRPr="002A6558">
        <w:rPr>
          <w:rStyle w:val="a7"/>
        </w:rPr>
        <w:footnoteRef/>
      </w:r>
      <w:r w:rsidRPr="002A6558">
        <w:rPr>
          <w:rtl/>
        </w:rPr>
        <w:t xml:space="preserve"> </w:t>
      </w:r>
      <w:r w:rsidRPr="002A6558">
        <w:rPr>
          <w:rFonts w:cs="David" w:hint="cs"/>
          <w:rtl/>
        </w:rPr>
        <w:t>ראה פסקאות 249-256 לדוח ועדת לבנון השנייה, ה"ש</w:t>
      </w:r>
      <w:r>
        <w:rPr>
          <w:rFonts w:cs="David" w:hint="cs"/>
          <w:rtl/>
        </w:rPr>
        <w:t xml:space="preserve"> </w:t>
      </w:r>
      <w:r>
        <w:rPr>
          <w:rFonts w:cs="David"/>
          <w:rtl/>
        </w:rPr>
        <w:fldChar w:fldCharType="begin"/>
      </w:r>
      <w:r>
        <w:rPr>
          <w:rFonts w:cs="David"/>
          <w:rtl/>
        </w:rPr>
        <w:instrText xml:space="preserve"> </w:instrText>
      </w:r>
      <w:r>
        <w:rPr>
          <w:rFonts w:cs="David" w:hint="cs"/>
        </w:rPr>
        <w:instrText>NOTEREF</w:instrText>
      </w:r>
      <w:r>
        <w:rPr>
          <w:rFonts w:cs="David" w:hint="cs"/>
          <w:rtl/>
        </w:rPr>
        <w:instrText xml:space="preserve"> _</w:instrText>
      </w:r>
      <w:r>
        <w:rPr>
          <w:rFonts w:cs="David" w:hint="cs"/>
        </w:rPr>
        <w:instrText>Ref454786127 \h</w:instrText>
      </w:r>
      <w:r>
        <w:rPr>
          <w:rFonts w:cs="David"/>
          <w:rtl/>
        </w:rPr>
        <w:instrText xml:space="preserve"> </w:instrText>
      </w:r>
      <w:r>
        <w:rPr>
          <w:rFonts w:cs="David"/>
          <w:rtl/>
        </w:rPr>
      </w:r>
      <w:r>
        <w:rPr>
          <w:rFonts w:cs="David"/>
          <w:rtl/>
        </w:rPr>
        <w:fldChar w:fldCharType="separate"/>
      </w:r>
      <w:r>
        <w:rPr>
          <w:rFonts w:cs="David"/>
          <w:rtl/>
        </w:rPr>
        <w:t>307</w:t>
      </w:r>
      <w:r>
        <w:rPr>
          <w:rFonts w:cs="David"/>
          <w:rtl/>
        </w:rPr>
        <w:fldChar w:fldCharType="end"/>
      </w:r>
      <w:r w:rsidRPr="002A6558">
        <w:rPr>
          <w:rFonts w:cs="David" w:hint="cs"/>
          <w:rtl/>
        </w:rPr>
        <w:t>.</w:t>
      </w:r>
    </w:p>
  </w:footnote>
  <w:footnote w:id="124">
    <w:p w:rsidR="009B636F" w:rsidRPr="002A6558" w:rsidRDefault="009B636F" w:rsidP="00870436">
      <w:pPr>
        <w:pStyle w:val="a5"/>
        <w:jc w:val="both"/>
        <w:rPr>
          <w:rtl/>
        </w:rPr>
      </w:pPr>
      <w:r w:rsidRPr="002A6558">
        <w:rPr>
          <w:rStyle w:val="a7"/>
        </w:rPr>
        <w:footnoteRef/>
      </w:r>
      <w:r w:rsidRPr="002A6558">
        <w:rPr>
          <w:rtl/>
        </w:rPr>
        <w:t xml:space="preserve"> </w:t>
      </w:r>
      <w:r w:rsidRPr="002A6558">
        <w:rPr>
          <w:rFonts w:cs="David" w:hint="cs"/>
          <w:rtl/>
        </w:rPr>
        <w:t xml:space="preserve">ראה פסקה </w:t>
      </w:r>
      <w:r w:rsidRPr="002A6558">
        <w:rPr>
          <w:rFonts w:cs="David"/>
        </w:rPr>
        <w:t>(j)</w:t>
      </w:r>
      <w:r w:rsidRPr="002A6558">
        <w:rPr>
          <w:rFonts w:cs="David" w:hint="cs"/>
          <w:rtl/>
        </w:rPr>
        <w:t>349 לדוח ועדת לבנון השנייה, ה"ש</w:t>
      </w:r>
      <w:r>
        <w:rPr>
          <w:rFonts w:cs="David" w:hint="cs"/>
          <w:rtl/>
        </w:rPr>
        <w:t xml:space="preserve"> </w:t>
      </w:r>
      <w:r>
        <w:rPr>
          <w:rFonts w:cs="David"/>
          <w:rtl/>
        </w:rPr>
        <w:fldChar w:fldCharType="begin"/>
      </w:r>
      <w:r>
        <w:rPr>
          <w:rFonts w:cs="David"/>
          <w:rtl/>
        </w:rPr>
        <w:instrText xml:space="preserve"> </w:instrText>
      </w:r>
      <w:r>
        <w:rPr>
          <w:rFonts w:cs="David" w:hint="cs"/>
        </w:rPr>
        <w:instrText>NOTEREF</w:instrText>
      </w:r>
      <w:r>
        <w:rPr>
          <w:rFonts w:cs="David" w:hint="cs"/>
          <w:rtl/>
        </w:rPr>
        <w:instrText xml:space="preserve"> _</w:instrText>
      </w:r>
      <w:r>
        <w:rPr>
          <w:rFonts w:cs="David" w:hint="cs"/>
        </w:rPr>
        <w:instrText>Ref454786127 \h</w:instrText>
      </w:r>
      <w:r>
        <w:rPr>
          <w:rFonts w:cs="David"/>
          <w:rtl/>
        </w:rPr>
        <w:instrText xml:space="preserve"> </w:instrText>
      </w:r>
      <w:r>
        <w:rPr>
          <w:rFonts w:cs="David"/>
          <w:rtl/>
        </w:rPr>
      </w:r>
      <w:r>
        <w:rPr>
          <w:rFonts w:cs="David"/>
          <w:rtl/>
        </w:rPr>
        <w:fldChar w:fldCharType="separate"/>
      </w:r>
      <w:r>
        <w:rPr>
          <w:rFonts w:cs="David"/>
          <w:rtl/>
        </w:rPr>
        <w:t>307</w:t>
      </w:r>
      <w:r>
        <w:rPr>
          <w:rFonts w:cs="David"/>
          <w:rtl/>
        </w:rPr>
        <w:fldChar w:fldCharType="end"/>
      </w:r>
      <w:r w:rsidRPr="002A6558">
        <w:rPr>
          <w:rFonts w:cs="David" w:hint="cs"/>
          <w:rtl/>
        </w:rPr>
        <w:t>.</w:t>
      </w:r>
    </w:p>
  </w:footnote>
  <w:footnote w:id="125">
    <w:p w:rsidR="009B636F" w:rsidRPr="002A6558" w:rsidRDefault="009B636F" w:rsidP="00397737">
      <w:pPr>
        <w:pStyle w:val="a5"/>
        <w:jc w:val="both"/>
        <w:rPr>
          <w:rtl/>
        </w:rPr>
      </w:pPr>
      <w:r w:rsidRPr="002A6558">
        <w:rPr>
          <w:rStyle w:val="a7"/>
        </w:rPr>
        <w:footnoteRef/>
      </w:r>
      <w:r w:rsidRPr="002A6558">
        <w:rPr>
          <w:rtl/>
        </w:rPr>
        <w:t xml:space="preserve"> </w:t>
      </w:r>
      <w:r w:rsidRPr="002A6558">
        <w:t>Convention on Cluster Munitions, 30.05.08, available at http://www.clusterconvention.org/files/2011/01/Convention-ENG.pdf</w:t>
      </w:r>
    </w:p>
  </w:footnote>
  <w:footnote w:id="126">
    <w:p w:rsidR="009B636F" w:rsidRPr="002A6558" w:rsidRDefault="009B636F" w:rsidP="00870436">
      <w:pPr>
        <w:pStyle w:val="a5"/>
        <w:jc w:val="both"/>
        <w:rPr>
          <w:rtl/>
        </w:rPr>
      </w:pPr>
      <w:r w:rsidRPr="002A6558">
        <w:rPr>
          <w:rStyle w:val="a7"/>
        </w:rPr>
        <w:footnoteRef/>
      </w:r>
      <w:r w:rsidRPr="002A6558">
        <w:rPr>
          <w:rtl/>
        </w:rPr>
        <w:t xml:space="preserve"> </w:t>
      </w:r>
      <w:r w:rsidRPr="002A6558">
        <w:rPr>
          <w:rFonts w:cs="David" w:hint="cs"/>
          <w:rtl/>
        </w:rPr>
        <w:t>ראה פסקאות 887-901 לדוח גולדסטון, ה"ש</w:t>
      </w:r>
      <w:r>
        <w:rPr>
          <w:rFonts w:cs="David" w:hint="cs"/>
          <w:rtl/>
        </w:rPr>
        <w:t xml:space="preserve"> </w:t>
      </w:r>
      <w:r>
        <w:rPr>
          <w:rFonts w:cs="David"/>
          <w:rtl/>
        </w:rPr>
        <w:fldChar w:fldCharType="begin"/>
      </w:r>
      <w:r>
        <w:rPr>
          <w:rFonts w:cs="David"/>
          <w:rtl/>
        </w:rPr>
        <w:instrText xml:space="preserve"> </w:instrText>
      </w:r>
      <w:r>
        <w:rPr>
          <w:rFonts w:cs="David" w:hint="cs"/>
        </w:rPr>
        <w:instrText>NOTEREF</w:instrText>
      </w:r>
      <w:r>
        <w:rPr>
          <w:rFonts w:cs="David" w:hint="cs"/>
          <w:rtl/>
        </w:rPr>
        <w:instrText xml:space="preserve"> _</w:instrText>
      </w:r>
      <w:r>
        <w:rPr>
          <w:rFonts w:cs="David" w:hint="cs"/>
        </w:rPr>
        <w:instrText>Ref454786290 \h</w:instrText>
      </w:r>
      <w:r>
        <w:rPr>
          <w:rFonts w:cs="David"/>
          <w:rtl/>
        </w:rPr>
        <w:instrText xml:space="preserve"> </w:instrText>
      </w:r>
      <w:r>
        <w:rPr>
          <w:rFonts w:cs="David"/>
          <w:rtl/>
        </w:rPr>
      </w:r>
      <w:r>
        <w:rPr>
          <w:rFonts w:cs="David"/>
          <w:rtl/>
        </w:rPr>
        <w:fldChar w:fldCharType="separate"/>
      </w:r>
      <w:r>
        <w:rPr>
          <w:rFonts w:cs="David"/>
          <w:rtl/>
        </w:rPr>
        <w:t>315</w:t>
      </w:r>
      <w:r>
        <w:rPr>
          <w:rFonts w:cs="David"/>
          <w:rtl/>
        </w:rPr>
        <w:fldChar w:fldCharType="end"/>
      </w:r>
      <w:r w:rsidRPr="002A6558">
        <w:rPr>
          <w:rFonts w:cs="David" w:hint="cs"/>
          <w:rtl/>
        </w:rPr>
        <w:t>.</w:t>
      </w:r>
    </w:p>
  </w:footnote>
  <w:footnote w:id="127">
    <w:p w:rsidR="009B636F" w:rsidRPr="009A0FD4" w:rsidRDefault="009B636F" w:rsidP="00397737">
      <w:pPr>
        <w:pStyle w:val="a5"/>
        <w:jc w:val="both"/>
        <w:rPr>
          <w:rFonts w:cs="David"/>
          <w:rtl/>
        </w:rPr>
      </w:pPr>
      <w:r w:rsidRPr="002A6558">
        <w:rPr>
          <w:rStyle w:val="a7"/>
        </w:rPr>
        <w:footnoteRef/>
      </w:r>
      <w:r w:rsidRPr="002A6558">
        <w:rPr>
          <w:rtl/>
        </w:rPr>
        <w:t xml:space="preserve"> </w:t>
      </w:r>
      <w:r w:rsidRPr="00D849AC">
        <w:t>Report of the independent commission of inquiry established pursuant to Human Rights Council resolution S-21/1</w:t>
      </w:r>
      <w:r w:rsidRPr="00D849AC">
        <w:rPr>
          <w:rFonts w:cs="David"/>
        </w:rPr>
        <w:t xml:space="preserve">, </w:t>
      </w:r>
      <w:r w:rsidRPr="00D849AC">
        <w:t>Human Rights Council, A/HRC/29/52</w:t>
      </w:r>
      <w:r w:rsidRPr="00D849AC">
        <w:rPr>
          <w:rFonts w:cs="David"/>
        </w:rPr>
        <w:t xml:space="preserve">, </w:t>
      </w:r>
      <w:r w:rsidRPr="00D849AC">
        <w:t xml:space="preserve">24 June 2015, paragraphs 47-52, </w:t>
      </w:r>
      <w:r w:rsidRPr="00D849AC">
        <w:rPr>
          <w:rFonts w:cs="David"/>
        </w:rPr>
        <w:t xml:space="preserve">available at </w:t>
      </w:r>
      <w:r w:rsidRPr="00D849AC">
        <w:t>http://www.ohchr.org/Documents/HRBodies/HRCouncil/CoIGaza/A-HRC-29-52_en.doc</w:t>
      </w:r>
    </w:p>
  </w:footnote>
  <w:footnote w:id="128">
    <w:p w:rsidR="009B636F" w:rsidRPr="002A6558" w:rsidRDefault="009B636F" w:rsidP="00397737">
      <w:pPr>
        <w:pStyle w:val="a5"/>
        <w:jc w:val="both"/>
        <w:rPr>
          <w:rFonts w:cs="David"/>
        </w:rPr>
      </w:pPr>
      <w:r w:rsidRPr="002A6558">
        <w:rPr>
          <w:rStyle w:val="a7"/>
        </w:rPr>
        <w:footnoteRef/>
      </w:r>
      <w:r w:rsidRPr="002A6558">
        <w:rPr>
          <w:rtl/>
        </w:rPr>
        <w:t xml:space="preserve"> </w:t>
      </w:r>
      <w:r w:rsidRPr="002A6558">
        <w:rPr>
          <w:rFonts w:cs="David" w:hint="cs"/>
          <w:rtl/>
        </w:rPr>
        <w:t>ראה</w:t>
      </w:r>
      <w:r w:rsidRPr="002A6558">
        <w:rPr>
          <w:rFonts w:hint="cs"/>
          <w:rtl/>
        </w:rPr>
        <w:t xml:space="preserve"> </w:t>
      </w:r>
      <w:r w:rsidRPr="002A6558">
        <w:rPr>
          <w:rFonts w:cs="David" w:hint="cs"/>
          <w:rtl/>
        </w:rPr>
        <w:t xml:space="preserve">פסקאות 215-219 לדוח הוועדה: </w:t>
      </w:r>
      <w:r>
        <w:rPr>
          <w:rFonts w:cs="David"/>
        </w:rPr>
        <w:t>An Assessment of t</w:t>
      </w:r>
      <w:r w:rsidRPr="002A6558">
        <w:rPr>
          <w:rFonts w:cs="David"/>
        </w:rPr>
        <w:t>h</w:t>
      </w:r>
      <w:r>
        <w:rPr>
          <w:rFonts w:cs="David"/>
        </w:rPr>
        <w:t>e</w:t>
      </w:r>
      <w:r w:rsidRPr="002A6558">
        <w:rPr>
          <w:rFonts w:cs="David"/>
        </w:rPr>
        <w:t xml:space="preserve"> 2014 Gaza Conflict, High Level Military Group, October 2015, available at http://www.high-level-military-group.org/pdf/hlmg-assessment-2014-gaza-conflict.pdf</w:t>
      </w:r>
    </w:p>
  </w:footnote>
  <w:footnote w:id="129">
    <w:p w:rsidR="009B636F" w:rsidRPr="002A6558" w:rsidRDefault="009B636F" w:rsidP="00397737">
      <w:pPr>
        <w:pStyle w:val="a5"/>
        <w:jc w:val="both"/>
      </w:pPr>
      <w:r w:rsidRPr="002A6558">
        <w:rPr>
          <w:rStyle w:val="a7"/>
        </w:rPr>
        <w:footnoteRef/>
      </w:r>
      <w:r w:rsidRPr="002A6558">
        <w:rPr>
          <w:rtl/>
        </w:rPr>
        <w:t xml:space="preserve"> </w:t>
      </w:r>
      <w:r w:rsidRPr="002A6558">
        <w:t>2014 Gaza War Assessment: The New Face of Conflict, A report by the JINSA-commissioned Gaza Conflict Task Force, March 2015, Chapter III. Observations, Implications, and Recommendations,</w:t>
      </w:r>
      <w:r>
        <w:t xml:space="preserve"> </w:t>
      </w:r>
      <w:r w:rsidRPr="002A6558">
        <w:t>available at http://www.jinsa.org/files/2014GazaAssessmentReport.pdf</w:t>
      </w:r>
    </w:p>
  </w:footnote>
  <w:footnote w:id="130">
    <w:p w:rsidR="009B636F" w:rsidRPr="002A6558" w:rsidRDefault="009B636F" w:rsidP="00397737">
      <w:pPr>
        <w:pStyle w:val="a5"/>
        <w:jc w:val="both"/>
        <w:rPr>
          <w:rFonts w:cs="David"/>
        </w:rPr>
      </w:pPr>
      <w:r w:rsidRPr="002A6558">
        <w:rPr>
          <w:rStyle w:val="a7"/>
        </w:rPr>
        <w:footnoteRef/>
      </w:r>
      <w:r w:rsidRPr="002A6558">
        <w:rPr>
          <w:rtl/>
        </w:rPr>
        <w:t xml:space="preserve"> </w:t>
      </w:r>
      <w:r w:rsidRPr="002A6558">
        <w:rPr>
          <w:rFonts w:cs="David"/>
          <w:rtl/>
        </w:rPr>
        <w:t xml:space="preserve">בג"ץ 769/02 הוועד הציבורי נגד </w:t>
      </w:r>
      <w:r w:rsidRPr="002A6558">
        <w:rPr>
          <w:rFonts w:cs="David" w:hint="cs"/>
          <w:rtl/>
        </w:rPr>
        <w:t>ה</w:t>
      </w:r>
      <w:r w:rsidRPr="002A6558">
        <w:rPr>
          <w:rFonts w:cs="David"/>
          <w:rtl/>
        </w:rPr>
        <w:t>עינויים בישראל נ</w:t>
      </w:r>
      <w:r w:rsidRPr="002A6558">
        <w:rPr>
          <w:rFonts w:cs="David" w:hint="cs"/>
          <w:rtl/>
        </w:rPr>
        <w:t>'</w:t>
      </w:r>
      <w:r w:rsidRPr="002A6558">
        <w:rPr>
          <w:rFonts w:cs="David"/>
          <w:rtl/>
        </w:rPr>
        <w:t xml:space="preserve"> ממשלת ישראל</w:t>
      </w:r>
      <w:r w:rsidRPr="002A6558">
        <w:rPr>
          <w:rFonts w:cs="David" w:hint="cs"/>
          <w:rtl/>
        </w:rPr>
        <w:t xml:space="preserve">, </w:t>
      </w:r>
      <w:r w:rsidRPr="002A6558">
        <w:rPr>
          <w:rFonts w:cs="David"/>
          <w:rtl/>
        </w:rPr>
        <w:t>פ"ד סב(</w:t>
      </w:r>
      <w:r w:rsidRPr="002A6558">
        <w:rPr>
          <w:rFonts w:cs="David" w:hint="cs"/>
          <w:rtl/>
        </w:rPr>
        <w:t>1) 507 (2006)</w:t>
      </w:r>
    </w:p>
  </w:footnote>
  <w:footnote w:id="131">
    <w:p w:rsidR="009B636F" w:rsidRPr="002A6558" w:rsidRDefault="009B636F" w:rsidP="00397737">
      <w:pPr>
        <w:pStyle w:val="a5"/>
        <w:jc w:val="both"/>
        <w:rPr>
          <w:rFonts w:cs="David"/>
          <w:rtl/>
        </w:rPr>
      </w:pPr>
      <w:r w:rsidRPr="002A6558">
        <w:rPr>
          <w:rStyle w:val="a7"/>
        </w:rPr>
        <w:footnoteRef/>
      </w:r>
      <w:r w:rsidRPr="002A6558">
        <w:rPr>
          <w:rtl/>
        </w:rPr>
        <w:t xml:space="preserve"> </w:t>
      </w:r>
      <w:r w:rsidRPr="002A6558">
        <w:rPr>
          <w:rFonts w:cs="David" w:hint="cs"/>
          <w:rtl/>
        </w:rPr>
        <w:t xml:space="preserve">ראה לדוגמה </w:t>
      </w:r>
      <w:r w:rsidRPr="002A6558">
        <w:rPr>
          <w:rFonts w:cs="David"/>
        </w:rPr>
        <w:t xml:space="preserve">Dill Janina (2014), </w:t>
      </w:r>
      <w:r w:rsidRPr="002A6558">
        <w:rPr>
          <w:rFonts w:eastAsia="Times New Roman" w:cs="Arial"/>
        </w:rPr>
        <w:t xml:space="preserve">Guest Post: Israel’s Use of Law and Warnings in Gaza, </w:t>
      </w:r>
      <w:r w:rsidRPr="002A6558">
        <w:rPr>
          <w:rFonts w:eastAsia="Times New Roman" w:cs="Arial"/>
          <w:b/>
          <w:bCs/>
        </w:rPr>
        <w:t>Opinio Juris</w:t>
      </w:r>
      <w:r w:rsidRPr="002A6558">
        <w:rPr>
          <w:rFonts w:eastAsia="Times New Roman" w:cs="Arial"/>
        </w:rPr>
        <w:t>, http://opiniojuris.org/2014/07/30/guest-post-israels-use-law-warnings-gaza/</w:t>
      </w:r>
    </w:p>
  </w:footnote>
  <w:footnote w:id="132">
    <w:p w:rsidR="009B636F" w:rsidRPr="002A6558" w:rsidRDefault="009B636F" w:rsidP="00397737">
      <w:pPr>
        <w:pStyle w:val="a5"/>
        <w:jc w:val="both"/>
        <w:rPr>
          <w:rFonts w:cs="David"/>
          <w:rtl/>
        </w:rPr>
      </w:pPr>
      <w:r w:rsidRPr="002A6558">
        <w:rPr>
          <w:rStyle w:val="a7"/>
        </w:rPr>
        <w:footnoteRef/>
      </w:r>
      <w:r w:rsidRPr="002A6558">
        <w:rPr>
          <w:rtl/>
        </w:rPr>
        <w:t xml:space="preserve"> </w:t>
      </w:r>
      <w:r w:rsidRPr="002A6558">
        <w:rPr>
          <w:rFonts w:cs="David" w:hint="cs"/>
          <w:rtl/>
        </w:rPr>
        <w:t xml:space="preserve">ראה </w:t>
      </w:r>
      <w:r w:rsidRPr="002A6558">
        <w:rPr>
          <w:rFonts w:cs="Helvetica"/>
        </w:rPr>
        <w:t xml:space="preserve">Starr </w:t>
      </w:r>
      <w:hyperlink r:id="rId18" w:history="1">
        <w:r w:rsidRPr="002A6558">
          <w:t xml:space="preserve">Barbara (2016), </w:t>
        </w:r>
      </w:hyperlink>
      <w:r w:rsidRPr="002A6558">
        <w:rPr>
          <w:rFonts w:cs="Helvetica"/>
        </w:rPr>
        <w:t xml:space="preserve">Pentagon adopts Israeli tactic in bombing ISIS, </w:t>
      </w:r>
      <w:r w:rsidRPr="002A6558">
        <w:rPr>
          <w:rFonts w:cs="Helvetica"/>
          <w:b/>
          <w:bCs/>
        </w:rPr>
        <w:t>CNN</w:t>
      </w:r>
      <w:r w:rsidRPr="002A6558">
        <w:rPr>
          <w:rFonts w:cs="Helvetica"/>
        </w:rPr>
        <w:t>, http://edition.cnn.com/2016/04/26/politics/u-s-uses-israeli-tactic-isis-bombing/</w:t>
      </w:r>
    </w:p>
  </w:footnote>
  <w:footnote w:id="133">
    <w:p w:rsidR="009B636F" w:rsidRPr="002A6558" w:rsidRDefault="009B636F" w:rsidP="00397737">
      <w:pPr>
        <w:pStyle w:val="a5"/>
        <w:jc w:val="both"/>
        <w:rPr>
          <w:rFonts w:cs="David"/>
        </w:rPr>
      </w:pPr>
      <w:r w:rsidRPr="002A6558">
        <w:rPr>
          <w:rStyle w:val="a7"/>
        </w:rPr>
        <w:footnoteRef/>
      </w:r>
      <w:r w:rsidRPr="002A6558">
        <w:rPr>
          <w:rtl/>
        </w:rPr>
        <w:t xml:space="preserve"> </w:t>
      </w:r>
      <w:r w:rsidRPr="002A6558">
        <w:rPr>
          <w:rFonts w:cs="David" w:hint="cs"/>
          <w:rtl/>
        </w:rPr>
        <w:t xml:space="preserve">ראה </w:t>
      </w:r>
      <w:r w:rsidRPr="002A6558">
        <w:rPr>
          <w:rFonts w:cs="David"/>
        </w:rPr>
        <w:t>ICRC, Customary IHL, Practice, By Country, Israel, https://www.icrc.org/customary-ihl/eng/docs/v2_cou_il</w:t>
      </w:r>
    </w:p>
  </w:footnote>
  <w:footnote w:id="134">
    <w:p w:rsidR="009B636F" w:rsidRPr="002A6558" w:rsidRDefault="009B636F" w:rsidP="00397737">
      <w:pPr>
        <w:pStyle w:val="a5"/>
        <w:jc w:val="both"/>
        <w:rPr>
          <w:rFonts w:cs="David"/>
          <w:rtl/>
        </w:rPr>
      </w:pPr>
      <w:r w:rsidRPr="002A6558">
        <w:rPr>
          <w:rStyle w:val="a7"/>
        </w:rPr>
        <w:footnoteRef/>
      </w:r>
      <w:r w:rsidRPr="002A6558">
        <w:rPr>
          <w:rtl/>
        </w:rPr>
        <w:t xml:space="preserve"> </w:t>
      </w:r>
      <w:r w:rsidRPr="002A6558">
        <w:rPr>
          <w:rFonts w:cs="David" w:hint="cs"/>
          <w:rtl/>
        </w:rPr>
        <w:t xml:space="preserve">ראה לעניין זה דבריו המאלפים של פרופסור </w:t>
      </w:r>
      <w:r w:rsidRPr="002A6558">
        <w:rPr>
          <w:rFonts w:cs="David"/>
        </w:rPr>
        <w:t>Michael N. Schmitt</w:t>
      </w:r>
      <w:r w:rsidRPr="002A6558">
        <w:rPr>
          <w:rFonts w:cs="David" w:hint="cs"/>
          <w:rtl/>
        </w:rPr>
        <w:t xml:space="preserve"> בפנל שקיים הצלב האדום בג'נבה ביום 21.04.16: </w:t>
      </w:r>
      <w:r w:rsidRPr="002A6558">
        <w:rPr>
          <w:rStyle w:val="watch-title"/>
          <w:rFonts w:cs="Arial"/>
          <w:bdr w:val="none" w:sz="0" w:space="0" w:color="auto" w:frame="1"/>
        </w:rPr>
        <w:t>ICRC Panel Discussion: Is the law of armed conflict in crisis and how to recommit to its respect?</w:t>
      </w:r>
      <w:r w:rsidRPr="002A6558">
        <w:rPr>
          <w:rFonts w:cs="Arial"/>
        </w:rPr>
        <w:t>, ICRC Humanitarium, Geneva, 21 April 2016, https://www.youtube.com/watch?v=XnSbYzP-Z_M&amp;feature=youtu.be, @48:55</w:t>
      </w:r>
    </w:p>
  </w:footnote>
  <w:footnote w:id="135">
    <w:p w:rsidR="009B636F" w:rsidRDefault="009B636F" w:rsidP="00B97654">
      <w:pPr>
        <w:pStyle w:val="a5"/>
        <w:jc w:val="both"/>
        <w:rPr>
          <w:rtl/>
        </w:rPr>
      </w:pPr>
      <w:r>
        <w:rPr>
          <w:rStyle w:val="a7"/>
        </w:rPr>
        <w:footnoteRef/>
      </w:r>
      <w:r>
        <w:rPr>
          <w:rtl/>
        </w:rPr>
        <w:t xml:space="preserve"> </w:t>
      </w:r>
      <w:r w:rsidRPr="002A6558">
        <w:rPr>
          <w:rFonts w:eastAsia="Times New Roman" w:cs="Times New Roman"/>
        </w:rPr>
        <w:t xml:space="preserve">The Prosecutor of the International Criminal Court, Fatou Bensouda, opens a preliminary examination of the situation in Palestine, </w:t>
      </w:r>
      <w:r w:rsidRPr="002A6558">
        <w:t>ICC-OTP-20150116-PR1083, https://www.icc-cpi.int/en_menus/icc/press%20and%20media/press%20releases/Pages/pr1083.aspx</w:t>
      </w:r>
    </w:p>
  </w:footnote>
  <w:footnote w:id="136">
    <w:p w:rsidR="009B636F" w:rsidRPr="002A6558" w:rsidRDefault="009B636F" w:rsidP="00397737">
      <w:pPr>
        <w:pStyle w:val="a5"/>
        <w:jc w:val="both"/>
        <w:rPr>
          <w:rFonts w:cs="David"/>
          <w:rtl/>
        </w:rPr>
      </w:pPr>
      <w:r w:rsidRPr="002A6558">
        <w:rPr>
          <w:rStyle w:val="a7"/>
        </w:rPr>
        <w:footnoteRef/>
      </w:r>
      <w:r w:rsidRPr="002A6558">
        <w:rPr>
          <w:rtl/>
        </w:rPr>
        <w:t xml:space="preserve"> </w:t>
      </w:r>
      <w:r w:rsidRPr="002A6558">
        <w:rPr>
          <w:rFonts w:cs="David" w:hint="cs"/>
          <w:rtl/>
        </w:rPr>
        <w:t xml:space="preserve">לפי מסמך המדיניות שפרסם מסמך התובעת, בדיקה מקדמית תיפתח בכל מקרה שיגיע לידי התביעה מידע ממקורות שונים, ובכללם נכנסים בבירור גם כל הגופים הממנים את </w:t>
      </w:r>
      <w:r>
        <w:rPr>
          <w:rFonts w:cs="David" w:hint="cs"/>
          <w:rtl/>
        </w:rPr>
        <w:t>ועדות החקירה</w:t>
      </w:r>
      <w:r w:rsidRPr="002A6558">
        <w:rPr>
          <w:rFonts w:cs="David" w:hint="cs"/>
          <w:rtl/>
        </w:rPr>
        <w:t xml:space="preserve">. ראה </w:t>
      </w:r>
      <w:r w:rsidRPr="002A6558">
        <w:t xml:space="preserve">Policy Paper on Preliminary Examinations, ICC, The Office of the Prosecutor, November 2013, </w:t>
      </w:r>
      <w:hyperlink r:id="rId19" w:history="1">
        <w:r w:rsidRPr="002A6558">
          <w:rPr>
            <w:rStyle w:val="Hyperlink"/>
            <w:color w:val="auto"/>
            <w:u w:val="none"/>
          </w:rPr>
          <w:t>https://www.icc-cpi.int/en_menus/icc/press%20and%20media/press%20releases/Documents/OTP%20Preliminary%20Examinations/OTP%20-%20Policy%20Paper%20Preliminary%20Examinations%20%202013.pdf</w:t>
        </w:r>
      </w:hyperlink>
      <w:r w:rsidRPr="002A6558">
        <w:t>, paragraph 73</w:t>
      </w:r>
      <w:r w:rsidRPr="002A6558">
        <w:rPr>
          <w:rFonts w:cs="David" w:hint="cs"/>
          <w:rtl/>
        </w:rPr>
        <w:t>.</w:t>
      </w:r>
    </w:p>
  </w:footnote>
  <w:footnote w:id="137">
    <w:p w:rsidR="009B636F" w:rsidRPr="00B97654" w:rsidRDefault="009B636F" w:rsidP="00B97654">
      <w:pPr>
        <w:pStyle w:val="a5"/>
        <w:jc w:val="both"/>
        <w:rPr>
          <w:rtl/>
        </w:rPr>
      </w:pPr>
      <w:r w:rsidRPr="002A6558">
        <w:rPr>
          <w:rStyle w:val="a7"/>
        </w:rPr>
        <w:footnoteRef/>
      </w:r>
      <w:r w:rsidRPr="002A6558">
        <w:rPr>
          <w:rtl/>
        </w:rPr>
        <w:t xml:space="preserve"> </w:t>
      </w:r>
      <w:r w:rsidRPr="002A6558">
        <w:t xml:space="preserve">Situation on Registered Vessels of Comoros, Greece and Cambodia, Article 53(1) Report, 6 November 2014, </w:t>
      </w:r>
      <w:r>
        <w:t>available at</w:t>
      </w:r>
      <w:r w:rsidRPr="002A6558">
        <w:t xml:space="preserve"> https://www.icc-cpi.int/iccdocs/otp/OTP-COM-Article_53(1)-Report-06Nov2014Eng.pdf</w:t>
      </w:r>
    </w:p>
  </w:footnote>
  <w:footnote w:id="138">
    <w:p w:rsidR="009B636F" w:rsidRPr="002A6558" w:rsidRDefault="009B636F" w:rsidP="00BA4510">
      <w:pPr>
        <w:pStyle w:val="a5"/>
        <w:jc w:val="both"/>
        <w:rPr>
          <w:rFonts w:cs="David"/>
          <w:rtl/>
        </w:rPr>
      </w:pPr>
      <w:r w:rsidRPr="002A6558">
        <w:rPr>
          <w:rStyle w:val="a7"/>
        </w:rPr>
        <w:footnoteRef/>
      </w:r>
      <w:r w:rsidRPr="002A6558">
        <w:rPr>
          <w:rtl/>
        </w:rPr>
        <w:t xml:space="preserve"> </w:t>
      </w:r>
      <w:r w:rsidRPr="002A6558">
        <w:rPr>
          <w:rFonts w:cs="David" w:hint="cs"/>
          <w:rtl/>
        </w:rPr>
        <w:t>הבסיס לפתיחה בחקירה הוא כאשר בסוף הבדיקה המקדמית יש "</w:t>
      </w:r>
      <w:r w:rsidRPr="002A6558">
        <w:rPr>
          <w:rFonts w:cs="David"/>
        </w:rPr>
        <w:t>reasonable basis to proceed</w:t>
      </w:r>
      <w:r w:rsidRPr="002A6558">
        <w:rPr>
          <w:rFonts w:cs="David" w:hint="cs"/>
          <w:rtl/>
        </w:rPr>
        <w:t>", כאשר "</w:t>
      </w:r>
      <w:r w:rsidRPr="002A6558">
        <w:rPr>
          <w:rFonts w:cs="David"/>
        </w:rPr>
        <w:t>reasonable basis</w:t>
      </w:r>
      <w:r w:rsidRPr="002A6558">
        <w:rPr>
          <w:rFonts w:cs="David" w:hint="cs"/>
          <w:rtl/>
        </w:rPr>
        <w:t>" פורש</w:t>
      </w:r>
      <w:r>
        <w:rPr>
          <w:rFonts w:cs="David" w:hint="cs"/>
          <w:rtl/>
        </w:rPr>
        <w:t xml:space="preserve"> על ידי </w:t>
      </w:r>
      <w:r w:rsidRPr="002A6558">
        <w:rPr>
          <w:rFonts w:cs="David" w:hint="cs"/>
          <w:rtl/>
        </w:rPr>
        <w:t>בית הדין (</w:t>
      </w:r>
      <w:r w:rsidRPr="002A6558">
        <w:rPr>
          <w:rFonts w:cs="David"/>
        </w:rPr>
        <w:t>the Chambers of the Court</w:t>
      </w:r>
      <w:r w:rsidRPr="002A6558">
        <w:rPr>
          <w:rFonts w:cs="David" w:hint="cs"/>
          <w:rtl/>
        </w:rPr>
        <w:t>) כ"</w:t>
      </w:r>
      <w:r w:rsidRPr="002A6558">
        <w:t xml:space="preserve"> “a sensible or reasonable justification for a belief that a crime falling within the jurisdiction of the Court ‘has been or is being committed</w:t>
      </w:r>
      <w:r w:rsidRPr="002A6558">
        <w:rPr>
          <w:rFonts w:hint="cs"/>
          <w:rtl/>
        </w:rPr>
        <w:t xml:space="preserve">". </w:t>
      </w:r>
      <w:r w:rsidRPr="002A6558">
        <w:rPr>
          <w:rFonts w:cs="David" w:hint="cs"/>
          <w:rtl/>
        </w:rPr>
        <w:t>ראה</w:t>
      </w:r>
      <w:r w:rsidRPr="002A6558">
        <w:t>Situation in the Republic of Kenya, Decision Pursuant to Article 15 of the Rome Statute on the Authorization of an Investigation into the Situation in the Republic of Kenya, ICC-01/09-19-Corr, 31 March 2010, https://www.icc-cpi.int/iccdocs/doc/doc854562.pdf, para. 35</w:t>
      </w:r>
      <w:r w:rsidRPr="002A6558">
        <w:rPr>
          <w:rFonts w:hint="cs"/>
          <w:rtl/>
        </w:rPr>
        <w:t>.</w:t>
      </w:r>
      <w:r w:rsidRPr="002A6558">
        <w:rPr>
          <w:rFonts w:cs="David" w:hint="cs"/>
          <w:rtl/>
        </w:rPr>
        <w:t xml:space="preserve"> בפנייה של קומורו התגלעה מחלוקת בין התובעת ל-</w:t>
      </w:r>
      <w:r w:rsidRPr="002A6558">
        <w:rPr>
          <w:rFonts w:cs="David"/>
        </w:rPr>
        <w:t>Pre Trial Chamber</w:t>
      </w:r>
      <w:r w:rsidRPr="002A6558">
        <w:rPr>
          <w:rFonts w:cs="David" w:hint="cs"/>
          <w:rtl/>
        </w:rPr>
        <w:t xml:space="preserve"> באשר למרחב שיקול הדעת של התובעת כאשר יש "יסוד סביר" כאמור, אך אין צורך להרחיב בעניין זה כאן.</w:t>
      </w:r>
    </w:p>
  </w:footnote>
  <w:footnote w:id="139">
    <w:p w:rsidR="009B636F" w:rsidRPr="002A6558" w:rsidRDefault="009B636F" w:rsidP="00397737">
      <w:pPr>
        <w:pStyle w:val="a5"/>
        <w:jc w:val="both"/>
        <w:rPr>
          <w:rtl/>
        </w:rPr>
      </w:pPr>
      <w:r w:rsidRPr="002A6558">
        <w:rPr>
          <w:rStyle w:val="a7"/>
        </w:rPr>
        <w:footnoteRef/>
      </w:r>
      <w:r w:rsidRPr="002A6558">
        <w:rPr>
          <w:rtl/>
        </w:rPr>
        <w:t xml:space="preserve"> </w:t>
      </w:r>
      <w:hyperlink r:id="rId20" w:tgtFrame="_blank" w:history="1">
        <w:r w:rsidRPr="002A6558">
          <w:rPr>
            <w:rFonts w:eastAsia="Times New Roman" w:cs="Times New Roman"/>
          </w:rPr>
          <w:t>Bob</w:t>
        </w:r>
      </w:hyperlink>
      <w:r w:rsidRPr="002A6558">
        <w:t xml:space="preserve"> </w:t>
      </w:r>
      <w:r w:rsidRPr="002A6558">
        <w:rPr>
          <w:rFonts w:eastAsia="Times New Roman" w:cs="Times New Roman"/>
        </w:rPr>
        <w:t>Yonah Jeremy,</w:t>
      </w:r>
      <w:r w:rsidRPr="002A6558">
        <w:rPr>
          <w:rFonts w:eastAsia="Times New Roman" w:cs="Times New Roman"/>
          <w:b/>
          <w:bCs/>
        </w:rPr>
        <w:t xml:space="preserve"> </w:t>
      </w:r>
      <w:r w:rsidRPr="002A6558">
        <w:t xml:space="preserve">Exclusive: JPost speaks to ICC Prosecutor Bensouda about Israel's fate on war crimes, </w:t>
      </w:r>
      <w:r w:rsidRPr="002A6558">
        <w:rPr>
          <w:rStyle w:val="ab"/>
          <w:b/>
          <w:bCs/>
          <w:i w:val="0"/>
          <w:iCs w:val="0"/>
          <w:shd w:val="clear" w:color="auto" w:fill="FFFFFF"/>
        </w:rPr>
        <w:t>The Jerusalem Post</w:t>
      </w:r>
      <w:r w:rsidRPr="002A6558">
        <w:rPr>
          <w:rStyle w:val="apple-converted-space"/>
          <w:shd w:val="clear" w:color="auto" w:fill="FFFFFF"/>
        </w:rPr>
        <w:t>, http://www.jpost.com/Israel-News/Politics-And-Diplomacy/Exclusive-JPost-speaks-to-ICC-Prosecutor-Bensouda-about-Israels-fate-on-war-crimes-445806</w:t>
      </w:r>
    </w:p>
  </w:footnote>
  <w:footnote w:id="140">
    <w:p w:rsidR="009B636F" w:rsidRPr="002A6558" w:rsidRDefault="009B636F" w:rsidP="00397737">
      <w:pPr>
        <w:pStyle w:val="a5"/>
        <w:jc w:val="both"/>
        <w:rPr>
          <w:rFonts w:cs="David"/>
        </w:rPr>
      </w:pPr>
      <w:r w:rsidRPr="002A6558">
        <w:rPr>
          <w:rStyle w:val="a7"/>
        </w:rPr>
        <w:footnoteRef/>
      </w:r>
      <w:r w:rsidRPr="002A6558">
        <w:rPr>
          <w:rtl/>
        </w:rPr>
        <w:t xml:space="preserve"> </w:t>
      </w:r>
      <w:r w:rsidRPr="002A6558">
        <w:rPr>
          <w:rFonts w:cs="David" w:hint="cs"/>
          <w:rtl/>
        </w:rPr>
        <w:t>עיקרי הדברים שאמרה התובעת לעניין זה: "</w:t>
      </w:r>
      <w:r w:rsidRPr="002A6558">
        <w:rPr>
          <w:rFonts w:eastAsia="Times New Roman" w:cs="Times New Roman"/>
        </w:rPr>
        <w:t>We are not judging what the report said or what it didn’t say, we are collecting information, we take note of this report…but I don’t feel…our work is based on what other people are saying, but it is more based on the information that we collected, the assessment that we will make based on that information, as of now we do not collect from one source, we collect from different, divergent sources, we do cross-checking</w:t>
      </w:r>
      <w:r w:rsidRPr="002A6558">
        <w:rPr>
          <w:rFonts w:hint="cs"/>
          <w:shd w:val="clear" w:color="auto" w:fill="FFFFFF"/>
          <w:rtl/>
        </w:rPr>
        <w:t>".</w:t>
      </w:r>
    </w:p>
  </w:footnote>
  <w:footnote w:id="141">
    <w:p w:rsidR="009B636F" w:rsidRPr="002A6558" w:rsidRDefault="009B636F" w:rsidP="00870436">
      <w:pPr>
        <w:pStyle w:val="a5"/>
        <w:jc w:val="both"/>
        <w:rPr>
          <w:rFonts w:cs="David"/>
        </w:rPr>
      </w:pPr>
      <w:r w:rsidRPr="002A6558">
        <w:rPr>
          <w:rStyle w:val="a7"/>
        </w:rPr>
        <w:footnoteRef/>
      </w:r>
      <w:r w:rsidRPr="002A6558">
        <w:rPr>
          <w:rtl/>
        </w:rPr>
        <w:t xml:space="preserve"> </w:t>
      </w:r>
      <w:r w:rsidRPr="002A6558">
        <w:rPr>
          <w:rFonts w:cs="David" w:hint="cs"/>
          <w:rtl/>
        </w:rPr>
        <w:t>ראה ה"ש</w:t>
      </w:r>
      <w:r>
        <w:rPr>
          <w:rFonts w:cs="David" w:hint="cs"/>
          <w:rtl/>
        </w:rPr>
        <w:t xml:space="preserve"> </w:t>
      </w:r>
      <w:r>
        <w:rPr>
          <w:rFonts w:cs="David"/>
          <w:rtl/>
        </w:rPr>
        <w:fldChar w:fldCharType="begin"/>
      </w:r>
      <w:r>
        <w:rPr>
          <w:rFonts w:cs="David"/>
          <w:rtl/>
        </w:rPr>
        <w:instrText xml:space="preserve"> </w:instrText>
      </w:r>
      <w:r>
        <w:rPr>
          <w:rFonts w:cs="David" w:hint="cs"/>
        </w:rPr>
        <w:instrText>NOTEREF</w:instrText>
      </w:r>
      <w:r>
        <w:rPr>
          <w:rFonts w:cs="David" w:hint="cs"/>
          <w:rtl/>
        </w:rPr>
        <w:instrText xml:space="preserve"> _</w:instrText>
      </w:r>
      <w:r>
        <w:rPr>
          <w:rFonts w:cs="David" w:hint="cs"/>
        </w:rPr>
        <w:instrText>Ref454787217 \h</w:instrText>
      </w:r>
      <w:r>
        <w:rPr>
          <w:rFonts w:cs="David"/>
          <w:rtl/>
        </w:rPr>
        <w:instrText xml:space="preserve"> </w:instrText>
      </w:r>
      <w:r>
        <w:rPr>
          <w:rFonts w:cs="David"/>
          <w:rtl/>
        </w:rPr>
      </w:r>
      <w:r>
        <w:rPr>
          <w:rFonts w:cs="David"/>
          <w:rtl/>
        </w:rPr>
        <w:fldChar w:fldCharType="separate"/>
      </w:r>
      <w:r>
        <w:rPr>
          <w:rFonts w:cs="David"/>
          <w:rtl/>
        </w:rPr>
        <w:t>328</w:t>
      </w:r>
      <w:r>
        <w:rPr>
          <w:rFonts w:cs="David"/>
          <w:rtl/>
        </w:rPr>
        <w:fldChar w:fldCharType="end"/>
      </w:r>
      <w:r w:rsidRPr="002A6558">
        <w:rPr>
          <w:rFonts w:cs="David" w:hint="cs"/>
          <w:rtl/>
        </w:rPr>
        <w:t>.</w:t>
      </w:r>
    </w:p>
  </w:footnote>
  <w:footnote w:id="142">
    <w:p w:rsidR="009B636F" w:rsidRPr="002A6558" w:rsidRDefault="009B636F" w:rsidP="00397737">
      <w:pPr>
        <w:pStyle w:val="a5"/>
        <w:jc w:val="both"/>
      </w:pPr>
      <w:r w:rsidRPr="002A6558">
        <w:rPr>
          <w:rStyle w:val="a7"/>
        </w:rPr>
        <w:footnoteRef/>
      </w:r>
      <w:r w:rsidRPr="002A6558">
        <w:rPr>
          <w:rtl/>
        </w:rPr>
        <w:t xml:space="preserve"> </w:t>
      </w:r>
      <w:r w:rsidRPr="002A6558">
        <w:t xml:space="preserve">Kahneman Daniel (2011), </w:t>
      </w:r>
      <w:r w:rsidRPr="002A6558">
        <w:rPr>
          <w:b/>
          <w:bCs/>
        </w:rPr>
        <w:t>Thinking Fast and Slow</w:t>
      </w:r>
      <w:r w:rsidRPr="002A6558">
        <w:t>, Farrar, Straus and Giroux, New York</w:t>
      </w:r>
    </w:p>
  </w:footnote>
  <w:footnote w:id="143">
    <w:p w:rsidR="009B636F" w:rsidRPr="004418B3" w:rsidRDefault="009B636F" w:rsidP="00870436">
      <w:pPr>
        <w:pStyle w:val="a5"/>
        <w:jc w:val="both"/>
        <w:rPr>
          <w:rFonts w:cs="David"/>
          <w:rtl/>
        </w:rPr>
      </w:pPr>
      <w:r w:rsidRPr="002A6558">
        <w:rPr>
          <w:rStyle w:val="a7"/>
        </w:rPr>
        <w:footnoteRef/>
      </w:r>
      <w:r w:rsidRPr="002A6558">
        <w:rPr>
          <w:rtl/>
        </w:rPr>
        <w:t xml:space="preserve"> </w:t>
      </w:r>
      <w:r w:rsidRPr="004418B3">
        <w:rPr>
          <w:rFonts w:cs="David" w:hint="cs"/>
          <w:rtl/>
        </w:rPr>
        <w:t>ראה לדוגמה פסקאות 1203-1212 לדוח גולדסטון, ה"ש</w:t>
      </w:r>
      <w:r>
        <w:rPr>
          <w:rFonts w:cs="David" w:hint="cs"/>
          <w:rtl/>
        </w:rPr>
        <w:t xml:space="preserve"> </w:t>
      </w:r>
      <w:r>
        <w:rPr>
          <w:rFonts w:cs="David"/>
          <w:rtl/>
        </w:rPr>
        <w:fldChar w:fldCharType="begin"/>
      </w:r>
      <w:r>
        <w:rPr>
          <w:rFonts w:cs="David"/>
          <w:rtl/>
        </w:rPr>
        <w:instrText xml:space="preserve"> </w:instrText>
      </w:r>
      <w:r>
        <w:rPr>
          <w:rFonts w:cs="David" w:hint="cs"/>
        </w:rPr>
        <w:instrText>NOTEREF</w:instrText>
      </w:r>
      <w:r>
        <w:rPr>
          <w:rFonts w:cs="David" w:hint="cs"/>
          <w:rtl/>
        </w:rPr>
        <w:instrText xml:space="preserve"> _</w:instrText>
      </w:r>
      <w:r>
        <w:rPr>
          <w:rFonts w:cs="David" w:hint="cs"/>
        </w:rPr>
        <w:instrText>Ref454786290 \h</w:instrText>
      </w:r>
      <w:r>
        <w:rPr>
          <w:rFonts w:cs="David"/>
          <w:rtl/>
        </w:rPr>
        <w:instrText xml:space="preserve"> </w:instrText>
      </w:r>
      <w:r>
        <w:rPr>
          <w:rFonts w:cs="David"/>
          <w:rtl/>
        </w:rPr>
      </w:r>
      <w:r>
        <w:rPr>
          <w:rFonts w:cs="David"/>
          <w:rtl/>
        </w:rPr>
        <w:fldChar w:fldCharType="separate"/>
      </w:r>
      <w:r>
        <w:rPr>
          <w:rFonts w:cs="David"/>
          <w:rtl/>
        </w:rPr>
        <w:t>315</w:t>
      </w:r>
      <w:r>
        <w:rPr>
          <w:rFonts w:cs="David"/>
          <w:rtl/>
        </w:rPr>
        <w:fldChar w:fldCharType="end"/>
      </w:r>
      <w:r w:rsidRPr="004418B3">
        <w:rPr>
          <w:rFonts w:cs="David" w:hint="cs"/>
          <w:rtl/>
        </w:rPr>
        <w:t>.</w:t>
      </w:r>
    </w:p>
  </w:footnote>
  <w:footnote w:id="144">
    <w:p w:rsidR="009B636F" w:rsidRPr="002A6558" w:rsidRDefault="009B636F" w:rsidP="00397737">
      <w:pPr>
        <w:pStyle w:val="a5"/>
        <w:jc w:val="both"/>
        <w:rPr>
          <w:rtl/>
        </w:rPr>
      </w:pPr>
      <w:r w:rsidRPr="002A6558">
        <w:rPr>
          <w:rStyle w:val="a7"/>
        </w:rPr>
        <w:footnoteRef/>
      </w:r>
      <w:r w:rsidRPr="002A6558">
        <w:rPr>
          <w:rtl/>
        </w:rPr>
        <w:t xml:space="preserve"> </w:t>
      </w:r>
      <w:r w:rsidRPr="002A6558">
        <w:rPr>
          <w:rFonts w:cs="David" w:hint="cs"/>
          <w:rtl/>
        </w:rPr>
        <w:t>ראה</w:t>
      </w:r>
      <w:r w:rsidRPr="002A6558">
        <w:rPr>
          <w:rFonts w:hint="cs"/>
          <w:rtl/>
        </w:rPr>
        <w:t xml:space="preserve"> </w:t>
      </w:r>
      <w:r w:rsidRPr="002A6558">
        <w:t xml:space="preserve">Hobbes Thomas (1651), </w:t>
      </w:r>
      <w:r w:rsidRPr="002A6558">
        <w:rPr>
          <w:b/>
          <w:bCs/>
        </w:rPr>
        <w:t>Leviathan</w:t>
      </w:r>
      <w:r w:rsidRPr="002A6558">
        <w:t xml:space="preserve">, Cambridge University Press, New York </w:t>
      </w:r>
    </w:p>
  </w:footnote>
  <w:footnote w:id="145">
    <w:p w:rsidR="009B636F" w:rsidRPr="002A6558" w:rsidRDefault="009B636F" w:rsidP="00397737">
      <w:pPr>
        <w:pStyle w:val="a5"/>
        <w:jc w:val="both"/>
        <w:rPr>
          <w:rtl/>
        </w:rPr>
      </w:pPr>
      <w:r w:rsidRPr="002A6558">
        <w:rPr>
          <w:rStyle w:val="a7"/>
        </w:rPr>
        <w:footnoteRef/>
      </w:r>
      <w:r w:rsidRPr="002A6558">
        <w:rPr>
          <w:rtl/>
        </w:rPr>
        <w:t xml:space="preserve"> </w:t>
      </w:r>
      <w:r w:rsidRPr="002A6558">
        <w:rPr>
          <w:rFonts w:cs="David" w:hint="cs"/>
          <w:rtl/>
        </w:rPr>
        <w:t>ראה</w:t>
      </w:r>
      <w:r w:rsidRPr="002A6558">
        <w:rPr>
          <w:rFonts w:hint="cs"/>
          <w:rtl/>
        </w:rPr>
        <w:t xml:space="preserve"> </w:t>
      </w:r>
      <w:r w:rsidRPr="002A6558">
        <w:t xml:space="preserve">Morgentau Hans (1948), </w:t>
      </w:r>
      <w:r w:rsidRPr="002A6558">
        <w:rPr>
          <w:b/>
          <w:bCs/>
        </w:rPr>
        <w:t>Politics Among Nations: The Struggle for Power and Peace</w:t>
      </w:r>
      <w:r w:rsidRPr="002A6558">
        <w:t>, McGraw-Hill Education, New York</w:t>
      </w:r>
      <w:r w:rsidRPr="002A6558">
        <w:rPr>
          <w:rFonts w:hint="cs"/>
          <w:rtl/>
        </w:rPr>
        <w:t>.</w:t>
      </w:r>
    </w:p>
  </w:footnote>
  <w:footnote w:id="146">
    <w:p w:rsidR="009B636F" w:rsidRPr="002A6558" w:rsidRDefault="009B636F" w:rsidP="00397737">
      <w:pPr>
        <w:pStyle w:val="a5"/>
        <w:jc w:val="both"/>
        <w:rPr>
          <w:rtl/>
        </w:rPr>
      </w:pPr>
      <w:r w:rsidRPr="002A6558">
        <w:rPr>
          <w:rStyle w:val="a7"/>
        </w:rPr>
        <w:footnoteRef/>
      </w:r>
      <w:r w:rsidRPr="002A6558">
        <w:rPr>
          <w:rtl/>
        </w:rPr>
        <w:t xml:space="preserve"> </w:t>
      </w:r>
      <w:r w:rsidRPr="002A6558">
        <w:rPr>
          <w:rFonts w:cs="David" w:hint="cs"/>
          <w:rtl/>
        </w:rPr>
        <w:t>ראה</w:t>
      </w:r>
      <w:r w:rsidRPr="002A6558">
        <w:t xml:space="preserve">Carr Edward Hallet (1939), </w:t>
      </w:r>
      <w:r w:rsidRPr="002A6558">
        <w:rPr>
          <w:b/>
          <w:bCs/>
        </w:rPr>
        <w:t>The Twenty Years' Crisis: 1919–1939: An Introduction to the Study of International Relations</w:t>
      </w:r>
      <w:r w:rsidRPr="002A6558">
        <w:t xml:space="preserve">, Palgrave Macmillan </w:t>
      </w:r>
      <w:r w:rsidRPr="002A6558">
        <w:rPr>
          <w:rFonts w:hint="cs"/>
          <w:rtl/>
        </w:rPr>
        <w:t>.</w:t>
      </w:r>
    </w:p>
  </w:footnote>
  <w:footnote w:id="147">
    <w:p w:rsidR="009B636F" w:rsidRDefault="009B636F" w:rsidP="00B31898">
      <w:pPr>
        <w:pStyle w:val="a5"/>
        <w:jc w:val="both"/>
        <w:rPr>
          <w:rtl/>
        </w:rPr>
      </w:pPr>
      <w:r>
        <w:rPr>
          <w:rStyle w:val="a7"/>
        </w:rPr>
        <w:footnoteRef/>
      </w:r>
      <w:r>
        <w:rPr>
          <w:rtl/>
        </w:rPr>
        <w:t xml:space="preserve"> </w:t>
      </w:r>
      <w:r>
        <w:t xml:space="preserve">Cottier Thomas and Muller Jorg Paul, Estoppel (Last Updated in 2007), in </w:t>
      </w:r>
      <w:r w:rsidRPr="00F1637B">
        <w:rPr>
          <w:b/>
          <w:bCs/>
        </w:rPr>
        <w:t>Max Planck Encyclopedia of Public International Law</w:t>
      </w:r>
      <w:r>
        <w:t>, Oxford University Press, Vol. 3</w:t>
      </w:r>
    </w:p>
  </w:footnote>
  <w:footnote w:id="148">
    <w:p w:rsidR="009B636F" w:rsidRDefault="009B636F" w:rsidP="00870436">
      <w:pPr>
        <w:pStyle w:val="a5"/>
        <w:jc w:val="both"/>
        <w:rPr>
          <w:rtl/>
        </w:rPr>
      </w:pPr>
      <w:r>
        <w:rPr>
          <w:rStyle w:val="a7"/>
        </w:rPr>
        <w:footnoteRef/>
      </w:r>
      <w:r>
        <w:rPr>
          <w:rtl/>
        </w:rPr>
        <w:t xml:space="preserve"> </w:t>
      </w:r>
      <w:r w:rsidRPr="00B31898">
        <w:rPr>
          <w:rFonts w:cs="David" w:hint="cs"/>
          <w:rtl/>
        </w:rPr>
        <w:t xml:space="preserve">ראה ה"ש </w:t>
      </w:r>
      <w:r>
        <w:rPr>
          <w:rFonts w:cs="David"/>
          <w:rtl/>
        </w:rPr>
        <w:fldChar w:fldCharType="begin"/>
      </w:r>
      <w:r>
        <w:rPr>
          <w:rFonts w:cs="David"/>
          <w:rtl/>
        </w:rPr>
        <w:instrText xml:space="preserve"> </w:instrText>
      </w:r>
      <w:r>
        <w:rPr>
          <w:rFonts w:cs="David" w:hint="cs"/>
        </w:rPr>
        <w:instrText>NOTEREF</w:instrText>
      </w:r>
      <w:r>
        <w:rPr>
          <w:rFonts w:cs="David" w:hint="cs"/>
          <w:rtl/>
        </w:rPr>
        <w:instrText xml:space="preserve"> _</w:instrText>
      </w:r>
      <w:r>
        <w:rPr>
          <w:rFonts w:cs="David" w:hint="cs"/>
        </w:rPr>
        <w:instrText>Ref454648922 \h</w:instrText>
      </w:r>
      <w:r>
        <w:rPr>
          <w:rFonts w:cs="David"/>
          <w:rtl/>
        </w:rPr>
        <w:instrText xml:space="preserve"> </w:instrText>
      </w:r>
      <w:r>
        <w:rPr>
          <w:rFonts w:cs="David"/>
          <w:rtl/>
        </w:rPr>
      </w:r>
      <w:r>
        <w:rPr>
          <w:rFonts w:cs="David"/>
          <w:rtl/>
        </w:rPr>
        <w:fldChar w:fldCharType="separate"/>
      </w:r>
      <w:r>
        <w:rPr>
          <w:rFonts w:cs="David"/>
          <w:rtl/>
        </w:rPr>
        <w:t>148</w:t>
      </w:r>
      <w:r>
        <w:rPr>
          <w:rFonts w:cs="David"/>
          <w:rtl/>
        </w:rPr>
        <w:fldChar w:fldCharType="end"/>
      </w:r>
      <w:r>
        <w:rPr>
          <w:rFonts w:cs="David" w:hint="cs"/>
          <w:rtl/>
        </w:rPr>
        <w:t xml:space="preserve"> </w:t>
      </w:r>
      <w:r w:rsidRPr="00B31898">
        <w:rPr>
          <w:rFonts w:cs="David" w:hint="cs"/>
          <w:rtl/>
        </w:rPr>
        <w:t>לעיל.</w:t>
      </w:r>
    </w:p>
  </w:footnote>
  <w:footnote w:id="149">
    <w:p w:rsidR="009B636F" w:rsidRPr="002A6558" w:rsidRDefault="009B636F" w:rsidP="00855BF7">
      <w:pPr>
        <w:pStyle w:val="a5"/>
        <w:jc w:val="both"/>
        <w:rPr>
          <w:rtl/>
        </w:rPr>
      </w:pPr>
      <w:r w:rsidRPr="002A6558">
        <w:rPr>
          <w:rStyle w:val="a7"/>
        </w:rPr>
        <w:footnoteRef/>
      </w:r>
      <w:r w:rsidRPr="002A6558">
        <w:rPr>
          <w:rtl/>
        </w:rPr>
        <w:t xml:space="preserve"> </w:t>
      </w:r>
      <w:r w:rsidRPr="002A6558">
        <w:rPr>
          <w:rFonts w:cs="David" w:hint="cs"/>
          <w:rtl/>
        </w:rPr>
        <w:t>וראה לדוגמה ציפייה לחשיפת מידע שיסביר מדוע צה"ל תקף מבנים מסוימים ומה היתרון הצבאי שצמח לו מאותן תקיפות בפסקה 38 לדוח ועדת צוק איתן, ה"ש</w:t>
      </w:r>
      <w:r>
        <w:rPr>
          <w:rFonts w:cs="David" w:hint="cs"/>
          <w:rtl/>
        </w:rPr>
        <w:t xml:space="preserve"> </w:t>
      </w:r>
      <w:r>
        <w:rPr>
          <w:rFonts w:cs="David"/>
          <w:rtl/>
        </w:rPr>
        <w:fldChar w:fldCharType="begin"/>
      </w:r>
      <w:r>
        <w:rPr>
          <w:rFonts w:cs="David"/>
          <w:rtl/>
        </w:rPr>
        <w:instrText xml:space="preserve"> </w:instrText>
      </w:r>
      <w:r>
        <w:rPr>
          <w:rFonts w:cs="David" w:hint="cs"/>
        </w:rPr>
        <w:instrText>NOTEREF</w:instrText>
      </w:r>
      <w:r>
        <w:rPr>
          <w:rFonts w:cs="David" w:hint="cs"/>
          <w:rtl/>
        </w:rPr>
        <w:instrText xml:space="preserve"> _</w:instrText>
      </w:r>
      <w:r>
        <w:rPr>
          <w:rFonts w:cs="David" w:hint="cs"/>
        </w:rPr>
        <w:instrText>Ref454788759 \h</w:instrText>
      </w:r>
      <w:r>
        <w:rPr>
          <w:rFonts w:cs="David"/>
          <w:rtl/>
        </w:rPr>
        <w:instrText xml:space="preserve"> </w:instrText>
      </w:r>
      <w:r>
        <w:rPr>
          <w:rFonts w:cs="David"/>
          <w:rtl/>
        </w:rPr>
      </w:r>
      <w:r>
        <w:rPr>
          <w:rFonts w:cs="David"/>
          <w:rtl/>
        </w:rPr>
        <w:fldChar w:fldCharType="separate"/>
      </w:r>
      <w:r>
        <w:rPr>
          <w:rFonts w:cs="David"/>
          <w:rtl/>
        </w:rPr>
        <w:t>343</w:t>
      </w:r>
      <w:r>
        <w:rPr>
          <w:rFonts w:cs="David"/>
          <w:rtl/>
        </w:rPr>
        <w:fldChar w:fldCharType="end"/>
      </w:r>
      <w:r w:rsidRPr="002A6558">
        <w:rPr>
          <w:rFonts w:cs="David" w:hint="cs"/>
          <w:rtl/>
        </w:rPr>
        <w:t>.</w:t>
      </w:r>
    </w:p>
  </w:footnote>
  <w:footnote w:id="150">
    <w:p w:rsidR="009B636F" w:rsidRPr="002A6558" w:rsidRDefault="009B636F" w:rsidP="00982291">
      <w:pPr>
        <w:pStyle w:val="a5"/>
        <w:jc w:val="both"/>
        <w:rPr>
          <w:rFonts w:cs="David"/>
          <w:rtl/>
        </w:rPr>
      </w:pPr>
      <w:r w:rsidRPr="002A6558">
        <w:rPr>
          <w:rStyle w:val="a7"/>
        </w:rPr>
        <w:footnoteRef/>
      </w:r>
      <w:r w:rsidRPr="002A6558">
        <w:rPr>
          <w:rtl/>
        </w:rPr>
        <w:t xml:space="preserve"> </w:t>
      </w:r>
      <w:r w:rsidRPr="002A6558">
        <w:rPr>
          <w:rFonts w:cs="David" w:hint="cs"/>
          <w:rtl/>
        </w:rPr>
        <w:t>ראה לדוגמה הגינויים שהושמעו</w:t>
      </w:r>
      <w:r>
        <w:rPr>
          <w:rFonts w:cs="David" w:hint="cs"/>
          <w:rtl/>
        </w:rPr>
        <w:t xml:space="preserve"> על ידי </w:t>
      </w:r>
      <w:r w:rsidRPr="002A6558">
        <w:rPr>
          <w:rFonts w:cs="David" w:hint="cs"/>
          <w:rtl/>
        </w:rPr>
        <w:t>הדרג המדיני כנגד החלטת התובעת של בית הדין הפלילי לפתוח בבדיקה מקדמית על "המצב בפלסטין" בעקבות הצטרפות הפלסטינים לאמנת רומא</w:t>
      </w:r>
      <w:r>
        <w:rPr>
          <w:rFonts w:cs="David" w:hint="cs"/>
          <w:rtl/>
        </w:rPr>
        <w:t xml:space="preserve">: </w:t>
      </w:r>
      <w:r w:rsidRPr="002A6558">
        <w:rPr>
          <w:rFonts w:cs="David" w:hint="cs"/>
          <w:rtl/>
        </w:rPr>
        <w:t xml:space="preserve">סומברג דנה, אמיר נועם, עוקבי יאסר (2015), </w:t>
      </w:r>
      <w:r w:rsidRPr="002A6558">
        <w:rPr>
          <w:rFonts w:ascii="fbspoilerenbold" w:eastAsia="Times New Roman" w:hAnsi="fbspoilerenbold" w:cs="David"/>
          <w:kern w:val="36"/>
          <w:rtl/>
        </w:rPr>
        <w:t>נתניהו: "ישראל דוחה את ההחלטה השערורייתית של בית הדין בהאג</w:t>
      </w:r>
      <w:r w:rsidRPr="002A6558">
        <w:rPr>
          <w:rFonts w:ascii="fbspoilerenbold" w:eastAsia="Times New Roman" w:hAnsi="fbspoilerenbold" w:cs="David"/>
          <w:kern w:val="36"/>
        </w:rPr>
        <w:t>"</w:t>
      </w:r>
      <w:r w:rsidRPr="002A6558">
        <w:rPr>
          <w:rFonts w:ascii="fbspoilerenbold" w:eastAsia="Times New Roman" w:hAnsi="fbspoilerenbold" w:cs="David" w:hint="cs"/>
          <w:kern w:val="36"/>
          <w:rtl/>
        </w:rPr>
        <w:t xml:space="preserve">, </w:t>
      </w:r>
      <w:r w:rsidRPr="002A6558">
        <w:rPr>
          <w:rFonts w:ascii="fbspoilerenbold" w:eastAsia="Times New Roman" w:hAnsi="fbspoilerenbold" w:cs="David" w:hint="cs"/>
          <w:b/>
          <w:bCs/>
          <w:kern w:val="36"/>
          <w:rtl/>
        </w:rPr>
        <w:t xml:space="preserve">מעריב, </w:t>
      </w:r>
      <w:r w:rsidRPr="002A6558">
        <w:rPr>
          <w:rFonts w:eastAsia="Times New Roman" w:cs="David"/>
          <w:kern w:val="36"/>
        </w:rPr>
        <w:t>http://www.maariv.co.il/news/politics/Article-460131</w:t>
      </w:r>
      <w:r>
        <w:rPr>
          <w:rFonts w:eastAsia="Times New Roman" w:cs="David" w:hint="cs"/>
          <w:kern w:val="36"/>
          <w:rtl/>
        </w:rPr>
        <w:t xml:space="preserve">; </w:t>
      </w:r>
      <w:r w:rsidRPr="002A6558">
        <w:rPr>
          <w:rFonts w:cs="David" w:hint="cs"/>
          <w:rtl/>
        </w:rPr>
        <w:t xml:space="preserve">אייכנר איתמר </w:t>
      </w:r>
      <w:r>
        <w:rPr>
          <w:rFonts w:cs="David" w:hint="cs"/>
          <w:rtl/>
        </w:rPr>
        <w:t>ו</w:t>
      </w:r>
      <w:r w:rsidRPr="002A6558">
        <w:rPr>
          <w:rFonts w:cs="David" w:hint="cs"/>
          <w:rtl/>
        </w:rPr>
        <w:t xml:space="preserve">לוי אליאור (2015), </w:t>
      </w:r>
      <w:r w:rsidRPr="002A6558">
        <w:rPr>
          <w:rFonts w:cs="David"/>
          <w:rtl/>
        </w:rPr>
        <w:t>בית הדין בהאג: פותחים בבדיקה ראשונית על פשעי מלחמה בפלסטין</w:t>
      </w:r>
      <w:r w:rsidRPr="002A6558">
        <w:rPr>
          <w:rFonts w:cs="David" w:hint="cs"/>
          <w:rtl/>
        </w:rPr>
        <w:t xml:space="preserve">, </w:t>
      </w:r>
      <w:r w:rsidRPr="002A6558">
        <w:rPr>
          <w:rFonts w:cs="David"/>
          <w:b/>
          <w:bCs/>
        </w:rPr>
        <w:t>Ynet</w:t>
      </w:r>
      <w:r w:rsidRPr="002A6558">
        <w:rPr>
          <w:rFonts w:cs="David" w:hint="cs"/>
          <w:rtl/>
        </w:rPr>
        <w:t xml:space="preserve">, </w:t>
      </w:r>
      <w:r w:rsidRPr="002A6558">
        <w:rPr>
          <w:rFonts w:cs="David"/>
        </w:rPr>
        <w:t>http://www.ynet.co.il/articles/0,7340,L-4615848,00.html</w:t>
      </w:r>
      <w:r>
        <w:rPr>
          <w:rFonts w:cs="David" w:hint="cs"/>
          <w:rtl/>
        </w:rPr>
        <w:t xml:space="preserve">; </w:t>
      </w:r>
      <w:r w:rsidRPr="002A6558">
        <w:rPr>
          <w:rFonts w:cs="David" w:hint="cs"/>
          <w:rtl/>
        </w:rPr>
        <w:t xml:space="preserve">ליס יהונתן, חורי ג'קי, כהן גילי (2015), </w:t>
      </w:r>
      <w:r w:rsidRPr="002A6558">
        <w:rPr>
          <w:rFonts w:ascii="Helvetica" w:hAnsi="Helvetica" w:cs="David"/>
          <w:rtl/>
        </w:rPr>
        <w:t>נתניהו על בדיקת בית הדין בהאג: "החלטה שערורייתית, אין אבסורד גדול</w:t>
      </w:r>
      <w:r w:rsidRPr="002A6558">
        <w:rPr>
          <w:rFonts w:ascii="Helvetica" w:hAnsi="Helvetica" w:cs="David"/>
          <w:b/>
          <w:bCs/>
          <w:rtl/>
        </w:rPr>
        <w:t xml:space="preserve"> </w:t>
      </w:r>
      <w:r w:rsidRPr="002A6558">
        <w:rPr>
          <w:rFonts w:ascii="Helvetica" w:hAnsi="Helvetica" w:cs="David"/>
          <w:rtl/>
        </w:rPr>
        <w:t>מז</w:t>
      </w:r>
      <w:r w:rsidRPr="002A6558">
        <w:rPr>
          <w:rFonts w:ascii="Helvetica" w:hAnsi="Helvetica" w:cs="David" w:hint="cs"/>
          <w:rtl/>
        </w:rPr>
        <w:t xml:space="preserve">ה", </w:t>
      </w:r>
      <w:r w:rsidRPr="002A6558">
        <w:rPr>
          <w:rFonts w:ascii="Helvetica" w:hAnsi="Helvetica" w:cs="David" w:hint="cs"/>
          <w:b/>
          <w:bCs/>
          <w:rtl/>
        </w:rPr>
        <w:t>הארץ</w:t>
      </w:r>
      <w:r w:rsidRPr="002A6558">
        <w:rPr>
          <w:rFonts w:ascii="Helvetica" w:hAnsi="Helvetica" w:cs="David" w:hint="cs"/>
          <w:rtl/>
        </w:rPr>
        <w:t xml:space="preserve">, </w:t>
      </w:r>
      <w:r w:rsidRPr="002A6558">
        <w:rPr>
          <w:rFonts w:cs="David"/>
        </w:rPr>
        <w:t>http://www.haaretz.co.il/news/politics/1.2541531</w:t>
      </w:r>
      <w:r>
        <w:rPr>
          <w:rFonts w:cs="David" w:hint="cs"/>
          <w:rtl/>
        </w:rPr>
        <w:t>;</w:t>
      </w:r>
      <w:r w:rsidRPr="002A6558">
        <w:rPr>
          <w:rFonts w:cs="David" w:hint="cs"/>
          <w:rtl/>
        </w:rPr>
        <w:t xml:space="preserve"> ההחלטה המאוחרת </w:t>
      </w:r>
      <w:r>
        <w:rPr>
          <w:rFonts w:cs="David" w:hint="cs"/>
          <w:rtl/>
        </w:rPr>
        <w:t xml:space="preserve">יותר </w:t>
      </w:r>
      <w:r w:rsidRPr="002A6558">
        <w:rPr>
          <w:rFonts w:cs="David" w:hint="cs"/>
          <w:rtl/>
        </w:rPr>
        <w:t>של הדרג המדיני לשנות את המדיניות ולאפשר שיח ענייני עם משרד התובעת</w:t>
      </w:r>
      <w:r>
        <w:rPr>
          <w:rFonts w:cs="David" w:hint="cs"/>
          <w:rtl/>
        </w:rPr>
        <w:t xml:space="preserve">, ראה ה"ש </w:t>
      </w:r>
      <w:r>
        <w:rPr>
          <w:rFonts w:cs="David"/>
          <w:rtl/>
        </w:rPr>
        <w:fldChar w:fldCharType="begin"/>
      </w:r>
      <w:r>
        <w:rPr>
          <w:rFonts w:cs="David"/>
          <w:rtl/>
        </w:rPr>
        <w:instrText xml:space="preserve"> </w:instrText>
      </w:r>
      <w:r>
        <w:rPr>
          <w:rFonts w:cs="David" w:hint="cs"/>
        </w:rPr>
        <w:instrText>NOTEREF</w:instrText>
      </w:r>
      <w:r>
        <w:rPr>
          <w:rFonts w:cs="David" w:hint="cs"/>
          <w:rtl/>
        </w:rPr>
        <w:instrText xml:space="preserve"> _</w:instrText>
      </w:r>
      <w:r>
        <w:rPr>
          <w:rFonts w:cs="David" w:hint="cs"/>
        </w:rPr>
        <w:instrText>Ref454789094 \h</w:instrText>
      </w:r>
      <w:r>
        <w:rPr>
          <w:rFonts w:cs="David"/>
          <w:rtl/>
        </w:rPr>
        <w:instrText xml:space="preserve"> </w:instrText>
      </w:r>
      <w:r>
        <w:rPr>
          <w:rFonts w:cs="David"/>
          <w:rtl/>
        </w:rPr>
      </w:r>
      <w:r>
        <w:rPr>
          <w:rFonts w:cs="David"/>
          <w:rtl/>
        </w:rPr>
        <w:fldChar w:fldCharType="separate"/>
      </w:r>
      <w:r>
        <w:rPr>
          <w:rFonts w:cs="David"/>
          <w:rtl/>
        </w:rPr>
        <w:t>102</w:t>
      </w:r>
      <w:r>
        <w:rPr>
          <w:rFonts w:cs="David"/>
          <w:rtl/>
        </w:rPr>
        <w:fldChar w:fldCharType="end"/>
      </w:r>
      <w:r>
        <w:rPr>
          <w:rFonts w:cs="David" w:hint="cs"/>
          <w:rtl/>
        </w:rPr>
        <w:t xml:space="preserve"> לעיל</w:t>
      </w:r>
      <w:r w:rsidRPr="002A6558">
        <w:rPr>
          <w:rFonts w:cs="David" w:hint="cs"/>
          <w:rtl/>
        </w:rPr>
        <w:t>.</w:t>
      </w:r>
    </w:p>
  </w:footnote>
  <w:footnote w:id="151">
    <w:p w:rsidR="009B636F" w:rsidRPr="00152E06" w:rsidRDefault="009B636F" w:rsidP="00397737">
      <w:pPr>
        <w:pStyle w:val="a5"/>
        <w:jc w:val="both"/>
        <w:rPr>
          <w:rtl/>
        </w:rPr>
      </w:pPr>
      <w:r>
        <w:rPr>
          <w:rStyle w:val="a7"/>
        </w:rPr>
        <w:footnoteRef/>
      </w:r>
      <w:r>
        <w:rPr>
          <w:rtl/>
        </w:rPr>
        <w:t xml:space="preserve"> </w:t>
      </w:r>
      <w:r w:rsidRPr="007F4954">
        <w:t xml:space="preserve">Report of an Expert Meeting which Assessed Procedural Criticisms made of the UN Fact-Finding Mission on the Gaza Conflict (The Goldstone Report), </w:t>
      </w:r>
      <w:r w:rsidRPr="007F4954">
        <w:rPr>
          <w:rFonts w:eastAsia="Times New Roman" w:cs="Arial"/>
        </w:rPr>
        <w:t xml:space="preserve">Chatham House, p. 14, </w:t>
      </w:r>
      <w:r>
        <w:rPr>
          <w:rFonts w:eastAsia="Times New Roman" w:cs="Arial"/>
        </w:rPr>
        <w:t xml:space="preserve">available at </w:t>
      </w:r>
      <w:r w:rsidRPr="007F4954">
        <w:rPr>
          <w:rFonts w:eastAsia="Times New Roman" w:cs="Arial"/>
        </w:rPr>
        <w:t>https://www.chathamhouse.org/sites/files/chathamhouse/public/Research/International%20Law/il271109summary.pdf</w:t>
      </w:r>
      <w:r>
        <w:rPr>
          <w:rFonts w:hint="cs"/>
          <w:rtl/>
        </w:rPr>
        <w:t xml:space="preserve">. </w:t>
      </w:r>
      <w:r w:rsidRPr="00D44503">
        <w:rPr>
          <w:rFonts w:cs="David" w:hint="cs"/>
          <w:rtl/>
        </w:rPr>
        <w:t>וראה</w:t>
      </w:r>
      <w:r w:rsidRPr="00D44503">
        <w:rPr>
          <w:rFonts w:cs="David"/>
          <w:rtl/>
        </w:rPr>
        <w:t xml:space="preserve"> </w:t>
      </w:r>
      <w:r w:rsidRPr="00D44503">
        <w:rPr>
          <w:rFonts w:cs="David" w:hint="cs"/>
          <w:rtl/>
        </w:rPr>
        <w:t>הפרשנות</w:t>
      </w:r>
      <w:r w:rsidRPr="00D44503">
        <w:rPr>
          <w:rFonts w:cs="David"/>
          <w:rtl/>
        </w:rPr>
        <w:t xml:space="preserve"> </w:t>
      </w:r>
      <w:r w:rsidRPr="00D44503">
        <w:rPr>
          <w:rFonts w:cs="David" w:hint="cs"/>
          <w:rtl/>
        </w:rPr>
        <w:t>המעודכנת</w:t>
      </w:r>
      <w:r w:rsidRPr="00D44503">
        <w:rPr>
          <w:rFonts w:cs="David"/>
          <w:rtl/>
        </w:rPr>
        <w:t xml:space="preserve"> </w:t>
      </w:r>
      <w:r>
        <w:rPr>
          <w:rFonts w:cs="David" w:hint="cs"/>
          <w:rtl/>
        </w:rPr>
        <w:t xml:space="preserve">והמרחיבה </w:t>
      </w:r>
      <w:r w:rsidRPr="00D44503">
        <w:rPr>
          <w:rFonts w:cs="David" w:hint="cs"/>
          <w:rtl/>
        </w:rPr>
        <w:t>של</w:t>
      </w:r>
      <w:r w:rsidRPr="00D44503">
        <w:rPr>
          <w:rFonts w:cs="David"/>
          <w:rtl/>
        </w:rPr>
        <w:t xml:space="preserve"> </w:t>
      </w:r>
      <w:r w:rsidRPr="00D44503">
        <w:rPr>
          <w:rFonts w:cs="David" w:hint="cs"/>
          <w:rtl/>
        </w:rPr>
        <w:t>הצלב</w:t>
      </w:r>
      <w:r w:rsidRPr="00D44503">
        <w:rPr>
          <w:rFonts w:cs="David"/>
          <w:rtl/>
        </w:rPr>
        <w:t xml:space="preserve"> </w:t>
      </w:r>
      <w:r w:rsidRPr="00D44503">
        <w:rPr>
          <w:rFonts w:cs="David" w:hint="cs"/>
          <w:rtl/>
        </w:rPr>
        <w:t>האדום</w:t>
      </w:r>
      <w:r w:rsidRPr="00D44503">
        <w:rPr>
          <w:rFonts w:cs="David"/>
          <w:rtl/>
        </w:rPr>
        <w:t xml:space="preserve"> </w:t>
      </w:r>
      <w:r w:rsidRPr="00D44503">
        <w:rPr>
          <w:rFonts w:cs="David" w:hint="cs"/>
          <w:rtl/>
        </w:rPr>
        <w:t>לחובות</w:t>
      </w:r>
      <w:r w:rsidRPr="00D44503">
        <w:rPr>
          <w:rFonts w:cs="David"/>
          <w:rtl/>
        </w:rPr>
        <w:t xml:space="preserve"> </w:t>
      </w:r>
      <w:r w:rsidRPr="00D44503">
        <w:rPr>
          <w:rFonts w:cs="David" w:hint="cs"/>
          <w:rtl/>
        </w:rPr>
        <w:t>הנובעות</w:t>
      </w:r>
      <w:r w:rsidRPr="00D44503">
        <w:rPr>
          <w:rFonts w:cs="David"/>
          <w:rtl/>
        </w:rPr>
        <w:t xml:space="preserve"> </w:t>
      </w:r>
      <w:r w:rsidRPr="00D44503">
        <w:rPr>
          <w:rFonts w:cs="David" w:hint="cs"/>
          <w:rtl/>
        </w:rPr>
        <w:t>מסעיף</w:t>
      </w:r>
      <w:r w:rsidRPr="00D44503">
        <w:rPr>
          <w:rFonts w:cs="David"/>
          <w:rtl/>
        </w:rPr>
        <w:t xml:space="preserve"> 1 </w:t>
      </w:r>
      <w:r w:rsidRPr="00D44503">
        <w:rPr>
          <w:rFonts w:cs="David" w:hint="cs"/>
          <w:rtl/>
        </w:rPr>
        <w:t>המשותף</w:t>
      </w:r>
      <w:r w:rsidRPr="00D44503">
        <w:rPr>
          <w:rFonts w:cs="David"/>
          <w:rtl/>
        </w:rPr>
        <w:t xml:space="preserve"> </w:t>
      </w:r>
      <w:r w:rsidRPr="00D44503">
        <w:rPr>
          <w:rFonts w:cs="David" w:hint="cs"/>
          <w:rtl/>
        </w:rPr>
        <w:t>לאמנות</w:t>
      </w:r>
      <w:r w:rsidRPr="00D44503">
        <w:rPr>
          <w:rFonts w:cs="David"/>
          <w:rtl/>
        </w:rPr>
        <w:t xml:space="preserve"> </w:t>
      </w:r>
      <w:r w:rsidRPr="00D44503">
        <w:rPr>
          <w:rFonts w:cs="David" w:hint="cs"/>
          <w:rtl/>
        </w:rPr>
        <w:t>ג</w:t>
      </w:r>
      <w:r w:rsidRPr="00D44503">
        <w:rPr>
          <w:rFonts w:cs="David"/>
          <w:rtl/>
        </w:rPr>
        <w:t>'</w:t>
      </w:r>
      <w:r w:rsidRPr="00D44503">
        <w:rPr>
          <w:rFonts w:cs="David" w:hint="cs"/>
          <w:rtl/>
        </w:rPr>
        <w:t>נבה</w:t>
      </w:r>
      <w:r w:rsidRPr="00D44503">
        <w:rPr>
          <w:rFonts w:cs="David"/>
          <w:rtl/>
        </w:rPr>
        <w:t xml:space="preserve">: </w:t>
      </w:r>
      <w:r>
        <w:t xml:space="preserve">ICRC, Commentary of 2016, Article 1: Respect for the Convention, paras. 143-182, available at </w:t>
      </w:r>
      <w:r w:rsidRPr="00936D6C">
        <w:t>https://www.icrc.org/applic/ihl/ihl.nsf/Comment.xsp?action=openDocument&amp;documentId=72239588AFA66200C1257F7D00367DBD#_Toc452123276</w:t>
      </w:r>
      <w:r>
        <w:rPr>
          <w:rFonts w:hint="cs"/>
          <w:rtl/>
        </w:rPr>
        <w:t>.</w:t>
      </w:r>
    </w:p>
  </w:footnote>
  <w:footnote w:id="152">
    <w:p w:rsidR="009B636F" w:rsidRPr="002A6558" w:rsidRDefault="009B636F" w:rsidP="00397737">
      <w:pPr>
        <w:pStyle w:val="a5"/>
        <w:jc w:val="both"/>
      </w:pPr>
      <w:r w:rsidRPr="002A6558">
        <w:rPr>
          <w:rStyle w:val="a7"/>
        </w:rPr>
        <w:footnoteRef/>
      </w:r>
      <w:r w:rsidRPr="002A6558">
        <w:rPr>
          <w:rtl/>
        </w:rPr>
        <w:t xml:space="preserve"> </w:t>
      </w:r>
      <w:r w:rsidRPr="002A6558">
        <w:t>Human Rights Council, A/RES/60/251, 15.03.06, available at https://documents-dds-ny.un.org/doc/UNDOC/GEN/N05/502/66/PDF/N0550266.pdf?OpenElement</w:t>
      </w:r>
    </w:p>
  </w:footnote>
  <w:footnote w:id="153">
    <w:p w:rsidR="009B636F" w:rsidRPr="002A6558" w:rsidRDefault="009B636F" w:rsidP="00397737">
      <w:pPr>
        <w:pStyle w:val="a5"/>
        <w:jc w:val="both"/>
        <w:rPr>
          <w:rFonts w:cs="David"/>
          <w:rtl/>
        </w:rPr>
      </w:pPr>
      <w:r w:rsidRPr="002A6558">
        <w:rPr>
          <w:rStyle w:val="a7"/>
        </w:rPr>
        <w:footnoteRef/>
      </w:r>
      <w:r w:rsidRPr="002A6558">
        <w:rPr>
          <w:rtl/>
        </w:rPr>
        <w:t xml:space="preserve"> </w:t>
      </w:r>
      <w:r w:rsidRPr="002A6558">
        <w:rPr>
          <w:rFonts w:cs="David" w:hint="cs"/>
          <w:rtl/>
        </w:rPr>
        <w:t xml:space="preserve">ראה ביקורת מזכ"ל האו"ם בעצמו לעניין זה: </w:t>
      </w:r>
      <w:r w:rsidRPr="002A6558">
        <w:t>In larger freedom: towards development, security and human rights for all, Report of the Secretary-General, General Assembly, 21 March 2005, paragraph 182, A/59/2005, available at http://www.un.org/en/ga/search/view_doc.asp?symbol=A/59/2005</w:t>
      </w:r>
    </w:p>
  </w:footnote>
  <w:footnote w:id="154">
    <w:p w:rsidR="009B636F" w:rsidRPr="002A6558" w:rsidRDefault="009B636F" w:rsidP="00397737">
      <w:pPr>
        <w:pStyle w:val="a5"/>
        <w:jc w:val="both"/>
        <w:rPr>
          <w:rtl/>
        </w:rPr>
      </w:pPr>
      <w:r w:rsidRPr="002A6558">
        <w:rPr>
          <w:rStyle w:val="a7"/>
        </w:rPr>
        <w:footnoteRef/>
      </w:r>
      <w:r w:rsidRPr="002A6558">
        <w:rPr>
          <w:rtl/>
        </w:rPr>
        <w:t xml:space="preserve"> </w:t>
      </w:r>
      <w:r w:rsidRPr="002A6558">
        <w:rPr>
          <w:rFonts w:cs="Arial"/>
          <w:shd w:val="clear" w:color="auto" w:fill="FFFFFF"/>
        </w:rPr>
        <w:t xml:space="preserve">Bayefsky Anne (2002), </w:t>
      </w:r>
      <w:r w:rsidRPr="002A6558">
        <w:t xml:space="preserve">Ending Bias in the Human Rights System, </w:t>
      </w:r>
      <w:r w:rsidRPr="002A6558">
        <w:rPr>
          <w:b/>
          <w:bCs/>
        </w:rPr>
        <w:t>The New York Times</w:t>
      </w:r>
      <w:r w:rsidRPr="002A6558">
        <w:t>, http://www.nytimes.com/2002/05/22/opinion/ending-bias-in-the-human-rights-system.html?scp=1&amp;sq=%22Anne+Bayefsky%22&amp;st=nyt</w:t>
      </w:r>
    </w:p>
  </w:footnote>
  <w:footnote w:id="155">
    <w:p w:rsidR="009B636F" w:rsidRPr="002A6558" w:rsidRDefault="009B636F" w:rsidP="00397737">
      <w:pPr>
        <w:pStyle w:val="a5"/>
        <w:jc w:val="both"/>
        <w:rPr>
          <w:rFonts w:cs="David"/>
          <w:rtl/>
        </w:rPr>
      </w:pPr>
      <w:r w:rsidRPr="002A6558">
        <w:rPr>
          <w:rStyle w:val="a7"/>
        </w:rPr>
        <w:footnoteRef/>
      </w:r>
      <w:r w:rsidRPr="002A6558">
        <w:rPr>
          <w:rtl/>
        </w:rPr>
        <w:t xml:space="preserve"> </w:t>
      </w:r>
      <w:r w:rsidRPr="002A6558">
        <w:rPr>
          <w:rFonts w:cs="David" w:hint="cs"/>
          <w:rtl/>
        </w:rPr>
        <w:t>סעיף 2 להחלטת העצרת הכללית.</w:t>
      </w:r>
    </w:p>
  </w:footnote>
  <w:footnote w:id="156">
    <w:p w:rsidR="009B636F" w:rsidRPr="002A6558" w:rsidRDefault="009B636F" w:rsidP="00397737">
      <w:pPr>
        <w:pStyle w:val="a5"/>
        <w:jc w:val="both"/>
        <w:rPr>
          <w:rFonts w:cs="David"/>
          <w:rtl/>
        </w:rPr>
      </w:pPr>
      <w:r w:rsidRPr="002A6558">
        <w:rPr>
          <w:rStyle w:val="a7"/>
        </w:rPr>
        <w:footnoteRef/>
      </w:r>
      <w:r w:rsidRPr="002A6558">
        <w:rPr>
          <w:rtl/>
        </w:rPr>
        <w:t xml:space="preserve"> </w:t>
      </w:r>
      <w:r w:rsidRPr="002A6558">
        <w:rPr>
          <w:rFonts w:cs="David" w:hint="cs"/>
          <w:rtl/>
        </w:rPr>
        <w:t>סעיף 3 להחלטת העצרת הכללית.</w:t>
      </w:r>
    </w:p>
  </w:footnote>
  <w:footnote w:id="157">
    <w:p w:rsidR="009B636F" w:rsidRPr="002A6558" w:rsidRDefault="009B636F" w:rsidP="00397737">
      <w:pPr>
        <w:pStyle w:val="a5"/>
        <w:jc w:val="both"/>
        <w:rPr>
          <w:rtl/>
        </w:rPr>
      </w:pPr>
      <w:r w:rsidRPr="002A6558">
        <w:rPr>
          <w:rStyle w:val="a7"/>
        </w:rPr>
        <w:footnoteRef/>
      </w:r>
      <w:r w:rsidRPr="002A6558">
        <w:rPr>
          <w:rtl/>
        </w:rPr>
        <w:t xml:space="preserve"> </w:t>
      </w:r>
      <w:r w:rsidRPr="002A6558">
        <w:rPr>
          <w:rFonts w:cs="David" w:hint="cs"/>
          <w:rtl/>
        </w:rPr>
        <w:t>סעיף 4 להחלטת העצרת הכללית.</w:t>
      </w:r>
    </w:p>
  </w:footnote>
  <w:footnote w:id="158">
    <w:p w:rsidR="009B636F" w:rsidRPr="002A6558" w:rsidRDefault="009B636F" w:rsidP="00397737">
      <w:pPr>
        <w:pStyle w:val="a5"/>
        <w:jc w:val="both"/>
        <w:rPr>
          <w:rFonts w:cs="David"/>
        </w:rPr>
      </w:pPr>
      <w:r w:rsidRPr="002A6558">
        <w:rPr>
          <w:rStyle w:val="a7"/>
        </w:rPr>
        <w:footnoteRef/>
      </w:r>
      <w:r w:rsidRPr="002A6558">
        <w:rPr>
          <w:rtl/>
        </w:rPr>
        <w:t xml:space="preserve"> </w:t>
      </w:r>
      <w:r w:rsidRPr="002A6558">
        <w:rPr>
          <w:rFonts w:cs="David" w:hint="cs"/>
          <w:rtl/>
        </w:rPr>
        <w:t xml:space="preserve">באו"ם בניו יורק הייתה ישראל חברה בקבוצת </w:t>
      </w:r>
      <w:r w:rsidRPr="002A6558">
        <w:rPr>
          <w:rFonts w:cs="David" w:hint="cs"/>
        </w:rPr>
        <w:t>WEOG</w:t>
      </w:r>
      <w:r w:rsidRPr="002A6558">
        <w:rPr>
          <w:rFonts w:cs="David" w:hint="cs"/>
          <w:rtl/>
        </w:rPr>
        <w:t xml:space="preserve"> החל משנת 2000, אך לא בג'נבה.</w:t>
      </w:r>
    </w:p>
  </w:footnote>
  <w:footnote w:id="159">
    <w:p w:rsidR="009B636F" w:rsidRPr="002A6558" w:rsidRDefault="009B636F" w:rsidP="00397737">
      <w:pPr>
        <w:pStyle w:val="a5"/>
        <w:jc w:val="both"/>
        <w:rPr>
          <w:rtl/>
        </w:rPr>
      </w:pPr>
      <w:r w:rsidRPr="002A6558">
        <w:rPr>
          <w:rStyle w:val="a7"/>
        </w:rPr>
        <w:footnoteRef/>
      </w:r>
      <w:r w:rsidRPr="002A6558">
        <w:rPr>
          <w:rtl/>
        </w:rPr>
        <w:t xml:space="preserve"> </w:t>
      </w:r>
      <w:hyperlink r:id="rId21" w:tooltip="Posts by Michal Navoth" w:history="1">
        <w:r w:rsidRPr="002A6558">
          <w:rPr>
            <w:rFonts w:eastAsia="Times New Roman" w:cs="Helvetica"/>
          </w:rPr>
          <w:t>Navoth</w:t>
        </w:r>
      </w:hyperlink>
      <w:r w:rsidRPr="002A6558">
        <w:rPr>
          <w:rFonts w:eastAsia="Times New Roman" w:cs="Helvetica"/>
        </w:rPr>
        <w:t xml:space="preserve"> Michal (2014), </w:t>
      </w:r>
      <w:r w:rsidRPr="002A6558">
        <w:rPr>
          <w:rFonts w:cs="Helvetica"/>
          <w:shd w:val="clear" w:color="auto" w:fill="FFFFFF"/>
        </w:rPr>
        <w:t>Israel’s Relationship with the UN Human Rights Council: Is There Hope for Change?, Jerusalem Center for Public Affairs, http://jcpa.org/article/israels-relationship-un-human-rights-council/</w:t>
      </w:r>
    </w:p>
  </w:footnote>
  <w:footnote w:id="160">
    <w:p w:rsidR="009B636F" w:rsidRPr="002A6558" w:rsidRDefault="009B636F" w:rsidP="00397737">
      <w:pPr>
        <w:pStyle w:val="a5"/>
        <w:jc w:val="both"/>
        <w:rPr>
          <w:rtl/>
        </w:rPr>
      </w:pPr>
      <w:r w:rsidRPr="002A6558">
        <w:rPr>
          <w:rStyle w:val="a7"/>
        </w:rPr>
        <w:footnoteRef/>
      </w:r>
      <w:r w:rsidRPr="002A6558">
        <w:rPr>
          <w:rtl/>
        </w:rPr>
        <w:t xml:space="preserve"> </w:t>
      </w:r>
      <w:r w:rsidRPr="002A6558">
        <w:t xml:space="preserve">Report: In 9 Years’ Existence, UNHRC Condemned Israel More Times Than Rest of World Combined, UN Watch, </w:t>
      </w:r>
      <w:r w:rsidRPr="002A6558">
        <w:rPr>
          <w:rStyle w:val="aa"/>
          <w:rFonts w:cs="Arial"/>
          <w:shd w:val="clear" w:color="auto" w:fill="FFFFFF"/>
        </w:rPr>
        <w:t>June 25, 2015, http://www.unwatch.org/report-in-9-years-existence-unhrc-condemned-israel-more-times-than-rest-of-world-combined/</w:t>
      </w:r>
    </w:p>
  </w:footnote>
  <w:footnote w:id="161">
    <w:p w:rsidR="009B636F" w:rsidRPr="002A6558" w:rsidRDefault="009B636F" w:rsidP="006E258F">
      <w:pPr>
        <w:pStyle w:val="a5"/>
        <w:jc w:val="both"/>
        <w:rPr>
          <w:rFonts w:cs="David"/>
          <w:rtl/>
        </w:rPr>
      </w:pPr>
      <w:r w:rsidRPr="002A6558">
        <w:rPr>
          <w:rStyle w:val="a7"/>
        </w:rPr>
        <w:footnoteRef/>
      </w:r>
      <w:r w:rsidRPr="002A6558">
        <w:rPr>
          <w:rtl/>
        </w:rPr>
        <w:t xml:space="preserve"> </w:t>
      </w:r>
      <w:r w:rsidRPr="002A6558">
        <w:rPr>
          <w:rFonts w:cs="David" w:hint="cs"/>
          <w:rtl/>
        </w:rPr>
        <w:t xml:space="preserve">ראה פרק </w:t>
      </w:r>
      <w:r w:rsidRPr="002A6558">
        <w:rPr>
          <w:rFonts w:cs="David"/>
        </w:rPr>
        <w:t>V(B)</w:t>
      </w:r>
      <w:r w:rsidRPr="002A6558">
        <w:rPr>
          <w:rFonts w:cs="David" w:hint="cs"/>
          <w:rtl/>
        </w:rPr>
        <w:t xml:space="preserve"> להחלטת המועצה לעניין בניין מוסדותיה</w:t>
      </w:r>
      <w:r>
        <w:rPr>
          <w:rFonts w:cs="David" w:hint="cs"/>
          <w:rtl/>
        </w:rPr>
        <w:t xml:space="preserve">: </w:t>
      </w:r>
      <w:r w:rsidRPr="002A6558">
        <w:t xml:space="preserve">Institution-building of the United Nations Human Rights Council, </w:t>
      </w:r>
      <w:r w:rsidRPr="002A6558">
        <w:rPr>
          <w:rFonts w:cs="Helvetica"/>
          <w:shd w:val="clear" w:color="auto" w:fill="FFFFFF"/>
        </w:rPr>
        <w:t>HRC Res. 5/1, U.N. Doc. A/HRC/RES/5/1 (June 18, 2007), available at http://ap.ohchr.org/documents/E/HRC/resolutions/A_HRC_RES_5_1.doc</w:t>
      </w:r>
      <w:r w:rsidRPr="002A6558">
        <w:rPr>
          <w:rFonts w:cs="David" w:hint="cs"/>
          <w:rtl/>
        </w:rPr>
        <w:t>.</w:t>
      </w:r>
    </w:p>
  </w:footnote>
  <w:footnote w:id="162">
    <w:p w:rsidR="009B636F" w:rsidRPr="002A6558" w:rsidRDefault="009B636F" w:rsidP="00397737">
      <w:pPr>
        <w:pStyle w:val="a5"/>
        <w:jc w:val="both"/>
        <w:rPr>
          <w:rtl/>
        </w:rPr>
      </w:pPr>
      <w:r w:rsidRPr="002A6558">
        <w:rPr>
          <w:rStyle w:val="a7"/>
        </w:rPr>
        <w:footnoteRef/>
      </w:r>
      <w:r w:rsidRPr="002A6558">
        <w:rPr>
          <w:rtl/>
        </w:rPr>
        <w:t xml:space="preserve"> </w:t>
      </w:r>
      <w:r w:rsidRPr="002A6558">
        <w:rPr>
          <w:rFonts w:cs="Helvetica"/>
        </w:rPr>
        <w:t xml:space="preserve">Secretary-General Urges Human Rights Activists to ‘Fill Leadership Vacuum’, Hold World Leaders to Account, In Address to International Day Event, </w:t>
      </w:r>
      <w:hyperlink r:id="rId22" w:history="1">
        <w:r w:rsidRPr="002A6558">
          <w:rPr>
            <w:rFonts w:eastAsia="Times New Roman" w:cs="Helvetica"/>
            <w:spacing w:val="7"/>
          </w:rPr>
          <w:t>Secretary-General</w:t>
        </w:r>
      </w:hyperlink>
      <w:r w:rsidRPr="002A6558">
        <w:rPr>
          <w:rFonts w:eastAsia="Times New Roman" w:cs="Helvetica"/>
          <w:spacing w:val="7"/>
        </w:rPr>
        <w:t xml:space="preserve"> </w:t>
      </w:r>
      <w:hyperlink r:id="rId23" w:history="1">
        <w:r w:rsidRPr="002A6558">
          <w:rPr>
            <w:rFonts w:eastAsia="Times New Roman" w:cs="Helvetica"/>
            <w:spacing w:val="7"/>
          </w:rPr>
          <w:t>Press Release</w:t>
        </w:r>
      </w:hyperlink>
      <w:r w:rsidRPr="002A6558">
        <w:rPr>
          <w:rFonts w:eastAsia="Times New Roman" w:cs="Helvetica"/>
          <w:caps/>
          <w:spacing w:val="7"/>
        </w:rPr>
        <w:t xml:space="preserve">, </w:t>
      </w:r>
      <w:r w:rsidRPr="002A6558">
        <w:rPr>
          <w:rFonts w:eastAsia="Times New Roman" w:cs="Helvetica"/>
          <w:caps/>
        </w:rPr>
        <w:t>8 DECEMBER 2006, SG/SM/10788-HR/4909-OBV/601, http://www.un.org/press/en/2006/sgsm10788.doc.htm</w:t>
      </w:r>
    </w:p>
  </w:footnote>
  <w:footnote w:id="163">
    <w:p w:rsidR="009B636F" w:rsidRPr="002A6558" w:rsidRDefault="009B636F" w:rsidP="00232082">
      <w:pPr>
        <w:pStyle w:val="a5"/>
        <w:jc w:val="both"/>
        <w:rPr>
          <w:rtl/>
        </w:rPr>
      </w:pPr>
      <w:r w:rsidRPr="002A6558">
        <w:rPr>
          <w:rStyle w:val="a7"/>
        </w:rPr>
        <w:footnoteRef/>
      </w:r>
      <w:r w:rsidRPr="002A6558">
        <w:rPr>
          <w:rtl/>
        </w:rPr>
        <w:t xml:space="preserve"> </w:t>
      </w:r>
      <w:r w:rsidRPr="002A6558">
        <w:rPr>
          <w:rFonts w:eastAsia="Times New Roman" w:cs="Helvetica"/>
          <w:kern w:val="36"/>
        </w:rPr>
        <w:t xml:space="preserve">Secretary-General Urges Human Rights Council to Take Responsibilities Seriously, Stresses Importance of Considering All Violations Equally, </w:t>
      </w:r>
      <w:hyperlink r:id="rId24" w:history="1">
        <w:r w:rsidRPr="002A6558">
          <w:rPr>
            <w:rFonts w:eastAsia="Times New Roman" w:cs="Helvetica"/>
            <w:kern w:val="36"/>
          </w:rPr>
          <w:t>Secretary-General</w:t>
        </w:r>
      </w:hyperlink>
      <w:r w:rsidRPr="002A6558">
        <w:rPr>
          <w:rFonts w:eastAsia="Times New Roman" w:cs="Helvetica"/>
          <w:kern w:val="36"/>
        </w:rPr>
        <w:t xml:space="preserve">, </w:t>
      </w:r>
      <w:hyperlink r:id="rId25" w:history="1">
        <w:r w:rsidRPr="002A6558">
          <w:rPr>
            <w:rFonts w:eastAsia="Times New Roman" w:cs="Helvetica"/>
            <w:kern w:val="36"/>
          </w:rPr>
          <w:t>Press Release</w:t>
        </w:r>
      </w:hyperlink>
      <w:r w:rsidRPr="002A6558">
        <w:rPr>
          <w:rFonts w:eastAsia="Times New Roman" w:cs="Helvetica"/>
          <w:kern w:val="36"/>
        </w:rPr>
        <w:t xml:space="preserve">, 20 June 2007, Sg/Sm/11053-Hrc/8, </w:t>
      </w:r>
      <w:r>
        <w:rPr>
          <w:rFonts w:eastAsia="Times New Roman" w:cs="Helvetica"/>
        </w:rPr>
        <w:t>a</w:t>
      </w:r>
      <w:r w:rsidRPr="002A6558">
        <w:rPr>
          <w:rFonts w:eastAsia="Times New Roman" w:cs="Helvetica"/>
        </w:rPr>
        <w:t>vailable at http://www.un.org/press/en/2007/sgsm11053.doc.htm</w:t>
      </w:r>
    </w:p>
  </w:footnote>
  <w:footnote w:id="164">
    <w:p w:rsidR="009B636F" w:rsidRPr="002A6558" w:rsidRDefault="009B636F" w:rsidP="00397737">
      <w:pPr>
        <w:pStyle w:val="a5"/>
        <w:jc w:val="both"/>
        <w:rPr>
          <w:rtl/>
        </w:rPr>
      </w:pPr>
      <w:r w:rsidRPr="002A6558">
        <w:rPr>
          <w:rStyle w:val="a7"/>
        </w:rPr>
        <w:footnoteRef/>
      </w:r>
      <w:r w:rsidRPr="002A6558">
        <w:rPr>
          <w:rtl/>
        </w:rPr>
        <w:t xml:space="preserve"> </w:t>
      </w:r>
      <w:r w:rsidRPr="002A6558">
        <w:t xml:space="preserve">Remarks by Ambassador Susan E. Rice, U.S. Permanent Representative to the United Nations, at the General Assembly Stakeout Following the Human Rights Council Elections, </w:t>
      </w:r>
      <w:r w:rsidRPr="002A6558">
        <w:rPr>
          <w:rFonts w:eastAsia="Times New Roman" w:cs="Helvetica"/>
        </w:rPr>
        <w:t>New York City, November 12, 2012, available at http://usun.state.gov/remarks/5579</w:t>
      </w:r>
    </w:p>
  </w:footnote>
  <w:footnote w:id="165">
    <w:p w:rsidR="009B636F" w:rsidRPr="002A6558" w:rsidRDefault="009B636F" w:rsidP="00397737">
      <w:pPr>
        <w:pStyle w:val="a5"/>
        <w:jc w:val="both"/>
        <w:rPr>
          <w:rtl/>
        </w:rPr>
      </w:pPr>
      <w:r w:rsidRPr="002A6558">
        <w:rPr>
          <w:rStyle w:val="a7"/>
        </w:rPr>
        <w:footnoteRef/>
      </w:r>
      <w:r w:rsidRPr="002A6558">
        <w:rPr>
          <w:rtl/>
        </w:rPr>
        <w:t xml:space="preserve"> </w:t>
      </w:r>
      <w:r w:rsidRPr="002A6558">
        <w:t xml:space="preserve">Samantha Power Blasts UN for Anti-Israel Bias, </w:t>
      </w:r>
      <w:r w:rsidRPr="002A6558">
        <w:rPr>
          <w:b/>
          <w:bCs/>
        </w:rPr>
        <w:t>The Tower</w:t>
      </w:r>
      <w:r w:rsidRPr="002A6558">
        <w:t>, 02.16.16, http://www.thetower.org/2965-samantha-power-blasts-un-for-anti-israel-bias/</w:t>
      </w:r>
    </w:p>
  </w:footnote>
  <w:footnote w:id="166">
    <w:p w:rsidR="009B636F" w:rsidRPr="002A6558" w:rsidRDefault="009B636F" w:rsidP="00397737">
      <w:pPr>
        <w:pStyle w:val="a5"/>
        <w:jc w:val="both"/>
        <w:rPr>
          <w:rtl/>
        </w:rPr>
      </w:pPr>
      <w:r w:rsidRPr="002A6558">
        <w:rPr>
          <w:rStyle w:val="a7"/>
        </w:rPr>
        <w:footnoteRef/>
      </w:r>
      <w:r w:rsidRPr="002A6558">
        <w:rPr>
          <w:rtl/>
        </w:rPr>
        <w:t xml:space="preserve"> </w:t>
      </w:r>
      <w:r w:rsidRPr="002A6558">
        <w:rPr>
          <w:rFonts w:cs="Arial"/>
        </w:rPr>
        <w:t xml:space="preserve">PM Netanyahu addresses the foreign press in Israel, </w:t>
      </w:r>
      <w:hyperlink r:id="rId26" w:history="1">
        <w:r w:rsidRPr="002A6558">
          <w:rPr>
            <w:rStyle w:val="headertextshort"/>
            <w:rFonts w:cs="Arial"/>
            <w:b/>
            <w:bCs/>
            <w:bdr w:val="none" w:sz="0" w:space="0" w:color="auto" w:frame="1"/>
            <w:shd w:val="clear" w:color="auto" w:fill="FFFFFF"/>
          </w:rPr>
          <w:t>Israel Ministry of Foreign Affairs</w:t>
        </w:r>
      </w:hyperlink>
      <w:r w:rsidRPr="002A6558">
        <w:rPr>
          <w:rFonts w:cs="Arial"/>
        </w:rPr>
        <w:t>, 14 Jan 2016, available at http://mfa.gov.il/MFA/PressRoom/2016/Pages/PM-Netanyahu-addresses-the-foreign-press-in-Israel-14-Jan-2016.aspx</w:t>
      </w:r>
    </w:p>
  </w:footnote>
  <w:footnote w:id="167">
    <w:p w:rsidR="009B636F" w:rsidRPr="002A6558" w:rsidRDefault="009B636F" w:rsidP="00855BF7">
      <w:pPr>
        <w:pStyle w:val="a5"/>
        <w:jc w:val="both"/>
        <w:rPr>
          <w:rFonts w:cs="David"/>
        </w:rPr>
      </w:pPr>
      <w:r w:rsidRPr="002A6558">
        <w:rPr>
          <w:rStyle w:val="a7"/>
        </w:rPr>
        <w:footnoteRef/>
      </w:r>
      <w:r w:rsidRPr="002A6558">
        <w:rPr>
          <w:rtl/>
        </w:rPr>
        <w:t xml:space="preserve"> </w:t>
      </w:r>
      <w:r w:rsidRPr="002A6558">
        <w:rPr>
          <w:rFonts w:cs="David" w:hint="cs"/>
          <w:rtl/>
        </w:rPr>
        <w:t>ראה ה"ש</w:t>
      </w:r>
      <w:r>
        <w:rPr>
          <w:rFonts w:cs="David" w:hint="cs"/>
          <w:rtl/>
        </w:rPr>
        <w:t xml:space="preserve"> </w:t>
      </w:r>
      <w:r>
        <w:rPr>
          <w:rFonts w:cs="David"/>
          <w:rtl/>
        </w:rPr>
        <w:fldChar w:fldCharType="begin"/>
      </w:r>
      <w:r>
        <w:rPr>
          <w:rFonts w:cs="David"/>
          <w:rtl/>
        </w:rPr>
        <w:instrText xml:space="preserve"> </w:instrText>
      </w:r>
      <w:r>
        <w:rPr>
          <w:rFonts w:cs="David" w:hint="cs"/>
        </w:rPr>
        <w:instrText>NOTEREF</w:instrText>
      </w:r>
      <w:r>
        <w:rPr>
          <w:rFonts w:cs="David" w:hint="cs"/>
          <w:rtl/>
        </w:rPr>
        <w:instrText xml:space="preserve"> _</w:instrText>
      </w:r>
      <w:r>
        <w:rPr>
          <w:rFonts w:cs="David" w:hint="cs"/>
        </w:rPr>
        <w:instrText>Ref454790138 \h</w:instrText>
      </w:r>
      <w:r>
        <w:rPr>
          <w:rFonts w:cs="David"/>
          <w:rtl/>
        </w:rPr>
        <w:instrText xml:space="preserve"> </w:instrText>
      </w:r>
      <w:r>
        <w:rPr>
          <w:rFonts w:cs="David"/>
          <w:rtl/>
        </w:rPr>
      </w:r>
      <w:r>
        <w:rPr>
          <w:rFonts w:cs="David"/>
          <w:rtl/>
        </w:rPr>
        <w:fldChar w:fldCharType="separate"/>
      </w:r>
      <w:r>
        <w:rPr>
          <w:rFonts w:cs="David"/>
          <w:rtl/>
        </w:rPr>
        <w:t>340</w:t>
      </w:r>
      <w:r>
        <w:rPr>
          <w:rFonts w:cs="David"/>
          <w:rtl/>
        </w:rPr>
        <w:fldChar w:fldCharType="end"/>
      </w:r>
      <w:r w:rsidRPr="002A6558">
        <w:rPr>
          <w:rFonts w:cs="David" w:hint="cs"/>
          <w:rtl/>
        </w:rPr>
        <w:t>.</w:t>
      </w:r>
    </w:p>
  </w:footnote>
  <w:footnote w:id="168">
    <w:p w:rsidR="009B636F" w:rsidRPr="002A6558" w:rsidRDefault="009B636F" w:rsidP="00397737">
      <w:pPr>
        <w:pStyle w:val="a5"/>
        <w:jc w:val="both"/>
        <w:rPr>
          <w:rFonts w:cs="David"/>
          <w:rtl/>
        </w:rPr>
      </w:pPr>
      <w:r w:rsidRPr="002A6558">
        <w:rPr>
          <w:rStyle w:val="a7"/>
        </w:rPr>
        <w:footnoteRef/>
      </w:r>
      <w:r w:rsidRPr="002A6558">
        <w:rPr>
          <w:rtl/>
        </w:rPr>
        <w:t xml:space="preserve"> </w:t>
      </w:r>
      <w:r w:rsidRPr="002A6558">
        <w:rPr>
          <w:rFonts w:cs="David" w:hint="cs"/>
          <w:rtl/>
        </w:rPr>
        <w:t xml:space="preserve">ראה התייחסות לדברים בפסקה 9 במסמך של מועצת זכויות האדם: </w:t>
      </w:r>
      <w:r w:rsidRPr="002A6558">
        <w:t>Report of the Secretary-General on the implementation of Human Rights Council resolution 19/17, Human Rights Council, A/HRC/20/13, available at http://www.ohchr.org/Documents/HRBodies/HRCouncil/RegularSession/Session20/A.HRC.20.13_AUV.pdf</w:t>
      </w:r>
    </w:p>
  </w:footnote>
  <w:footnote w:id="169">
    <w:p w:rsidR="009B636F" w:rsidRPr="002A6558" w:rsidRDefault="009B636F" w:rsidP="00855BF7">
      <w:pPr>
        <w:pStyle w:val="a5"/>
        <w:jc w:val="both"/>
        <w:rPr>
          <w:rFonts w:cs="David"/>
        </w:rPr>
      </w:pPr>
      <w:r w:rsidRPr="002A6558">
        <w:rPr>
          <w:rStyle w:val="a7"/>
        </w:rPr>
        <w:footnoteRef/>
      </w:r>
      <w:r w:rsidRPr="002A6558">
        <w:rPr>
          <w:rtl/>
        </w:rPr>
        <w:t xml:space="preserve"> </w:t>
      </w:r>
      <w:r w:rsidRPr="002A6558">
        <w:rPr>
          <w:rFonts w:cs="David" w:hint="cs"/>
          <w:rtl/>
        </w:rPr>
        <w:t>לפרטים על ההסכם האמור ראה המאמר הנזכר בה</w:t>
      </w:r>
      <w:r>
        <w:rPr>
          <w:rFonts w:cs="David" w:hint="cs"/>
          <w:rtl/>
        </w:rPr>
        <w:t>"ש</w:t>
      </w:r>
      <w:r>
        <w:rPr>
          <w:rFonts w:hint="cs"/>
          <w:rtl/>
        </w:rPr>
        <w:t xml:space="preserve"> </w:t>
      </w:r>
      <w:r w:rsidRPr="00A94E5F">
        <w:rPr>
          <w:rFonts w:cs="David"/>
          <w:highlight w:val="yellow"/>
          <w:rtl/>
        </w:rPr>
        <w:t>160</w:t>
      </w:r>
      <w:r>
        <w:rPr>
          <w:rFonts w:cs="David" w:hint="cs"/>
          <w:rtl/>
        </w:rPr>
        <w:t xml:space="preserve"> </w:t>
      </w:r>
      <w:r w:rsidRPr="002A6558">
        <w:rPr>
          <w:rFonts w:cs="David" w:hint="cs"/>
          <w:rtl/>
        </w:rPr>
        <w:t>לעיל.</w:t>
      </w:r>
    </w:p>
  </w:footnote>
  <w:footnote w:id="170">
    <w:p w:rsidR="009B636F" w:rsidRPr="002A6558" w:rsidRDefault="009B636F" w:rsidP="00397737">
      <w:pPr>
        <w:pStyle w:val="a5"/>
        <w:jc w:val="both"/>
        <w:rPr>
          <w:rtl/>
        </w:rPr>
      </w:pPr>
      <w:r w:rsidRPr="002A6558">
        <w:rPr>
          <w:rStyle w:val="a7"/>
        </w:rPr>
        <w:footnoteRef/>
      </w:r>
      <w:r w:rsidRPr="002A6558">
        <w:rPr>
          <w:rtl/>
        </w:rPr>
        <w:t xml:space="preserve"> </w:t>
      </w:r>
      <w:r w:rsidRPr="002A6558">
        <w:t xml:space="preserve">UN adopts 20 resolutions against Israel, 3 on rest of the world, UN Watch, </w:t>
      </w:r>
      <w:r w:rsidRPr="002A6558">
        <w:rPr>
          <w:rStyle w:val="aa"/>
          <w:rFonts w:cs="Arial"/>
          <w:b w:val="0"/>
          <w:bCs w:val="0"/>
          <w:shd w:val="clear" w:color="auto" w:fill="FFFFFF"/>
        </w:rPr>
        <w:t>25 November 2015, http://www.unwatch.org/un-to-adopt-20-resolutions-against-israel-3-on-rest-of-the-world/</w:t>
      </w:r>
    </w:p>
  </w:footnote>
  <w:footnote w:id="171">
    <w:p w:rsidR="009B636F" w:rsidRPr="002A6558" w:rsidRDefault="009B636F" w:rsidP="00397737">
      <w:pPr>
        <w:pStyle w:val="a5"/>
        <w:jc w:val="both"/>
        <w:rPr>
          <w:rFonts w:cs="David"/>
          <w:rtl/>
        </w:rPr>
      </w:pPr>
      <w:r w:rsidRPr="002A6558">
        <w:rPr>
          <w:rStyle w:val="a7"/>
        </w:rPr>
        <w:footnoteRef/>
      </w:r>
      <w:r w:rsidRPr="002A6558">
        <w:rPr>
          <w:rtl/>
        </w:rPr>
        <w:t xml:space="preserve"> </w:t>
      </w:r>
      <w:r w:rsidRPr="002A6558">
        <w:rPr>
          <w:rFonts w:cs="David" w:hint="cs"/>
          <w:rtl/>
        </w:rPr>
        <w:t xml:space="preserve">ראה ה"ש </w:t>
      </w:r>
      <w:fldSimple w:instr=" NOTEREF _Ref449967192 \h  \* MERGEFORMAT ">
        <w:r w:rsidRPr="002A6558">
          <w:rPr>
            <w:rFonts w:cs="David"/>
            <w:rtl/>
          </w:rPr>
          <w:t>16</w:t>
        </w:r>
      </w:fldSimple>
      <w:r w:rsidRPr="002A6558">
        <w:rPr>
          <w:rFonts w:cs="David" w:hint="cs"/>
          <w:rtl/>
        </w:rPr>
        <w:t>.</w:t>
      </w:r>
    </w:p>
  </w:footnote>
  <w:footnote w:id="172">
    <w:p w:rsidR="009B636F" w:rsidRPr="002A6558" w:rsidRDefault="009B636F" w:rsidP="00855BF7">
      <w:pPr>
        <w:pStyle w:val="a5"/>
        <w:jc w:val="both"/>
        <w:rPr>
          <w:rFonts w:cs="David"/>
        </w:rPr>
      </w:pPr>
      <w:r w:rsidRPr="002A6558">
        <w:rPr>
          <w:rStyle w:val="a7"/>
        </w:rPr>
        <w:footnoteRef/>
      </w:r>
      <w:r w:rsidRPr="002A6558">
        <w:rPr>
          <w:rtl/>
        </w:rPr>
        <w:t xml:space="preserve"> </w:t>
      </w:r>
      <w:r w:rsidRPr="002A6558">
        <w:rPr>
          <w:rFonts w:cs="David" w:hint="cs"/>
          <w:rtl/>
        </w:rPr>
        <w:t>ראה ה"ש</w:t>
      </w:r>
      <w:r>
        <w:rPr>
          <w:rFonts w:cs="David" w:hint="cs"/>
          <w:rtl/>
        </w:rPr>
        <w:t xml:space="preserve"> </w:t>
      </w:r>
      <w:r>
        <w:rPr>
          <w:rFonts w:cs="David"/>
          <w:rtl/>
        </w:rPr>
        <w:fldChar w:fldCharType="begin"/>
      </w:r>
      <w:r>
        <w:rPr>
          <w:rFonts w:cs="David"/>
          <w:rtl/>
        </w:rPr>
        <w:instrText xml:space="preserve"> </w:instrText>
      </w:r>
      <w:r>
        <w:rPr>
          <w:rFonts w:cs="David" w:hint="cs"/>
        </w:rPr>
        <w:instrText>NOTEREF</w:instrText>
      </w:r>
      <w:r>
        <w:rPr>
          <w:rFonts w:cs="David" w:hint="cs"/>
          <w:rtl/>
        </w:rPr>
        <w:instrText xml:space="preserve"> _</w:instrText>
      </w:r>
      <w:r>
        <w:rPr>
          <w:rFonts w:cs="David" w:hint="cs"/>
        </w:rPr>
        <w:instrText>Ref454790351 \h</w:instrText>
      </w:r>
      <w:r>
        <w:rPr>
          <w:rFonts w:cs="David"/>
          <w:rtl/>
        </w:rPr>
        <w:instrText xml:space="preserve"> </w:instrText>
      </w:r>
      <w:r>
        <w:rPr>
          <w:rFonts w:cs="David"/>
          <w:rtl/>
        </w:rPr>
      </w:r>
      <w:r>
        <w:rPr>
          <w:rFonts w:cs="David"/>
          <w:rtl/>
        </w:rPr>
        <w:fldChar w:fldCharType="separate"/>
      </w:r>
      <w:r>
        <w:rPr>
          <w:rFonts w:cs="David"/>
          <w:rtl/>
        </w:rPr>
        <w:t>317</w:t>
      </w:r>
      <w:r>
        <w:rPr>
          <w:rFonts w:cs="David"/>
          <w:rtl/>
        </w:rPr>
        <w:fldChar w:fldCharType="end"/>
      </w:r>
      <w:r w:rsidRPr="002A6558">
        <w:rPr>
          <w:rFonts w:cs="David" w:hint="cs"/>
          <w:rtl/>
        </w:rPr>
        <w:t>.</w:t>
      </w:r>
    </w:p>
  </w:footnote>
  <w:footnote w:id="173">
    <w:p w:rsidR="009B636F" w:rsidRPr="002A6558" w:rsidRDefault="009B636F" w:rsidP="00397737">
      <w:pPr>
        <w:pStyle w:val="a5"/>
        <w:jc w:val="both"/>
        <w:rPr>
          <w:rtl/>
        </w:rPr>
      </w:pPr>
      <w:r w:rsidRPr="002A6558">
        <w:rPr>
          <w:rStyle w:val="a7"/>
        </w:rPr>
        <w:footnoteRef/>
      </w:r>
      <w:r w:rsidRPr="002A6558">
        <w:rPr>
          <w:rtl/>
        </w:rPr>
        <w:t xml:space="preserve"> </w:t>
      </w:r>
      <w:r w:rsidRPr="002A6558">
        <w:t xml:space="preserve">Shamir Shlomo and Benn Aluf (2002), Ben-Eliezer, Peres to Annan: Israel Unhappy With Jenin Delegation, </w:t>
      </w:r>
      <w:r w:rsidRPr="002A6558">
        <w:rPr>
          <w:b/>
          <w:bCs/>
        </w:rPr>
        <w:t>Haaretz</w:t>
      </w:r>
      <w:r w:rsidRPr="002A6558">
        <w:t>, http://www.haaretz.com/news/ben-eliezer-peres-to-annan-israel-unhappy-with-jenin-delegation-1.47169</w:t>
      </w:r>
    </w:p>
  </w:footnote>
  <w:footnote w:id="174">
    <w:p w:rsidR="009B636F" w:rsidRPr="002A6558" w:rsidRDefault="009B636F" w:rsidP="00397737">
      <w:pPr>
        <w:pStyle w:val="a5"/>
        <w:jc w:val="both"/>
      </w:pPr>
      <w:r w:rsidRPr="002A6558">
        <w:rPr>
          <w:rStyle w:val="a7"/>
        </w:rPr>
        <w:footnoteRef/>
      </w:r>
      <w:r w:rsidRPr="002A6558">
        <w:rPr>
          <w:rtl/>
        </w:rPr>
        <w:t xml:space="preserve"> </w:t>
      </w:r>
      <w:r w:rsidRPr="002A6558">
        <w:t xml:space="preserve">Rees Matt (2002), Untangling Jenin's Tale, </w:t>
      </w:r>
      <w:r w:rsidRPr="002A6558">
        <w:rPr>
          <w:b/>
          <w:bCs/>
        </w:rPr>
        <w:t>Time</w:t>
      </w:r>
      <w:r w:rsidRPr="002A6558">
        <w:t>, http://content.time.com/time/magazine/article/0,9171,1002406,00.html</w:t>
      </w:r>
    </w:p>
  </w:footnote>
  <w:footnote w:id="175">
    <w:p w:rsidR="009B636F" w:rsidRPr="002A6558" w:rsidRDefault="009B636F" w:rsidP="00855BF7">
      <w:pPr>
        <w:pStyle w:val="a5"/>
        <w:jc w:val="both"/>
        <w:rPr>
          <w:rFonts w:cs="David"/>
        </w:rPr>
      </w:pPr>
      <w:r w:rsidRPr="002A6558">
        <w:rPr>
          <w:rStyle w:val="a7"/>
        </w:rPr>
        <w:footnoteRef/>
      </w:r>
      <w:r w:rsidRPr="002A6558">
        <w:rPr>
          <w:rtl/>
        </w:rPr>
        <w:t xml:space="preserve"> </w:t>
      </w:r>
      <w:r w:rsidRPr="002A6558">
        <w:rPr>
          <w:rFonts w:cs="David" w:hint="cs"/>
          <w:rtl/>
        </w:rPr>
        <w:t>ראה ה"ש</w:t>
      </w:r>
      <w:r>
        <w:rPr>
          <w:rFonts w:cs="David" w:hint="cs"/>
          <w:rtl/>
        </w:rPr>
        <w:t xml:space="preserve"> </w:t>
      </w:r>
      <w:r>
        <w:rPr>
          <w:rFonts w:cs="David"/>
          <w:rtl/>
        </w:rPr>
        <w:fldChar w:fldCharType="begin"/>
      </w:r>
      <w:r>
        <w:rPr>
          <w:rFonts w:cs="David"/>
          <w:rtl/>
        </w:rPr>
        <w:instrText xml:space="preserve"> </w:instrText>
      </w:r>
      <w:r>
        <w:rPr>
          <w:rFonts w:cs="David" w:hint="cs"/>
        </w:rPr>
        <w:instrText>NOTEREF</w:instrText>
      </w:r>
      <w:r>
        <w:rPr>
          <w:rFonts w:cs="David" w:hint="cs"/>
          <w:rtl/>
        </w:rPr>
        <w:instrText xml:space="preserve"> _</w:instrText>
      </w:r>
      <w:r>
        <w:rPr>
          <w:rFonts w:cs="David" w:hint="cs"/>
        </w:rPr>
        <w:instrText>Ref454790742 \h</w:instrText>
      </w:r>
      <w:r>
        <w:rPr>
          <w:rFonts w:cs="David"/>
          <w:rtl/>
        </w:rPr>
        <w:instrText xml:space="preserve"> </w:instrText>
      </w:r>
      <w:r>
        <w:rPr>
          <w:rFonts w:cs="David"/>
          <w:rtl/>
        </w:rPr>
      </w:r>
      <w:r>
        <w:rPr>
          <w:rFonts w:cs="David"/>
          <w:rtl/>
        </w:rPr>
        <w:fldChar w:fldCharType="separate"/>
      </w:r>
      <w:r>
        <w:rPr>
          <w:rFonts w:cs="David"/>
          <w:rtl/>
        </w:rPr>
        <w:t>305</w:t>
      </w:r>
      <w:r>
        <w:rPr>
          <w:rFonts w:cs="David"/>
          <w:rtl/>
        </w:rPr>
        <w:fldChar w:fldCharType="end"/>
      </w:r>
      <w:r w:rsidRPr="002A6558">
        <w:rPr>
          <w:rFonts w:cs="David" w:hint="cs"/>
          <w:rtl/>
        </w:rPr>
        <w:t>.</w:t>
      </w:r>
    </w:p>
  </w:footnote>
  <w:footnote w:id="176">
    <w:p w:rsidR="009B636F" w:rsidRPr="002A6558" w:rsidRDefault="009B636F" w:rsidP="00855BF7">
      <w:pPr>
        <w:pStyle w:val="a5"/>
        <w:jc w:val="both"/>
        <w:rPr>
          <w:rFonts w:cs="David"/>
        </w:rPr>
      </w:pPr>
      <w:r w:rsidRPr="002A6558">
        <w:rPr>
          <w:rStyle w:val="a7"/>
        </w:rPr>
        <w:footnoteRef/>
      </w:r>
      <w:r w:rsidRPr="002A6558">
        <w:rPr>
          <w:rtl/>
        </w:rPr>
        <w:t xml:space="preserve"> </w:t>
      </w:r>
      <w:r w:rsidRPr="002A6558">
        <w:rPr>
          <w:rFonts w:cs="David" w:hint="cs"/>
          <w:rtl/>
        </w:rPr>
        <w:t>ראה ה"ש</w:t>
      </w:r>
      <w:r>
        <w:rPr>
          <w:rFonts w:cs="David" w:hint="cs"/>
          <w:rtl/>
        </w:rPr>
        <w:t xml:space="preserve"> </w:t>
      </w:r>
      <w:r>
        <w:rPr>
          <w:rFonts w:cs="David"/>
          <w:rtl/>
        </w:rPr>
        <w:fldChar w:fldCharType="begin"/>
      </w:r>
      <w:r>
        <w:rPr>
          <w:rFonts w:cs="David"/>
          <w:rtl/>
        </w:rPr>
        <w:instrText xml:space="preserve"> </w:instrText>
      </w:r>
      <w:r>
        <w:rPr>
          <w:rFonts w:cs="David" w:hint="cs"/>
        </w:rPr>
        <w:instrText>NOTEREF</w:instrText>
      </w:r>
      <w:r>
        <w:rPr>
          <w:rFonts w:cs="David" w:hint="cs"/>
          <w:rtl/>
        </w:rPr>
        <w:instrText xml:space="preserve"> _</w:instrText>
      </w:r>
      <w:r>
        <w:rPr>
          <w:rFonts w:cs="David" w:hint="cs"/>
        </w:rPr>
        <w:instrText>Ref454787217 \h</w:instrText>
      </w:r>
      <w:r>
        <w:rPr>
          <w:rFonts w:cs="David"/>
          <w:rtl/>
        </w:rPr>
        <w:instrText xml:space="preserve"> </w:instrText>
      </w:r>
      <w:r>
        <w:rPr>
          <w:rFonts w:cs="David"/>
          <w:rtl/>
        </w:rPr>
      </w:r>
      <w:r>
        <w:rPr>
          <w:rFonts w:cs="David"/>
          <w:rtl/>
        </w:rPr>
        <w:fldChar w:fldCharType="separate"/>
      </w:r>
      <w:r>
        <w:rPr>
          <w:rFonts w:cs="David"/>
          <w:rtl/>
        </w:rPr>
        <w:t>328</w:t>
      </w:r>
      <w:r>
        <w:rPr>
          <w:rFonts w:cs="David"/>
          <w:rtl/>
        </w:rPr>
        <w:fldChar w:fldCharType="end"/>
      </w:r>
      <w:r w:rsidRPr="002A6558">
        <w:rPr>
          <w:rFonts w:cs="David" w:hint="cs"/>
          <w:rtl/>
        </w:rPr>
        <w:t>.</w:t>
      </w:r>
    </w:p>
  </w:footnote>
  <w:footnote w:id="177">
    <w:p w:rsidR="009B636F" w:rsidRPr="002A6558" w:rsidRDefault="009B636F" w:rsidP="004544A6">
      <w:pPr>
        <w:pStyle w:val="a5"/>
        <w:jc w:val="both"/>
        <w:rPr>
          <w:rtl/>
        </w:rPr>
      </w:pPr>
      <w:r w:rsidRPr="002A6558">
        <w:rPr>
          <w:rStyle w:val="a7"/>
        </w:rPr>
        <w:footnoteRef/>
      </w:r>
      <w:r w:rsidRPr="002A6558">
        <w:rPr>
          <w:rtl/>
        </w:rPr>
        <w:t xml:space="preserve"> </w:t>
      </w:r>
      <w:r w:rsidRPr="002A6558">
        <w:rPr>
          <w:rFonts w:cs="David" w:hint="cs"/>
          <w:rtl/>
        </w:rPr>
        <w:t xml:space="preserve">ראה ה"ש </w:t>
      </w:r>
      <w:r>
        <w:fldChar w:fldCharType="begin"/>
      </w:r>
      <w:r>
        <w:rPr>
          <w:rFonts w:cs="David"/>
          <w:rtl/>
        </w:rPr>
        <w:instrText xml:space="preserve"> </w:instrText>
      </w:r>
      <w:r>
        <w:rPr>
          <w:rFonts w:cs="David" w:hint="cs"/>
        </w:rPr>
        <w:instrText>NOTEREF</w:instrText>
      </w:r>
      <w:r>
        <w:rPr>
          <w:rFonts w:cs="David" w:hint="cs"/>
          <w:rtl/>
        </w:rPr>
        <w:instrText xml:space="preserve"> _</w:instrText>
      </w:r>
      <w:r>
        <w:rPr>
          <w:rFonts w:cs="David" w:hint="cs"/>
        </w:rPr>
        <w:instrText>Ref454791013 \h</w:instrText>
      </w:r>
      <w:r>
        <w:rPr>
          <w:rFonts w:cs="David"/>
          <w:rtl/>
        </w:rPr>
        <w:instrText xml:space="preserve"> </w:instrText>
      </w:r>
      <w:r>
        <w:fldChar w:fldCharType="separate"/>
      </w:r>
      <w:r>
        <w:rPr>
          <w:rFonts w:cs="David"/>
          <w:rtl/>
        </w:rPr>
        <w:t>138</w:t>
      </w:r>
      <w:r>
        <w:fldChar w:fldCharType="end"/>
      </w:r>
      <w:r w:rsidRPr="002A6558">
        <w:rPr>
          <w:rFonts w:cs="David" w:hint="cs"/>
          <w:rtl/>
        </w:rPr>
        <w:t>.</w:t>
      </w:r>
    </w:p>
  </w:footnote>
  <w:footnote w:id="178">
    <w:p w:rsidR="009B636F" w:rsidRDefault="009B636F" w:rsidP="004544A6">
      <w:pPr>
        <w:pStyle w:val="a5"/>
        <w:jc w:val="both"/>
        <w:rPr>
          <w:rtl/>
        </w:rPr>
      </w:pPr>
      <w:r>
        <w:rPr>
          <w:rStyle w:val="a7"/>
        </w:rPr>
        <w:footnoteRef/>
      </w:r>
      <w:r>
        <w:rPr>
          <w:rtl/>
        </w:rPr>
        <w:t xml:space="preserve"> </w:t>
      </w:r>
      <w:r w:rsidRPr="009A04CD">
        <w:t xml:space="preserve">Bassiouni Cherif (2001), Appraising UN Justice-Related Fact-Finding Missions, </w:t>
      </w:r>
      <w:r w:rsidRPr="009A04CD">
        <w:rPr>
          <w:b/>
          <w:bCs/>
        </w:rPr>
        <w:t>Journal of Law &amp; Policy</w:t>
      </w:r>
      <w:r w:rsidRPr="009A04CD">
        <w:t xml:space="preserve">, Vol. 5:35, </w:t>
      </w:r>
      <w:r>
        <w:t xml:space="preserve">pp. 41-42, </w:t>
      </w:r>
      <w:r w:rsidRPr="009A04CD">
        <w:t>available at https://law.wustl.edu/harris/documents/p_35_Bassiouni.pdf</w:t>
      </w:r>
      <w:r w:rsidRPr="002E3AFA">
        <w:rPr>
          <w:rFonts w:cs="David" w:hint="cs"/>
          <w:rtl/>
        </w:rPr>
        <w:t xml:space="preserve"> </w:t>
      </w:r>
      <w:r>
        <w:rPr>
          <w:rFonts w:cs="David" w:hint="cs"/>
          <w:rtl/>
        </w:rPr>
        <w:t xml:space="preserve">(להלן - </w:t>
      </w:r>
      <w:r w:rsidRPr="002E3AFA">
        <w:rPr>
          <w:rFonts w:cs="David" w:hint="cs"/>
          <w:rtl/>
        </w:rPr>
        <w:t>בסיוני</w:t>
      </w:r>
      <w:r>
        <w:rPr>
          <w:rFonts w:cs="David" w:hint="cs"/>
          <w:rtl/>
        </w:rPr>
        <w:t>)</w:t>
      </w:r>
    </w:p>
  </w:footnote>
  <w:footnote w:id="179">
    <w:p w:rsidR="009B636F" w:rsidRPr="002A6558" w:rsidRDefault="009B636F" w:rsidP="00397737">
      <w:pPr>
        <w:pStyle w:val="a5"/>
        <w:jc w:val="both"/>
        <w:rPr>
          <w:rFonts w:cs="David"/>
          <w:rtl/>
        </w:rPr>
      </w:pPr>
      <w:r w:rsidRPr="002A6558">
        <w:rPr>
          <w:rStyle w:val="a7"/>
        </w:rPr>
        <w:footnoteRef/>
      </w:r>
      <w:r w:rsidRPr="002A6558">
        <w:rPr>
          <w:rtl/>
        </w:rPr>
        <w:t xml:space="preserve"> </w:t>
      </w:r>
      <w:r w:rsidRPr="002A6558">
        <w:rPr>
          <w:rFonts w:cs="David" w:hint="cs"/>
          <w:rtl/>
        </w:rPr>
        <w:t xml:space="preserve">כך לדוגמה נעשה בעניינה של סרי לנקה: </w:t>
      </w:r>
      <w:r w:rsidRPr="002A6558">
        <w:rPr>
          <w:rFonts w:eastAsia="Arial Unicode MS"/>
          <w:u w:color="000000"/>
        </w:rPr>
        <w:t>Report of the OHCHR Investigation on Sri Lanka (OISL)</w:t>
      </w:r>
      <w:r w:rsidRPr="002A6558">
        <w:rPr>
          <w:b/>
          <w:bCs/>
        </w:rPr>
        <w:t xml:space="preserve">, </w:t>
      </w:r>
      <w:r w:rsidRPr="002A6558">
        <w:t>Human Rights Council,</w:t>
      </w:r>
      <w:r w:rsidRPr="002A6558">
        <w:rPr>
          <w:b/>
          <w:bCs/>
        </w:rPr>
        <w:t xml:space="preserve"> </w:t>
      </w:r>
      <w:r w:rsidRPr="002A6558">
        <w:t>16 September</w:t>
      </w:r>
      <w:r>
        <w:t xml:space="preserve"> </w:t>
      </w:r>
      <w:r w:rsidRPr="002A6558">
        <w:t>2015, A/HRC/30/CRP.2, available at https://www.google.co.il/url?sa=t&amp;rct=j&amp;q=&amp;esrc=s&amp;source=web&amp;cd=2&amp;ved=0ahUKEwjsw_OeyLvMAhWCzRoKHWfLCKoQFggkMAE&amp;url=http%3A%2F%2Fwww.ohchr.org%2FEN%2FHRBodies%2FHRC%2FRegularSessions%2FSession30%2FDocuments%2FA_HRC_30_CRP_2.docx&amp;usg=AFQjCNGyAOwsU041lkgIn1kgE4sW1KkjhQ&amp;sig2=O5N0Md2bjIoOma5bIuQ5Dg</w:t>
      </w:r>
    </w:p>
  </w:footnote>
  <w:footnote w:id="180">
    <w:p w:rsidR="009B636F" w:rsidRDefault="009B636F" w:rsidP="004544A6">
      <w:pPr>
        <w:pStyle w:val="a5"/>
        <w:jc w:val="both"/>
        <w:rPr>
          <w:rtl/>
        </w:rPr>
      </w:pPr>
      <w:r>
        <w:rPr>
          <w:rStyle w:val="a7"/>
        </w:rPr>
        <w:footnoteRef/>
      </w:r>
      <w:r>
        <w:rPr>
          <w:rtl/>
        </w:rPr>
        <w:t xml:space="preserve"> </w:t>
      </w:r>
      <w:r w:rsidRPr="00433A00">
        <w:rPr>
          <w:rFonts w:cs="David" w:hint="cs"/>
          <w:rtl/>
        </w:rPr>
        <w:t xml:space="preserve">ראה בסיוני, ה"ש </w:t>
      </w:r>
      <w:r>
        <w:fldChar w:fldCharType="begin"/>
      </w:r>
      <w:r>
        <w:rPr>
          <w:rFonts w:cs="David"/>
          <w:rtl/>
        </w:rPr>
        <w:instrText xml:space="preserve"> </w:instrText>
      </w:r>
      <w:r>
        <w:rPr>
          <w:rFonts w:cs="David" w:hint="cs"/>
        </w:rPr>
        <w:instrText>NOTEREF</w:instrText>
      </w:r>
      <w:r>
        <w:rPr>
          <w:rFonts w:cs="David" w:hint="cs"/>
          <w:rtl/>
        </w:rPr>
        <w:instrText xml:space="preserve"> _</w:instrText>
      </w:r>
      <w:r>
        <w:rPr>
          <w:rFonts w:cs="David" w:hint="cs"/>
        </w:rPr>
        <w:instrText>Ref450959869 \h</w:instrText>
      </w:r>
      <w:r>
        <w:rPr>
          <w:rFonts w:cs="David"/>
          <w:rtl/>
        </w:rPr>
        <w:instrText xml:space="preserve"> </w:instrText>
      </w:r>
      <w:r>
        <w:fldChar w:fldCharType="separate"/>
      </w:r>
      <w:r>
        <w:rPr>
          <w:rFonts w:cs="David"/>
          <w:rtl/>
        </w:rPr>
        <w:t>179</w:t>
      </w:r>
      <w:r>
        <w:fldChar w:fldCharType="end"/>
      </w:r>
      <w:r w:rsidRPr="00433A00">
        <w:rPr>
          <w:rFonts w:cs="David" w:hint="cs"/>
          <w:rtl/>
        </w:rPr>
        <w:t>, עמודים 35-36</w:t>
      </w:r>
    </w:p>
  </w:footnote>
  <w:footnote w:id="181">
    <w:p w:rsidR="009B636F" w:rsidRPr="002A6558" w:rsidRDefault="009B636F" w:rsidP="00855BF7">
      <w:pPr>
        <w:pStyle w:val="a5"/>
        <w:jc w:val="both"/>
        <w:rPr>
          <w:rtl/>
        </w:rPr>
      </w:pPr>
      <w:r w:rsidRPr="002A6558">
        <w:rPr>
          <w:rStyle w:val="a7"/>
        </w:rPr>
        <w:footnoteRef/>
      </w:r>
      <w:r w:rsidRPr="002A6558">
        <w:rPr>
          <w:rtl/>
        </w:rPr>
        <w:t xml:space="preserve"> </w:t>
      </w:r>
      <w:r w:rsidRPr="002A6558">
        <w:t>Greenspan Morris</w:t>
      </w:r>
      <w:r>
        <w:t xml:space="preserve"> </w:t>
      </w:r>
      <w:r w:rsidRPr="002A6558">
        <w:t xml:space="preserve">(1972), Human Rights in the Territories Occupied by Israel, 12 Santa Clara Lawyer 377, </w:t>
      </w:r>
      <w:r>
        <w:t>a</w:t>
      </w:r>
      <w:r w:rsidRPr="002A6558">
        <w:t xml:space="preserve">vailable at: </w:t>
      </w:r>
      <w:hyperlink r:id="rId27" w:history="1">
        <w:r w:rsidRPr="002A6558">
          <w:t>http://digitalcommons.law.scu.edu/lawreview/vol12/iss2/7</w:t>
        </w:r>
      </w:hyperlink>
      <w:r w:rsidRPr="002A6558">
        <w:rPr>
          <w:rFonts w:cs="David" w:hint="cs"/>
          <w:rtl/>
        </w:rPr>
        <w:t xml:space="preserve"> (להלן - גרינספאן)</w:t>
      </w:r>
      <w:r w:rsidRPr="002A6558">
        <w:rPr>
          <w:rFonts w:hint="cs"/>
          <w:rtl/>
        </w:rPr>
        <w:t xml:space="preserve">. </w:t>
      </w:r>
      <w:r w:rsidRPr="002A6558">
        <w:rPr>
          <w:rFonts w:cs="David" w:hint="cs"/>
          <w:rtl/>
        </w:rPr>
        <w:t>גרינספאן מותח ביקורת קשה על ועדת הנציבות מ-1969. וראה גם את ביקורתו הקשה של פראנק, ה"ש</w:t>
      </w:r>
      <w:r>
        <w:rPr>
          <w:rFonts w:cs="David" w:hint="cs"/>
          <w:rtl/>
        </w:rPr>
        <w:t xml:space="preserve"> </w:t>
      </w:r>
      <w:r>
        <w:rPr>
          <w:rFonts w:cs="David"/>
          <w:rtl/>
        </w:rPr>
        <w:fldChar w:fldCharType="begin"/>
      </w:r>
      <w:r>
        <w:rPr>
          <w:rFonts w:cs="David"/>
          <w:rtl/>
        </w:rPr>
        <w:instrText xml:space="preserve"> </w:instrText>
      </w:r>
      <w:r>
        <w:rPr>
          <w:rFonts w:cs="David" w:hint="cs"/>
        </w:rPr>
        <w:instrText>NOTEREF</w:instrText>
      </w:r>
      <w:r>
        <w:rPr>
          <w:rFonts w:cs="David" w:hint="cs"/>
          <w:rtl/>
        </w:rPr>
        <w:instrText xml:space="preserve"> _</w:instrText>
      </w:r>
      <w:r>
        <w:rPr>
          <w:rFonts w:cs="David" w:hint="cs"/>
        </w:rPr>
        <w:instrText>Ref450296810 \h</w:instrText>
      </w:r>
      <w:r>
        <w:rPr>
          <w:rFonts w:cs="David"/>
          <w:rtl/>
        </w:rPr>
        <w:instrText xml:space="preserve"> </w:instrText>
      </w:r>
      <w:r>
        <w:rPr>
          <w:rFonts w:cs="David"/>
          <w:rtl/>
        </w:rPr>
      </w:r>
      <w:r>
        <w:rPr>
          <w:rFonts w:cs="David"/>
          <w:rtl/>
        </w:rPr>
        <w:fldChar w:fldCharType="separate"/>
      </w:r>
      <w:r>
        <w:rPr>
          <w:rFonts w:cs="David"/>
          <w:rtl/>
        </w:rPr>
        <w:t>183</w:t>
      </w:r>
      <w:r>
        <w:rPr>
          <w:rFonts w:cs="David"/>
          <w:rtl/>
        </w:rPr>
        <w:fldChar w:fldCharType="end"/>
      </w:r>
      <w:r w:rsidRPr="002A6558">
        <w:rPr>
          <w:rFonts w:cs="David" w:hint="cs"/>
          <w:rtl/>
        </w:rPr>
        <w:t>, על אותה ועדה.</w:t>
      </w:r>
    </w:p>
  </w:footnote>
  <w:footnote w:id="182">
    <w:p w:rsidR="009B636F" w:rsidRPr="002A6558" w:rsidRDefault="009B636F" w:rsidP="00855BF7">
      <w:pPr>
        <w:pStyle w:val="a5"/>
        <w:jc w:val="both"/>
        <w:rPr>
          <w:rtl/>
        </w:rPr>
      </w:pPr>
      <w:r w:rsidRPr="002A6558">
        <w:rPr>
          <w:rStyle w:val="a7"/>
        </w:rPr>
        <w:footnoteRef/>
      </w:r>
      <w:r w:rsidRPr="002A6558">
        <w:rPr>
          <w:rtl/>
        </w:rPr>
        <w:t xml:space="preserve"> </w:t>
      </w:r>
      <w:r w:rsidRPr="002A6558">
        <w:t>Shefi Dov (1973), The Protection of Human Rights in Areas Administered by Israel: United Nations Findings and Reality, 3 Israel Yearbook on Human Rights 337, pp. 339-340, referred to in Franck Thomas and Fairley Scott (1980), Procedural Due Process in Human Rights Fact-Finding by International Agencies, 74 A.J.I.L. 308</w:t>
      </w:r>
      <w:r>
        <w:t xml:space="preserve">, available at </w:t>
      </w:r>
      <w:r w:rsidRPr="00B6128B">
        <w:t>http://www3.nd.edu/~sobrien2/franck_procedural_fairness_t.pdf</w:t>
      </w:r>
      <w:r w:rsidRPr="002A6558">
        <w:rPr>
          <w:rFonts w:hint="cs"/>
          <w:rtl/>
        </w:rPr>
        <w:t xml:space="preserve"> </w:t>
      </w:r>
      <w:r w:rsidRPr="002A6558">
        <w:rPr>
          <w:rFonts w:cs="David" w:hint="cs"/>
          <w:rtl/>
        </w:rPr>
        <w:t xml:space="preserve">(להלן </w:t>
      </w:r>
      <w:r w:rsidRPr="002A6558">
        <w:rPr>
          <w:rFonts w:cs="David"/>
          <w:rtl/>
        </w:rPr>
        <w:t>–</w:t>
      </w:r>
      <w:r w:rsidRPr="002A6558">
        <w:rPr>
          <w:rFonts w:cs="David" w:hint="cs"/>
          <w:rtl/>
        </w:rPr>
        <w:t xml:space="preserve"> פראנק). פראנק מותח ביקורת קשה הן על ועדת העצרת מ-1968 והן על ועדת הנציבות מ-1969. וראה גם ביקורתו הקשה של גרינספאן, ה"ש</w:t>
      </w:r>
      <w:r>
        <w:rPr>
          <w:rFonts w:cs="David" w:hint="cs"/>
          <w:rtl/>
        </w:rPr>
        <w:t xml:space="preserve"> </w:t>
      </w:r>
      <w:r>
        <w:rPr>
          <w:rFonts w:cs="David"/>
          <w:rtl/>
        </w:rPr>
        <w:fldChar w:fldCharType="begin"/>
      </w:r>
      <w:r>
        <w:rPr>
          <w:rFonts w:cs="David"/>
          <w:rtl/>
        </w:rPr>
        <w:instrText xml:space="preserve"> </w:instrText>
      </w:r>
      <w:r>
        <w:rPr>
          <w:rFonts w:cs="David" w:hint="cs"/>
        </w:rPr>
        <w:instrText>NOTEREF</w:instrText>
      </w:r>
      <w:r>
        <w:rPr>
          <w:rFonts w:cs="David" w:hint="cs"/>
          <w:rtl/>
        </w:rPr>
        <w:instrText xml:space="preserve"> _</w:instrText>
      </w:r>
      <w:r>
        <w:rPr>
          <w:rFonts w:cs="David" w:hint="cs"/>
        </w:rPr>
        <w:instrText>Ref450241348 \h</w:instrText>
      </w:r>
      <w:r>
        <w:rPr>
          <w:rFonts w:cs="David"/>
          <w:rtl/>
        </w:rPr>
        <w:instrText xml:space="preserve"> </w:instrText>
      </w:r>
      <w:r>
        <w:rPr>
          <w:rFonts w:cs="David"/>
          <w:rtl/>
        </w:rPr>
      </w:r>
      <w:r>
        <w:rPr>
          <w:rFonts w:cs="David"/>
          <w:rtl/>
        </w:rPr>
        <w:fldChar w:fldCharType="separate"/>
      </w:r>
      <w:r>
        <w:rPr>
          <w:rFonts w:cs="David"/>
          <w:rtl/>
        </w:rPr>
        <w:t>182</w:t>
      </w:r>
      <w:r>
        <w:rPr>
          <w:rFonts w:cs="David"/>
          <w:rtl/>
        </w:rPr>
        <w:fldChar w:fldCharType="end"/>
      </w:r>
      <w:r w:rsidRPr="002A6558">
        <w:rPr>
          <w:rFonts w:cs="David" w:hint="cs"/>
          <w:rtl/>
        </w:rPr>
        <w:t>, על ועדת העצרת מ-1968</w:t>
      </w:r>
      <w:r w:rsidRPr="002A6558">
        <w:rPr>
          <w:rFonts w:hint="cs"/>
          <w:rtl/>
        </w:rPr>
        <w:t>.</w:t>
      </w:r>
    </w:p>
  </w:footnote>
  <w:footnote w:id="183">
    <w:p w:rsidR="009B636F" w:rsidRPr="002A6558" w:rsidRDefault="009B636F" w:rsidP="00855BF7">
      <w:pPr>
        <w:pStyle w:val="a5"/>
        <w:jc w:val="both"/>
        <w:rPr>
          <w:rFonts w:cs="David"/>
        </w:rPr>
      </w:pPr>
      <w:r w:rsidRPr="002A6558">
        <w:rPr>
          <w:rStyle w:val="a7"/>
        </w:rPr>
        <w:footnoteRef/>
      </w:r>
      <w:r w:rsidRPr="002A6558">
        <w:rPr>
          <w:rtl/>
        </w:rPr>
        <w:t xml:space="preserve"> </w:t>
      </w:r>
      <w:r w:rsidRPr="002A6558">
        <w:rPr>
          <w:rFonts w:cs="David" w:hint="cs"/>
          <w:rtl/>
        </w:rPr>
        <w:t xml:space="preserve">ראה בדוח הוועדה, ה"ש </w:t>
      </w:r>
      <w:r>
        <w:rPr>
          <w:rFonts w:cs="David"/>
          <w:rtl/>
        </w:rPr>
        <w:fldChar w:fldCharType="begin"/>
      </w:r>
      <w:r>
        <w:rPr>
          <w:rFonts w:cs="David"/>
          <w:rtl/>
        </w:rPr>
        <w:instrText xml:space="preserve"> </w:instrText>
      </w:r>
      <w:r>
        <w:rPr>
          <w:rFonts w:cs="David" w:hint="cs"/>
        </w:rPr>
        <w:instrText>NOTEREF</w:instrText>
      </w:r>
      <w:r>
        <w:rPr>
          <w:rFonts w:cs="David" w:hint="cs"/>
          <w:rtl/>
        </w:rPr>
        <w:instrText xml:space="preserve"> _</w:instrText>
      </w:r>
      <w:r>
        <w:rPr>
          <w:rFonts w:cs="David" w:hint="cs"/>
        </w:rPr>
        <w:instrText>Ref454792257 \h</w:instrText>
      </w:r>
      <w:r>
        <w:rPr>
          <w:rFonts w:cs="David"/>
          <w:rtl/>
        </w:rPr>
        <w:instrText xml:space="preserve"> </w:instrText>
      </w:r>
      <w:r>
        <w:rPr>
          <w:rFonts w:cs="David"/>
          <w:rtl/>
        </w:rPr>
      </w:r>
      <w:r>
        <w:rPr>
          <w:rFonts w:cs="David"/>
          <w:rtl/>
        </w:rPr>
        <w:fldChar w:fldCharType="separate"/>
      </w:r>
      <w:r>
        <w:rPr>
          <w:rFonts w:cs="David"/>
          <w:rtl/>
        </w:rPr>
        <w:t>285</w:t>
      </w:r>
      <w:r>
        <w:rPr>
          <w:rFonts w:cs="David"/>
          <w:rtl/>
        </w:rPr>
        <w:fldChar w:fldCharType="end"/>
      </w:r>
      <w:r>
        <w:rPr>
          <w:rFonts w:cs="David" w:hint="cs"/>
          <w:rtl/>
        </w:rPr>
        <w:t xml:space="preserve"> </w:t>
      </w:r>
      <w:r w:rsidRPr="002A6558">
        <w:rPr>
          <w:rFonts w:cs="David" w:hint="cs"/>
          <w:rtl/>
        </w:rPr>
        <w:t>לעיל.</w:t>
      </w:r>
    </w:p>
  </w:footnote>
  <w:footnote w:id="184">
    <w:p w:rsidR="009B636F" w:rsidRPr="002A6558" w:rsidRDefault="009B636F" w:rsidP="00397737">
      <w:pPr>
        <w:pStyle w:val="a5"/>
        <w:jc w:val="both"/>
        <w:rPr>
          <w:rtl/>
        </w:rPr>
      </w:pPr>
      <w:r w:rsidRPr="002A6558">
        <w:rPr>
          <w:rStyle w:val="a7"/>
        </w:rPr>
        <w:footnoteRef/>
      </w:r>
      <w:r w:rsidRPr="002A6558">
        <w:rPr>
          <w:rtl/>
        </w:rPr>
        <w:t xml:space="preserve"> </w:t>
      </w:r>
      <w:r w:rsidRPr="002A6558">
        <w:rPr>
          <w:rFonts w:eastAsia="Times New Roman" w:cs="Arial"/>
          <w:kern w:val="36"/>
        </w:rPr>
        <w:t xml:space="preserve">Statement by Amb Leshno Yaar to the UN Human Rights Council, </w:t>
      </w:r>
      <w:r w:rsidRPr="002A6558">
        <w:rPr>
          <w:rFonts w:cs="Arial"/>
        </w:rPr>
        <w:t>29 Sep 2009, Israeli Ministry of Foreign Affairs, available at http://mfa.gov.il/mfa/internatlorgs/speeches/pages/amb_leshno_yaar_un_human_rights_council_29-sep-2009.aspx</w:t>
      </w:r>
    </w:p>
  </w:footnote>
  <w:footnote w:id="185">
    <w:p w:rsidR="009B636F" w:rsidRPr="002A6558" w:rsidRDefault="009B636F" w:rsidP="00397737">
      <w:pPr>
        <w:spacing w:after="0" w:line="240" w:lineRule="auto"/>
        <w:jc w:val="both"/>
        <w:rPr>
          <w:rFonts w:ascii="Verdana" w:hAnsi="Verdana"/>
          <w:color w:val="000000"/>
          <w:sz w:val="20"/>
          <w:szCs w:val="20"/>
          <w:rtl/>
        </w:rPr>
      </w:pPr>
      <w:r w:rsidRPr="002A6558">
        <w:rPr>
          <w:rStyle w:val="a7"/>
          <w:sz w:val="20"/>
          <w:szCs w:val="20"/>
        </w:rPr>
        <w:footnoteRef/>
      </w:r>
      <w:r w:rsidRPr="002A6558">
        <w:rPr>
          <w:sz w:val="20"/>
          <w:szCs w:val="20"/>
          <w:rtl/>
        </w:rPr>
        <w:t xml:space="preserve"> </w:t>
      </w:r>
      <w:r w:rsidRPr="002A6558">
        <w:rPr>
          <w:rFonts w:eastAsia="Calibri" w:cs="Verdana"/>
          <w:color w:val="000000"/>
          <w:sz w:val="20"/>
          <w:szCs w:val="20"/>
        </w:rPr>
        <w:t xml:space="preserve">Near verbatim transcript of press conference by the President of the Human Rights Council, Martin Ihoeghian Uhomoibhi (Nigeria) and Justice Richard J. Goldstone on the announcement of the Human Rights Council fact-finding mission on the conflict in the Gaza Strip, Geneva, 3 April 2009, available at </w:t>
      </w:r>
      <w:hyperlink r:id="rId28" w:history="1">
        <w:r w:rsidRPr="002A6558">
          <w:rPr>
            <w:rFonts w:eastAsia="Calibri" w:cs="Verdana"/>
            <w:color w:val="000000"/>
            <w:sz w:val="20"/>
            <w:szCs w:val="20"/>
          </w:rPr>
          <w:t>https://www.google.co.il/url?sa=t&amp;rct=j&amp;q=&amp;esrc=s&amp;source=web&amp;cd=1&amp;ved=0ahUKEwj74Pejq8HMAhUMDxoKHXGPB9wQFggbMAA&amp;url=http%3A%2F%2Fwww.ohchr.org%2FDocuments%2FHRBodies%2FHRCouncil%2FSpecialSession%2FSession9%2FTranscriptPressBriefing03042009.doc&amp;usg=AFQjCNEkx-3y0o0CO28KuhDdAc6rV-Y87A&amp;sig2=HbD_Rp_ClxEXo2Jl5QG-hQ</w:t>
        </w:r>
      </w:hyperlink>
      <w:r w:rsidRPr="002A6558">
        <w:rPr>
          <w:rFonts w:ascii="Verdana" w:hAnsi="Verdana" w:cs="David" w:hint="cs"/>
          <w:color w:val="000000"/>
          <w:sz w:val="20"/>
          <w:szCs w:val="20"/>
          <w:rtl/>
        </w:rPr>
        <w:t>. במסיבת העיתונאים אמר נשיא המועצה את הדברים הבאים ביחס להחלטתו לשנות את מנדט הוועדה בניגוד להחלטת העצרת: "</w:t>
      </w:r>
      <w:r w:rsidRPr="002A6558">
        <w:rPr>
          <w:sz w:val="20"/>
          <w:szCs w:val="20"/>
        </w:rPr>
        <w:t xml:space="preserve"> </w:t>
      </w:r>
      <w:r w:rsidRPr="002A6558">
        <w:rPr>
          <w:rFonts w:ascii="Calibri" w:eastAsia="Calibri" w:hAnsi="Calibri" w:cs="Arial"/>
          <w:sz w:val="20"/>
          <w:szCs w:val="20"/>
        </w:rPr>
        <w:t>There is a mandate, if you look at OP 14 [operative paragraph 14 of HRC resolution S/9-1], that spells out the mandate.</w:t>
      </w:r>
      <w:r>
        <w:rPr>
          <w:rFonts w:ascii="Calibri" w:eastAsia="Calibri" w:hAnsi="Calibri" w:cs="Arial"/>
          <w:sz w:val="20"/>
          <w:szCs w:val="20"/>
        </w:rPr>
        <w:t xml:space="preserve"> </w:t>
      </w:r>
      <w:r w:rsidRPr="002A6558">
        <w:rPr>
          <w:rFonts w:ascii="Calibri" w:eastAsia="Calibri" w:hAnsi="Calibri" w:cs="Arial"/>
          <w:sz w:val="20"/>
          <w:szCs w:val="20"/>
        </w:rPr>
        <w:t>But that mandate also mandates me to establish a fact-finding mission.</w:t>
      </w:r>
      <w:r>
        <w:rPr>
          <w:rFonts w:ascii="Calibri" w:eastAsia="Calibri" w:hAnsi="Calibri" w:cs="Arial"/>
          <w:sz w:val="20"/>
          <w:szCs w:val="20"/>
        </w:rPr>
        <w:t xml:space="preserve"> </w:t>
      </w:r>
      <w:r w:rsidRPr="002A6558">
        <w:rPr>
          <w:rFonts w:ascii="Calibri" w:eastAsia="Calibri" w:hAnsi="Calibri" w:cs="Arial"/>
          <w:sz w:val="20"/>
          <w:szCs w:val="20"/>
        </w:rPr>
        <w:t>Now, what I have done is establish a fact-finding mission and request for the most appropriate manner, in my view, of dealing with the mandate of the Council.</w:t>
      </w:r>
      <w:r>
        <w:rPr>
          <w:rFonts w:ascii="Calibri" w:eastAsia="Calibri" w:hAnsi="Calibri" w:cs="Arial"/>
          <w:sz w:val="20"/>
          <w:szCs w:val="20"/>
        </w:rPr>
        <w:t xml:space="preserve"> </w:t>
      </w:r>
      <w:r w:rsidRPr="002A6558">
        <w:rPr>
          <w:rFonts w:ascii="Calibri" w:eastAsia="Calibri" w:hAnsi="Calibri" w:cs="Arial"/>
          <w:sz w:val="20"/>
          <w:szCs w:val="20"/>
        </w:rPr>
        <w:t>The ultimate purpose of the Council will not be served if that mandate does not allow for the clear establishment of an independent and impartial fact-finding mission; a mission that will gain the credibility of all sides, and that will be truly independent, and will produce and report that is fair, that is balanced and that is impartial; that will address the question of proportionality.</w:t>
      </w:r>
      <w:r>
        <w:rPr>
          <w:rFonts w:ascii="Calibri" w:eastAsia="Calibri" w:hAnsi="Calibri" w:cs="Arial"/>
          <w:sz w:val="20"/>
          <w:szCs w:val="20"/>
        </w:rPr>
        <w:t xml:space="preserve"> </w:t>
      </w:r>
      <w:r w:rsidRPr="002A6558">
        <w:rPr>
          <w:rFonts w:ascii="Calibri" w:eastAsia="Calibri" w:hAnsi="Calibri" w:cs="Arial"/>
          <w:sz w:val="20"/>
          <w:szCs w:val="20"/>
        </w:rPr>
        <w:t>You cannot address proportionality in a vacuum.</w:t>
      </w:r>
      <w:r>
        <w:rPr>
          <w:rFonts w:ascii="Calibri" w:eastAsia="Calibri" w:hAnsi="Calibri" w:cs="Arial"/>
          <w:sz w:val="20"/>
          <w:szCs w:val="20"/>
        </w:rPr>
        <w:t xml:space="preserve"> </w:t>
      </w:r>
      <w:r w:rsidRPr="002A6558">
        <w:rPr>
          <w:rFonts w:ascii="Calibri" w:eastAsia="Calibri" w:hAnsi="Calibri" w:cs="Arial"/>
          <w:sz w:val="20"/>
          <w:szCs w:val="20"/>
        </w:rPr>
        <w:t>On the basis of my own understanding, and in implementing the Council resolution and of advancing the process, I requested the distinguished Justice to proceed along those lines.</w:t>
      </w:r>
      <w:r>
        <w:rPr>
          <w:rFonts w:ascii="Calibri" w:eastAsia="Calibri" w:hAnsi="Calibri" w:cs="Arial"/>
          <w:sz w:val="20"/>
          <w:szCs w:val="20"/>
        </w:rPr>
        <w:t xml:space="preserve"> </w:t>
      </w:r>
      <w:r w:rsidRPr="002A6558">
        <w:rPr>
          <w:rFonts w:ascii="Calibri" w:eastAsia="Calibri" w:hAnsi="Calibri" w:cs="Arial"/>
          <w:sz w:val="20"/>
          <w:szCs w:val="20"/>
        </w:rPr>
        <w:t>So, the object of it [the mission], and I believe the object of the Council, is to have a report that truly reflects the events on the ground, and that includes dealing with all violations in an impartial and objective manner.</w:t>
      </w:r>
      <w:r w:rsidRPr="002A6558">
        <w:rPr>
          <w:rFonts w:ascii="Verdana" w:hAnsi="Verdana" w:hint="cs"/>
          <w:color w:val="000000"/>
          <w:sz w:val="20"/>
          <w:szCs w:val="20"/>
          <w:rtl/>
        </w:rPr>
        <w:t>".</w:t>
      </w:r>
    </w:p>
  </w:footnote>
  <w:footnote w:id="186">
    <w:p w:rsidR="009B636F" w:rsidRPr="002A6558" w:rsidRDefault="009B636F" w:rsidP="009F13F4">
      <w:pPr>
        <w:pStyle w:val="a5"/>
        <w:jc w:val="both"/>
        <w:rPr>
          <w:rFonts w:cs="David"/>
          <w:rtl/>
        </w:rPr>
      </w:pPr>
      <w:r w:rsidRPr="002A6558">
        <w:rPr>
          <w:rStyle w:val="a7"/>
        </w:rPr>
        <w:footnoteRef/>
      </w:r>
      <w:r w:rsidRPr="002A6558">
        <w:rPr>
          <w:rtl/>
        </w:rPr>
        <w:t xml:space="preserve"> </w:t>
      </w:r>
      <w:r w:rsidRPr="002A6558">
        <w:rPr>
          <w:rFonts w:cs="David" w:hint="cs"/>
          <w:rtl/>
        </w:rPr>
        <w:t xml:space="preserve">ראה פסקה 14 לדוח הוועדה, הנזכר בה"ש </w:t>
      </w:r>
      <w:r>
        <w:rPr>
          <w:rFonts w:cs="David"/>
          <w:rtl/>
        </w:rPr>
        <w:fldChar w:fldCharType="begin"/>
      </w:r>
      <w:r>
        <w:rPr>
          <w:rFonts w:cs="David"/>
          <w:rtl/>
        </w:rPr>
        <w:instrText xml:space="preserve"> </w:instrText>
      </w:r>
      <w:r>
        <w:rPr>
          <w:rFonts w:cs="David" w:hint="cs"/>
        </w:rPr>
        <w:instrText>NOTEREF</w:instrText>
      </w:r>
      <w:r>
        <w:rPr>
          <w:rFonts w:cs="David" w:hint="cs"/>
          <w:rtl/>
        </w:rPr>
        <w:instrText xml:space="preserve"> _</w:instrText>
      </w:r>
      <w:r>
        <w:rPr>
          <w:rFonts w:cs="David" w:hint="cs"/>
        </w:rPr>
        <w:instrText>Ref454786127 \h</w:instrText>
      </w:r>
      <w:r>
        <w:rPr>
          <w:rFonts w:cs="David"/>
          <w:rtl/>
        </w:rPr>
        <w:instrText xml:space="preserve"> </w:instrText>
      </w:r>
      <w:r>
        <w:rPr>
          <w:rFonts w:cs="David"/>
          <w:rtl/>
        </w:rPr>
      </w:r>
      <w:r>
        <w:rPr>
          <w:rFonts w:cs="David"/>
          <w:rtl/>
        </w:rPr>
        <w:fldChar w:fldCharType="separate"/>
      </w:r>
      <w:r>
        <w:rPr>
          <w:rFonts w:cs="David"/>
          <w:rtl/>
        </w:rPr>
        <w:t>307</w:t>
      </w:r>
      <w:r>
        <w:rPr>
          <w:rFonts w:cs="David"/>
          <w:rtl/>
        </w:rPr>
        <w:fldChar w:fldCharType="end"/>
      </w:r>
      <w:r>
        <w:rPr>
          <w:rFonts w:cs="David" w:hint="cs"/>
          <w:rtl/>
        </w:rPr>
        <w:t xml:space="preserve"> </w:t>
      </w:r>
      <w:r w:rsidRPr="002A6558">
        <w:rPr>
          <w:rFonts w:cs="David" w:hint="cs"/>
          <w:rtl/>
        </w:rPr>
        <w:t>לעיל.</w:t>
      </w:r>
    </w:p>
  </w:footnote>
  <w:footnote w:id="187">
    <w:p w:rsidR="009B636F" w:rsidRPr="002A6558" w:rsidRDefault="009B636F" w:rsidP="009F13F4">
      <w:pPr>
        <w:pStyle w:val="a5"/>
        <w:jc w:val="both"/>
        <w:rPr>
          <w:rtl/>
        </w:rPr>
      </w:pPr>
      <w:r w:rsidRPr="002A6558">
        <w:rPr>
          <w:rStyle w:val="a7"/>
        </w:rPr>
        <w:footnoteRef/>
      </w:r>
      <w:r w:rsidRPr="002A6558">
        <w:rPr>
          <w:rtl/>
        </w:rPr>
        <w:t xml:space="preserve"> </w:t>
      </w:r>
      <w:r w:rsidRPr="002A6558">
        <w:rPr>
          <w:rFonts w:cs="David" w:hint="cs"/>
          <w:rtl/>
        </w:rPr>
        <w:t xml:space="preserve">ראה פסקה 15 לדוח הוועדה, הנזכר בה"ש </w:t>
      </w:r>
      <w:r>
        <w:rPr>
          <w:rFonts w:cs="David"/>
          <w:rtl/>
        </w:rPr>
        <w:fldChar w:fldCharType="begin"/>
      </w:r>
      <w:r>
        <w:rPr>
          <w:rFonts w:cs="David"/>
          <w:rtl/>
        </w:rPr>
        <w:instrText xml:space="preserve"> </w:instrText>
      </w:r>
      <w:r>
        <w:rPr>
          <w:rFonts w:cs="David" w:hint="cs"/>
        </w:rPr>
        <w:instrText>NOTEREF</w:instrText>
      </w:r>
      <w:r>
        <w:rPr>
          <w:rFonts w:cs="David" w:hint="cs"/>
          <w:rtl/>
        </w:rPr>
        <w:instrText xml:space="preserve"> _</w:instrText>
      </w:r>
      <w:r>
        <w:rPr>
          <w:rFonts w:cs="David" w:hint="cs"/>
        </w:rPr>
        <w:instrText>Ref454786127 \h</w:instrText>
      </w:r>
      <w:r>
        <w:rPr>
          <w:rFonts w:cs="David"/>
          <w:rtl/>
        </w:rPr>
        <w:instrText xml:space="preserve"> </w:instrText>
      </w:r>
      <w:r>
        <w:rPr>
          <w:rFonts w:cs="David"/>
          <w:rtl/>
        </w:rPr>
      </w:r>
      <w:r>
        <w:rPr>
          <w:rFonts w:cs="David"/>
          <w:rtl/>
        </w:rPr>
        <w:fldChar w:fldCharType="separate"/>
      </w:r>
      <w:r>
        <w:rPr>
          <w:rFonts w:cs="David"/>
          <w:rtl/>
        </w:rPr>
        <w:t>307</w:t>
      </w:r>
      <w:r>
        <w:rPr>
          <w:rFonts w:cs="David"/>
          <w:rtl/>
        </w:rPr>
        <w:fldChar w:fldCharType="end"/>
      </w:r>
      <w:r>
        <w:rPr>
          <w:rFonts w:cs="David" w:hint="cs"/>
          <w:rtl/>
        </w:rPr>
        <w:t xml:space="preserve"> </w:t>
      </w:r>
      <w:r w:rsidRPr="002A6558">
        <w:rPr>
          <w:rFonts w:cs="David" w:hint="cs"/>
          <w:rtl/>
        </w:rPr>
        <w:t>לעיל.</w:t>
      </w:r>
    </w:p>
  </w:footnote>
  <w:footnote w:id="188">
    <w:p w:rsidR="009B636F" w:rsidRDefault="009B636F" w:rsidP="00397737">
      <w:pPr>
        <w:pStyle w:val="a5"/>
        <w:jc w:val="both"/>
        <w:rPr>
          <w:rtl/>
        </w:rPr>
      </w:pPr>
      <w:r>
        <w:rPr>
          <w:rStyle w:val="a7"/>
        </w:rPr>
        <w:footnoteRef/>
      </w:r>
      <w:r>
        <w:rPr>
          <w:rtl/>
        </w:rPr>
        <w:t xml:space="preserve"> </w:t>
      </w:r>
      <w:r>
        <w:t xml:space="preserve">HPCR Advanced Practitioner's Handbook on Commissions of Inquiry – Monitoring, Reporting and Fact-Finding, Harvard Humanitarian Initiative, Program on Humanitarian Policy and Conflict Research, 2015, available at </w:t>
      </w:r>
      <w:r w:rsidRPr="00A87372">
        <w:t>http://www.hpcrresearch.org/sites/default/files/publications/HPCR%20Handbook%20March%202015.pdf</w:t>
      </w:r>
    </w:p>
  </w:footnote>
  <w:footnote w:id="189">
    <w:p w:rsidR="009B636F" w:rsidRPr="002A6558" w:rsidRDefault="009B636F" w:rsidP="006D633D">
      <w:pPr>
        <w:pStyle w:val="a5"/>
        <w:jc w:val="both"/>
        <w:rPr>
          <w:rFonts w:cs="David"/>
        </w:rPr>
      </w:pPr>
      <w:r w:rsidRPr="002A6558">
        <w:rPr>
          <w:rStyle w:val="a7"/>
        </w:rPr>
        <w:footnoteRef/>
      </w:r>
      <w:r w:rsidRPr="002A6558">
        <w:rPr>
          <w:rtl/>
        </w:rPr>
        <w:t xml:space="preserve"> </w:t>
      </w:r>
      <w:r w:rsidRPr="002A6558">
        <w:rPr>
          <w:rFonts w:cs="David" w:hint="cs"/>
          <w:rtl/>
        </w:rPr>
        <w:t>ראה פסקה 18 לדוח הוועדה, הנזכר בה"ש</w:t>
      </w:r>
      <w:r>
        <w:rPr>
          <w:rFonts w:cs="David" w:hint="cs"/>
          <w:rtl/>
        </w:rPr>
        <w:t xml:space="preserve"> </w:t>
      </w:r>
      <w:r>
        <w:rPr>
          <w:rFonts w:cs="David"/>
          <w:rtl/>
        </w:rPr>
        <w:fldChar w:fldCharType="begin"/>
      </w:r>
      <w:r>
        <w:rPr>
          <w:rFonts w:cs="David"/>
          <w:rtl/>
        </w:rPr>
        <w:instrText xml:space="preserve"> </w:instrText>
      </w:r>
      <w:r>
        <w:rPr>
          <w:rFonts w:cs="David" w:hint="cs"/>
        </w:rPr>
        <w:instrText>NOTEREF</w:instrText>
      </w:r>
      <w:r>
        <w:rPr>
          <w:rFonts w:cs="David" w:hint="cs"/>
          <w:rtl/>
        </w:rPr>
        <w:instrText xml:space="preserve"> _</w:instrText>
      </w:r>
      <w:r>
        <w:rPr>
          <w:rFonts w:cs="David" w:hint="cs"/>
        </w:rPr>
        <w:instrText>Ref454788759 \h</w:instrText>
      </w:r>
      <w:r>
        <w:rPr>
          <w:rFonts w:cs="David"/>
          <w:rtl/>
        </w:rPr>
        <w:instrText xml:space="preserve"> </w:instrText>
      </w:r>
      <w:r>
        <w:rPr>
          <w:rFonts w:cs="David"/>
          <w:rtl/>
        </w:rPr>
      </w:r>
      <w:r>
        <w:rPr>
          <w:rFonts w:cs="David"/>
          <w:rtl/>
        </w:rPr>
        <w:fldChar w:fldCharType="separate"/>
      </w:r>
      <w:r>
        <w:rPr>
          <w:rFonts w:cs="David"/>
          <w:rtl/>
        </w:rPr>
        <w:t>343</w:t>
      </w:r>
      <w:r>
        <w:rPr>
          <w:rFonts w:cs="David"/>
          <w:rtl/>
        </w:rPr>
        <w:fldChar w:fldCharType="end"/>
      </w:r>
      <w:r w:rsidRPr="002A6558">
        <w:rPr>
          <w:rFonts w:cs="David" w:hint="cs"/>
          <w:rtl/>
        </w:rPr>
        <w:t>.</w:t>
      </w:r>
    </w:p>
  </w:footnote>
  <w:footnote w:id="190">
    <w:p w:rsidR="009B636F" w:rsidRPr="002A6558" w:rsidRDefault="009B636F" w:rsidP="00420084">
      <w:pPr>
        <w:pStyle w:val="a5"/>
        <w:jc w:val="both"/>
      </w:pPr>
      <w:r w:rsidRPr="002A6558">
        <w:rPr>
          <w:rStyle w:val="a7"/>
        </w:rPr>
        <w:footnoteRef/>
      </w:r>
      <w:r w:rsidRPr="002A6558">
        <w:rPr>
          <w:rtl/>
        </w:rPr>
        <w:t xml:space="preserve"> </w:t>
      </w:r>
      <w:r w:rsidRPr="00420084">
        <w:rPr>
          <w:rFonts w:cs="David" w:hint="cs"/>
          <w:rtl/>
        </w:rPr>
        <w:t xml:space="preserve">ראה ה"ש </w:t>
      </w:r>
      <w:fldSimple w:instr=" NOTEREF _Ref454836804 \h  \* MERGEFORMAT ">
        <w:r w:rsidRPr="00420084">
          <w:rPr>
            <w:rFonts w:cs="David"/>
            <w:rtl/>
          </w:rPr>
          <w:t>33</w:t>
        </w:r>
      </w:fldSimple>
      <w:r w:rsidRPr="00420084">
        <w:rPr>
          <w:rFonts w:cs="David" w:hint="cs"/>
          <w:rtl/>
        </w:rPr>
        <w:t xml:space="preserve"> לעיל.</w:t>
      </w:r>
    </w:p>
  </w:footnote>
  <w:footnote w:id="191">
    <w:p w:rsidR="009B636F" w:rsidRPr="002A6558" w:rsidRDefault="009B636F" w:rsidP="00397737">
      <w:pPr>
        <w:pStyle w:val="a5"/>
        <w:jc w:val="both"/>
        <w:rPr>
          <w:rFonts w:cs="David"/>
          <w:rtl/>
        </w:rPr>
      </w:pPr>
      <w:r w:rsidRPr="002A6558">
        <w:rPr>
          <w:rStyle w:val="a7"/>
        </w:rPr>
        <w:footnoteRef/>
      </w:r>
      <w:r w:rsidRPr="002A6558">
        <w:rPr>
          <w:rtl/>
        </w:rPr>
        <w:t xml:space="preserve"> </w:t>
      </w:r>
      <w:r w:rsidRPr="002A6558">
        <w:rPr>
          <w:rFonts w:cs="David" w:hint="cs"/>
          <w:rtl/>
        </w:rPr>
        <w:t>עמודים 8-16 למדריך הנציבות</w:t>
      </w:r>
    </w:p>
  </w:footnote>
  <w:footnote w:id="192">
    <w:p w:rsidR="009B636F" w:rsidRDefault="009B636F" w:rsidP="006D633D">
      <w:pPr>
        <w:pStyle w:val="a5"/>
        <w:jc w:val="both"/>
      </w:pPr>
      <w:r w:rsidRPr="00A41A87">
        <w:rPr>
          <w:rStyle w:val="a7"/>
        </w:rPr>
        <w:footnoteRef/>
      </w:r>
      <w:r w:rsidRPr="00A41A87">
        <w:rPr>
          <w:rtl/>
        </w:rPr>
        <w:t xml:space="preserve"> </w:t>
      </w:r>
      <w:r w:rsidRPr="00A41A87">
        <w:rPr>
          <w:rFonts w:cs="David" w:hint="cs"/>
          <w:rtl/>
        </w:rPr>
        <w:t>ראה</w:t>
      </w:r>
      <w:r w:rsidRPr="00A41A87">
        <w:rPr>
          <w:rFonts w:cs="David"/>
          <w:rtl/>
        </w:rPr>
        <w:t xml:space="preserve"> </w:t>
      </w:r>
      <w:r w:rsidRPr="00A41A87">
        <w:rPr>
          <w:rFonts w:cs="David" w:hint="cs"/>
          <w:rtl/>
        </w:rPr>
        <w:t>ה</w:t>
      </w:r>
      <w:r w:rsidRPr="00A41A87">
        <w:rPr>
          <w:rFonts w:cs="David"/>
          <w:rtl/>
        </w:rPr>
        <w:t>"</w:t>
      </w:r>
      <w:r w:rsidRPr="00A41A87">
        <w:rPr>
          <w:rFonts w:cs="David" w:hint="cs"/>
          <w:rtl/>
        </w:rPr>
        <w:t>ש</w:t>
      </w:r>
      <w:r w:rsidRPr="00A41A87">
        <w:rPr>
          <w:rFonts w:cs="David"/>
          <w:rtl/>
        </w:rPr>
        <w:t xml:space="preserve"> </w:t>
      </w:r>
      <w:r>
        <w:rPr>
          <w:rFonts w:cs="David"/>
          <w:rtl/>
        </w:rPr>
        <w:fldChar w:fldCharType="begin"/>
      </w:r>
      <w:r>
        <w:rPr>
          <w:rFonts w:cs="David"/>
          <w:rtl/>
        </w:rPr>
        <w:instrText xml:space="preserve"> </w:instrText>
      </w:r>
      <w:r>
        <w:rPr>
          <w:rFonts w:cs="David" w:hint="cs"/>
        </w:rPr>
        <w:instrText>NOTEREF</w:instrText>
      </w:r>
      <w:r>
        <w:rPr>
          <w:rFonts w:cs="David" w:hint="cs"/>
          <w:rtl/>
        </w:rPr>
        <w:instrText xml:space="preserve"> _</w:instrText>
      </w:r>
      <w:r>
        <w:rPr>
          <w:rFonts w:cs="David" w:hint="cs"/>
        </w:rPr>
        <w:instrText>Ref454792817 \h</w:instrText>
      </w:r>
      <w:r>
        <w:rPr>
          <w:rFonts w:cs="David"/>
          <w:rtl/>
        </w:rPr>
        <w:instrText xml:space="preserve"> </w:instrText>
      </w:r>
      <w:r>
        <w:rPr>
          <w:rFonts w:cs="David"/>
          <w:rtl/>
        </w:rPr>
      </w:r>
      <w:r>
        <w:rPr>
          <w:rFonts w:cs="David"/>
          <w:rtl/>
        </w:rPr>
        <w:fldChar w:fldCharType="separate"/>
      </w:r>
      <w:r>
        <w:rPr>
          <w:rFonts w:cs="David"/>
          <w:rtl/>
        </w:rPr>
        <w:t>51</w:t>
      </w:r>
      <w:r>
        <w:rPr>
          <w:rFonts w:cs="David"/>
          <w:rtl/>
        </w:rPr>
        <w:fldChar w:fldCharType="end"/>
      </w:r>
      <w:r>
        <w:rPr>
          <w:rFonts w:cs="David" w:hint="cs"/>
          <w:rtl/>
        </w:rPr>
        <w:t xml:space="preserve"> </w:t>
      </w:r>
      <w:r w:rsidRPr="00A41A87">
        <w:rPr>
          <w:rFonts w:cs="David" w:hint="cs"/>
          <w:rtl/>
        </w:rPr>
        <w:t>לעיל</w:t>
      </w:r>
      <w:r w:rsidRPr="00A41A87">
        <w:rPr>
          <w:rFonts w:cs="David"/>
          <w:rtl/>
        </w:rPr>
        <w:t>.</w:t>
      </w:r>
    </w:p>
  </w:footnote>
  <w:footnote w:id="193">
    <w:p w:rsidR="009B636F" w:rsidRPr="004A1635" w:rsidRDefault="009B636F" w:rsidP="004A1635">
      <w:pPr>
        <w:pStyle w:val="a5"/>
      </w:pPr>
      <w:r w:rsidRPr="004A1635">
        <w:rPr>
          <w:rStyle w:val="a7"/>
        </w:rPr>
        <w:footnoteRef/>
      </w:r>
      <w:r w:rsidRPr="004A1635">
        <w:rPr>
          <w:rtl/>
        </w:rPr>
        <w:t xml:space="preserve"> </w:t>
      </w:r>
      <w:r w:rsidRPr="00D44503">
        <w:rPr>
          <w:rFonts w:cs="David" w:hint="cs"/>
          <w:rtl/>
        </w:rPr>
        <w:t>ראה</w:t>
      </w:r>
      <w:r w:rsidRPr="00D44503">
        <w:rPr>
          <w:rFonts w:cs="David"/>
          <w:rtl/>
        </w:rPr>
        <w:t xml:space="preserve"> </w:t>
      </w:r>
      <w:r w:rsidRPr="00D44503">
        <w:rPr>
          <w:rFonts w:cs="David" w:hint="cs"/>
          <w:rtl/>
        </w:rPr>
        <w:t>ה</w:t>
      </w:r>
      <w:r w:rsidRPr="00D44503">
        <w:rPr>
          <w:rFonts w:cs="David"/>
          <w:rtl/>
        </w:rPr>
        <w:t>"</w:t>
      </w:r>
      <w:r w:rsidRPr="00D44503">
        <w:rPr>
          <w:rFonts w:cs="David" w:hint="cs"/>
          <w:rtl/>
        </w:rPr>
        <w:t>ש</w:t>
      </w:r>
      <w:r w:rsidRPr="00D44503">
        <w:rPr>
          <w:rFonts w:cs="David"/>
          <w:rtl/>
        </w:rPr>
        <w:t xml:space="preserve"> </w:t>
      </w:r>
      <w:fldSimple w:instr=" NOTEREF _Ref454623113 \h  \* MERGEFORMAT ">
        <w:r w:rsidRPr="00D44503">
          <w:rPr>
            <w:rFonts w:cs="David"/>
            <w:rtl/>
          </w:rPr>
          <w:t>55</w:t>
        </w:r>
      </w:fldSimple>
      <w:r w:rsidRPr="00D44503">
        <w:rPr>
          <w:rFonts w:cs="David"/>
          <w:rtl/>
        </w:rPr>
        <w:t xml:space="preserve"> </w:t>
      </w:r>
      <w:r w:rsidRPr="00D44503">
        <w:rPr>
          <w:rFonts w:cs="David" w:hint="cs"/>
          <w:rtl/>
        </w:rPr>
        <w:t>לעיל</w:t>
      </w:r>
      <w:r w:rsidRPr="00D44503">
        <w:rPr>
          <w:rFonts w:cs="David"/>
          <w:rtl/>
        </w:rPr>
        <w:t>.</w:t>
      </w:r>
    </w:p>
  </w:footnote>
  <w:footnote w:id="194">
    <w:p w:rsidR="009B636F" w:rsidRDefault="009B636F" w:rsidP="004A1635">
      <w:pPr>
        <w:pStyle w:val="a5"/>
      </w:pPr>
      <w:r w:rsidRPr="004A1635">
        <w:rPr>
          <w:rStyle w:val="a7"/>
        </w:rPr>
        <w:footnoteRef/>
      </w:r>
      <w:r w:rsidRPr="004A1635">
        <w:rPr>
          <w:rtl/>
        </w:rPr>
        <w:t xml:space="preserve"> </w:t>
      </w:r>
      <w:r w:rsidRPr="00D44503">
        <w:rPr>
          <w:rFonts w:cs="David" w:hint="cs"/>
          <w:rtl/>
        </w:rPr>
        <w:t>ראה</w:t>
      </w:r>
      <w:r w:rsidRPr="00D44503">
        <w:rPr>
          <w:rFonts w:cs="David"/>
          <w:rtl/>
        </w:rPr>
        <w:t xml:space="preserve"> </w:t>
      </w:r>
      <w:r w:rsidRPr="00D44503">
        <w:rPr>
          <w:rFonts w:cs="David" w:hint="cs"/>
          <w:rtl/>
        </w:rPr>
        <w:t>ה</w:t>
      </w:r>
      <w:r w:rsidRPr="00D44503">
        <w:rPr>
          <w:rFonts w:cs="David"/>
          <w:rtl/>
        </w:rPr>
        <w:t>"</w:t>
      </w:r>
      <w:r w:rsidRPr="00D44503">
        <w:rPr>
          <w:rFonts w:cs="David" w:hint="cs"/>
          <w:rtl/>
        </w:rPr>
        <w:t>ש</w:t>
      </w:r>
      <w:r w:rsidRPr="00D44503">
        <w:rPr>
          <w:rFonts w:cs="David"/>
          <w:rtl/>
        </w:rPr>
        <w:t xml:space="preserve"> </w:t>
      </w:r>
      <w:r>
        <w:rPr>
          <w:rFonts w:cs="David"/>
          <w:rtl/>
        </w:rPr>
        <w:fldChar w:fldCharType="begin"/>
      </w:r>
      <w:r>
        <w:rPr>
          <w:rFonts w:cs="David"/>
          <w:rtl/>
        </w:rPr>
        <w:instrText xml:space="preserve"> </w:instrText>
      </w:r>
      <w:r>
        <w:rPr>
          <w:rFonts w:cs="David" w:hint="cs"/>
        </w:rPr>
        <w:instrText>NOTEREF</w:instrText>
      </w:r>
      <w:r>
        <w:rPr>
          <w:rFonts w:cs="David" w:hint="cs"/>
          <w:rtl/>
        </w:rPr>
        <w:instrText xml:space="preserve"> _</w:instrText>
      </w:r>
      <w:r>
        <w:rPr>
          <w:rFonts w:cs="David" w:hint="cs"/>
        </w:rPr>
        <w:instrText>Ref454623201 \h</w:instrText>
      </w:r>
      <w:r>
        <w:rPr>
          <w:rFonts w:cs="David"/>
          <w:rtl/>
        </w:rPr>
        <w:instrText xml:space="preserve"> </w:instrText>
      </w:r>
      <w:r>
        <w:rPr>
          <w:rFonts w:cs="David"/>
          <w:rtl/>
        </w:rPr>
      </w:r>
      <w:r>
        <w:rPr>
          <w:rFonts w:cs="David"/>
          <w:rtl/>
        </w:rPr>
        <w:fldChar w:fldCharType="separate"/>
      </w:r>
      <w:r>
        <w:rPr>
          <w:rFonts w:cs="David"/>
          <w:rtl/>
        </w:rPr>
        <w:t>42</w:t>
      </w:r>
      <w:r>
        <w:rPr>
          <w:rFonts w:cs="David"/>
          <w:rtl/>
        </w:rPr>
        <w:fldChar w:fldCharType="end"/>
      </w:r>
      <w:r w:rsidRPr="00D44503">
        <w:rPr>
          <w:rFonts w:cs="David"/>
          <w:rtl/>
        </w:rPr>
        <w:t xml:space="preserve"> </w:t>
      </w:r>
      <w:r w:rsidRPr="00D44503">
        <w:rPr>
          <w:rFonts w:cs="David" w:hint="cs"/>
          <w:rtl/>
        </w:rPr>
        <w:t>לעיל</w:t>
      </w:r>
      <w:r w:rsidRPr="00D44503">
        <w:rPr>
          <w:rFonts w:cs="David"/>
          <w:rtl/>
        </w:rPr>
        <w:t>.</w:t>
      </w:r>
    </w:p>
  </w:footnote>
  <w:footnote w:id="195">
    <w:p w:rsidR="009B636F" w:rsidRPr="002A6558" w:rsidRDefault="009B636F" w:rsidP="00397737">
      <w:pPr>
        <w:pStyle w:val="a5"/>
        <w:jc w:val="both"/>
        <w:rPr>
          <w:rFonts w:cs="David"/>
          <w:rtl/>
        </w:rPr>
      </w:pPr>
      <w:r w:rsidRPr="002A6558">
        <w:rPr>
          <w:rStyle w:val="a7"/>
        </w:rPr>
        <w:footnoteRef/>
      </w:r>
      <w:r w:rsidRPr="002A6558">
        <w:rPr>
          <w:rtl/>
        </w:rPr>
        <w:t xml:space="preserve"> </w:t>
      </w:r>
      <w:r w:rsidRPr="002A6558">
        <w:rPr>
          <w:rFonts w:cs="David" w:hint="cs"/>
          <w:rtl/>
        </w:rPr>
        <w:t>המנדט של</w:t>
      </w:r>
      <w:r w:rsidRPr="002A6558">
        <w:rPr>
          <w:rFonts w:hint="cs"/>
          <w:rtl/>
        </w:rPr>
        <w:t xml:space="preserve"> </w:t>
      </w:r>
      <w:r w:rsidRPr="002A6558">
        <w:rPr>
          <w:rFonts w:cs="David" w:hint="cs"/>
          <w:rtl/>
        </w:rPr>
        <w:t>וועדת החקירה של הרפובליקה הדמוקרטית של קונגו כיסה תקופה של 10 שנים; המנדט של סרי לנקה התייחס לטבע ולהיקף ההפרות "בשלבים האחרונים של העימות"; המנדט של סוריה מכסה סכסוך שעדיין נמשך; ונזכר גם המנדט של ועדת גולדסטון לחקור הפרות "לפני, במהלך ולאחר" מבצע "עופרת יצוקה".</w:t>
      </w:r>
    </w:p>
  </w:footnote>
  <w:footnote w:id="196">
    <w:p w:rsidR="009B636F" w:rsidRDefault="009B636F" w:rsidP="004A1635">
      <w:pPr>
        <w:pStyle w:val="a5"/>
        <w:rPr>
          <w:rtl/>
        </w:rPr>
      </w:pPr>
      <w:r>
        <w:rPr>
          <w:rStyle w:val="a7"/>
        </w:rPr>
        <w:footnoteRef/>
      </w:r>
      <w:r>
        <w:rPr>
          <w:rtl/>
        </w:rPr>
        <w:t xml:space="preserve"> </w:t>
      </w:r>
      <w:r w:rsidRPr="004A1635">
        <w:rPr>
          <w:rFonts w:cs="David" w:hint="cs"/>
          <w:rtl/>
        </w:rPr>
        <w:t xml:space="preserve">ראה ה"ש </w:t>
      </w:r>
      <w:r>
        <w:rPr>
          <w:rFonts w:cs="David"/>
          <w:rtl/>
        </w:rPr>
        <w:fldChar w:fldCharType="begin"/>
      </w:r>
      <w:r>
        <w:rPr>
          <w:rFonts w:cs="David"/>
          <w:rtl/>
        </w:rPr>
        <w:instrText xml:space="preserve"> </w:instrText>
      </w:r>
      <w:r>
        <w:rPr>
          <w:rFonts w:cs="David" w:hint="cs"/>
        </w:rPr>
        <w:instrText>NOTEREF</w:instrText>
      </w:r>
      <w:r>
        <w:rPr>
          <w:rFonts w:cs="David" w:hint="cs"/>
          <w:rtl/>
        </w:rPr>
        <w:instrText xml:space="preserve"> _</w:instrText>
      </w:r>
      <w:r>
        <w:rPr>
          <w:rFonts w:cs="David" w:hint="cs"/>
        </w:rPr>
        <w:instrText>Ref454623015 \h</w:instrText>
      </w:r>
      <w:r>
        <w:rPr>
          <w:rFonts w:cs="David"/>
          <w:rtl/>
        </w:rPr>
        <w:instrText xml:space="preserve"> </w:instrText>
      </w:r>
      <w:r>
        <w:rPr>
          <w:rFonts w:cs="David"/>
          <w:rtl/>
        </w:rPr>
      </w:r>
      <w:r>
        <w:rPr>
          <w:rFonts w:cs="David"/>
          <w:rtl/>
        </w:rPr>
        <w:fldChar w:fldCharType="separate"/>
      </w:r>
      <w:r>
        <w:rPr>
          <w:rFonts w:cs="David"/>
          <w:rtl/>
        </w:rPr>
        <w:t>52</w:t>
      </w:r>
      <w:r>
        <w:rPr>
          <w:rFonts w:cs="David"/>
          <w:rtl/>
        </w:rPr>
        <w:fldChar w:fldCharType="end"/>
      </w:r>
      <w:r>
        <w:rPr>
          <w:rFonts w:cs="David" w:hint="cs"/>
          <w:rtl/>
        </w:rPr>
        <w:t xml:space="preserve"> </w:t>
      </w:r>
      <w:r w:rsidRPr="004A1635">
        <w:rPr>
          <w:rFonts w:cs="David" w:hint="cs"/>
          <w:rtl/>
        </w:rPr>
        <w:t>לעיל.</w:t>
      </w:r>
    </w:p>
  </w:footnote>
  <w:footnote w:id="197">
    <w:p w:rsidR="009B636F" w:rsidRDefault="009B636F" w:rsidP="004A1635">
      <w:pPr>
        <w:pStyle w:val="a5"/>
        <w:rPr>
          <w:rtl/>
        </w:rPr>
      </w:pPr>
      <w:r>
        <w:rPr>
          <w:rStyle w:val="a7"/>
        </w:rPr>
        <w:footnoteRef/>
      </w:r>
      <w:r>
        <w:rPr>
          <w:rtl/>
        </w:rPr>
        <w:t xml:space="preserve"> </w:t>
      </w:r>
      <w:r w:rsidRPr="004A1635">
        <w:rPr>
          <w:rFonts w:cs="David" w:hint="cs"/>
          <w:rtl/>
        </w:rPr>
        <w:t xml:space="preserve">ראה ה"ש </w:t>
      </w:r>
      <w:r>
        <w:rPr>
          <w:rFonts w:cs="David"/>
          <w:rtl/>
        </w:rPr>
        <w:fldChar w:fldCharType="begin"/>
      </w:r>
      <w:r>
        <w:rPr>
          <w:rFonts w:cs="David"/>
          <w:rtl/>
        </w:rPr>
        <w:instrText xml:space="preserve"> </w:instrText>
      </w:r>
      <w:r>
        <w:rPr>
          <w:rFonts w:cs="David" w:hint="cs"/>
        </w:rPr>
        <w:instrText>NOTEREF</w:instrText>
      </w:r>
      <w:r>
        <w:rPr>
          <w:rFonts w:cs="David" w:hint="cs"/>
          <w:rtl/>
        </w:rPr>
        <w:instrText xml:space="preserve"> _</w:instrText>
      </w:r>
      <w:r>
        <w:rPr>
          <w:rFonts w:cs="David" w:hint="cs"/>
        </w:rPr>
        <w:instrText>Ref454623380 \h</w:instrText>
      </w:r>
      <w:r>
        <w:rPr>
          <w:rFonts w:cs="David"/>
          <w:rtl/>
        </w:rPr>
        <w:instrText xml:space="preserve"> </w:instrText>
      </w:r>
      <w:r>
        <w:rPr>
          <w:rFonts w:cs="David"/>
          <w:rtl/>
        </w:rPr>
      </w:r>
      <w:r>
        <w:rPr>
          <w:rFonts w:cs="David"/>
          <w:rtl/>
        </w:rPr>
        <w:fldChar w:fldCharType="separate"/>
      </w:r>
      <w:r>
        <w:rPr>
          <w:rFonts w:cs="David"/>
          <w:rtl/>
        </w:rPr>
        <w:t>48</w:t>
      </w:r>
      <w:r>
        <w:rPr>
          <w:rFonts w:cs="David"/>
          <w:rtl/>
        </w:rPr>
        <w:fldChar w:fldCharType="end"/>
      </w:r>
      <w:r w:rsidRPr="004A1635">
        <w:rPr>
          <w:rFonts w:cs="David" w:hint="cs"/>
          <w:rtl/>
        </w:rPr>
        <w:t xml:space="preserve"> לעיל.</w:t>
      </w:r>
    </w:p>
  </w:footnote>
  <w:footnote w:id="198">
    <w:p w:rsidR="009B636F" w:rsidRPr="002A6558" w:rsidRDefault="009B636F" w:rsidP="00397737">
      <w:pPr>
        <w:pStyle w:val="a5"/>
        <w:jc w:val="both"/>
        <w:rPr>
          <w:rFonts w:cs="David"/>
          <w:rtl/>
        </w:rPr>
      </w:pPr>
      <w:r w:rsidRPr="002A6558">
        <w:rPr>
          <w:rStyle w:val="a7"/>
        </w:rPr>
        <w:footnoteRef/>
      </w:r>
      <w:r w:rsidRPr="002A6558">
        <w:rPr>
          <w:rtl/>
        </w:rPr>
        <w:t xml:space="preserve"> </w:t>
      </w:r>
      <w:r w:rsidRPr="002A6558">
        <w:rPr>
          <w:rFonts w:cs="David" w:hint="cs"/>
          <w:rtl/>
        </w:rPr>
        <w:t>אחד המרואיינים סבר כי ישראל צריכה להיות שותפה תמיד לניסוח מנדט הוועדה. נראה שבוועדות של מזכ"ל האו"ם אכן יש לישראל יכולת השפעה רבה יותר לעניין זה.</w:t>
      </w:r>
    </w:p>
  </w:footnote>
  <w:footnote w:id="199">
    <w:p w:rsidR="009B636F" w:rsidRPr="00066591" w:rsidRDefault="009B636F" w:rsidP="00A41A87">
      <w:pPr>
        <w:pStyle w:val="a5"/>
        <w:jc w:val="both"/>
        <w:rPr>
          <w:rFonts w:cs="David"/>
          <w:rtl/>
        </w:rPr>
      </w:pPr>
      <w:r>
        <w:rPr>
          <w:rStyle w:val="a7"/>
        </w:rPr>
        <w:footnoteRef/>
      </w:r>
      <w:r>
        <w:rPr>
          <w:rtl/>
        </w:rPr>
        <w:t xml:space="preserve"> </w:t>
      </w:r>
      <w:r>
        <w:rPr>
          <w:rFonts w:cs="David" w:hint="cs"/>
          <w:rtl/>
        </w:rPr>
        <w:t>עמודים 18-22 למדריך הנציבות</w:t>
      </w:r>
    </w:p>
  </w:footnote>
  <w:footnote w:id="200">
    <w:p w:rsidR="009B636F" w:rsidRPr="003E5C0B" w:rsidRDefault="009B636F" w:rsidP="004544A6">
      <w:pPr>
        <w:pStyle w:val="a5"/>
        <w:jc w:val="both"/>
        <w:rPr>
          <w:rFonts w:cs="David"/>
          <w:rtl/>
        </w:rPr>
      </w:pPr>
      <w:r w:rsidRPr="00F9050B">
        <w:rPr>
          <w:rStyle w:val="a7"/>
        </w:rPr>
        <w:footnoteRef/>
      </w:r>
      <w:r w:rsidRPr="00F9050B">
        <w:rPr>
          <w:rtl/>
        </w:rPr>
        <w:t xml:space="preserve"> </w:t>
      </w:r>
      <w:r w:rsidRPr="00F9050B">
        <w:rPr>
          <w:rFonts w:cs="David" w:hint="cs"/>
          <w:rtl/>
        </w:rPr>
        <w:t xml:space="preserve">וראה ביקורתו של בסיוני על מינוי חברים לא מוכשרים לוועדות בגלל הצורך בגיוון גיאוגרפי </w:t>
      </w:r>
      <w:r w:rsidRPr="00F9050B">
        <w:rPr>
          <w:rFonts w:cs="David"/>
          <w:rtl/>
        </w:rPr>
        <w:t>–</w:t>
      </w:r>
      <w:r w:rsidRPr="00F9050B">
        <w:rPr>
          <w:rFonts w:cs="David" w:hint="cs"/>
          <w:rtl/>
        </w:rPr>
        <w:t xml:space="preserve"> בסיוני, ה"ש </w:t>
      </w:r>
      <w:r>
        <w:fldChar w:fldCharType="begin"/>
      </w:r>
      <w:r>
        <w:rPr>
          <w:rFonts w:cs="David"/>
          <w:rtl/>
        </w:rPr>
        <w:instrText xml:space="preserve"> </w:instrText>
      </w:r>
      <w:r>
        <w:rPr>
          <w:rFonts w:cs="David" w:hint="cs"/>
        </w:rPr>
        <w:instrText>NOTEREF</w:instrText>
      </w:r>
      <w:r>
        <w:rPr>
          <w:rFonts w:cs="David" w:hint="cs"/>
          <w:rtl/>
        </w:rPr>
        <w:instrText xml:space="preserve"> _</w:instrText>
      </w:r>
      <w:r>
        <w:rPr>
          <w:rFonts w:cs="David" w:hint="cs"/>
        </w:rPr>
        <w:instrText>Ref450959869 \h</w:instrText>
      </w:r>
      <w:r>
        <w:rPr>
          <w:rFonts w:cs="David"/>
          <w:rtl/>
        </w:rPr>
        <w:instrText xml:space="preserve"> </w:instrText>
      </w:r>
      <w:r>
        <w:fldChar w:fldCharType="separate"/>
      </w:r>
      <w:r>
        <w:rPr>
          <w:rFonts w:cs="David"/>
          <w:rtl/>
        </w:rPr>
        <w:t>179</w:t>
      </w:r>
      <w:r>
        <w:fldChar w:fldCharType="end"/>
      </w:r>
      <w:r w:rsidRPr="00F9050B">
        <w:rPr>
          <w:rFonts w:cs="David" w:hint="cs"/>
          <w:rtl/>
        </w:rPr>
        <w:t>, עמוד 40</w:t>
      </w:r>
      <w:r>
        <w:rPr>
          <w:rFonts w:cs="David" w:hint="cs"/>
          <w:rtl/>
        </w:rPr>
        <w:t>.</w:t>
      </w:r>
    </w:p>
  </w:footnote>
  <w:footnote w:id="201">
    <w:p w:rsidR="009B636F" w:rsidRPr="0022607E" w:rsidRDefault="009B636F" w:rsidP="0022607E">
      <w:pPr>
        <w:spacing w:after="0" w:line="240" w:lineRule="auto"/>
        <w:jc w:val="both"/>
        <w:rPr>
          <w:rFonts w:cs="David"/>
          <w:sz w:val="28"/>
          <w:szCs w:val="28"/>
          <w:rtl/>
        </w:rPr>
      </w:pPr>
      <w:r>
        <w:rPr>
          <w:rStyle w:val="a7"/>
        </w:rPr>
        <w:footnoteRef/>
      </w:r>
      <w:r>
        <w:rPr>
          <w:rtl/>
        </w:rPr>
        <w:t xml:space="preserve"> </w:t>
      </w:r>
      <w:r>
        <w:rPr>
          <w:rFonts w:hint="cs"/>
          <w:rtl/>
        </w:rPr>
        <w:t>נוסח ההצהרה:</w:t>
      </w:r>
      <w:r w:rsidRPr="0022607E">
        <w:rPr>
          <w:rFonts w:cs="David"/>
          <w:sz w:val="20"/>
          <w:szCs w:val="20"/>
        </w:rPr>
        <w:t>“I solemnly declare and promise to exercise my functions independently, impartially, loyally and conscientiously, and to discharge these functions and regulate my conduct in accordance with the terms of my mandate, the Charter of the United Nations and the principles and values of the United Nations, and with the sole objective of contributing to the promotion and protection of human rights, without seeking or accepting instructions from any Government or any other source. I also undertake to respect, during the tenure of my mandate and subsequently, the confidentiality of all information made available to me in my capacity as a member of the commission of inquiry/fact-finding mission. Additionally, I agree to comply with the United Nations ethical, personal conduct, administrative and security rules and policies.”</w:t>
      </w:r>
    </w:p>
  </w:footnote>
  <w:footnote w:id="202">
    <w:p w:rsidR="009B636F" w:rsidRDefault="009B636F" w:rsidP="006D633D">
      <w:pPr>
        <w:pStyle w:val="a5"/>
        <w:jc w:val="both"/>
        <w:rPr>
          <w:rtl/>
        </w:rPr>
      </w:pPr>
      <w:r>
        <w:rPr>
          <w:rStyle w:val="a7"/>
        </w:rPr>
        <w:footnoteRef/>
      </w:r>
      <w:r>
        <w:rPr>
          <w:rtl/>
        </w:rPr>
        <w:t xml:space="preserve"> </w:t>
      </w:r>
      <w:r w:rsidRPr="00203A2F">
        <w:rPr>
          <w:rFonts w:cs="David" w:hint="cs"/>
          <w:rtl/>
        </w:rPr>
        <w:t>ראה מאמרו של שפי, הנזכר בה"ש</w:t>
      </w:r>
      <w:r>
        <w:rPr>
          <w:rFonts w:cs="David" w:hint="cs"/>
          <w:rtl/>
        </w:rPr>
        <w:t xml:space="preserve"> </w:t>
      </w:r>
      <w:r>
        <w:rPr>
          <w:rFonts w:cs="David"/>
          <w:rtl/>
        </w:rPr>
        <w:fldChar w:fldCharType="begin"/>
      </w:r>
      <w:r>
        <w:rPr>
          <w:rFonts w:cs="David"/>
          <w:rtl/>
        </w:rPr>
        <w:instrText xml:space="preserve"> </w:instrText>
      </w:r>
      <w:r>
        <w:rPr>
          <w:rFonts w:cs="David" w:hint="cs"/>
        </w:rPr>
        <w:instrText>NOTEREF</w:instrText>
      </w:r>
      <w:r>
        <w:rPr>
          <w:rFonts w:cs="David" w:hint="cs"/>
          <w:rtl/>
        </w:rPr>
        <w:instrText xml:space="preserve"> _</w:instrText>
      </w:r>
      <w:r>
        <w:rPr>
          <w:rFonts w:cs="David" w:hint="cs"/>
        </w:rPr>
        <w:instrText>Ref450296810 \h</w:instrText>
      </w:r>
      <w:r>
        <w:rPr>
          <w:rFonts w:cs="David"/>
          <w:rtl/>
        </w:rPr>
        <w:instrText xml:space="preserve"> </w:instrText>
      </w:r>
      <w:r>
        <w:rPr>
          <w:rFonts w:cs="David"/>
          <w:rtl/>
        </w:rPr>
      </w:r>
      <w:r>
        <w:rPr>
          <w:rFonts w:cs="David"/>
          <w:rtl/>
        </w:rPr>
        <w:fldChar w:fldCharType="separate"/>
      </w:r>
      <w:r>
        <w:rPr>
          <w:rFonts w:cs="David"/>
          <w:rtl/>
        </w:rPr>
        <w:t>183</w:t>
      </w:r>
      <w:r>
        <w:rPr>
          <w:rFonts w:cs="David"/>
          <w:rtl/>
        </w:rPr>
        <w:fldChar w:fldCharType="end"/>
      </w:r>
      <w:r>
        <w:rPr>
          <w:rFonts w:cs="David" w:hint="cs"/>
          <w:rtl/>
        </w:rPr>
        <w:t>, בעמוד</w:t>
      </w:r>
      <w:r w:rsidRPr="00203A2F">
        <w:rPr>
          <w:rFonts w:cs="David" w:hint="cs"/>
          <w:rtl/>
        </w:rPr>
        <w:t xml:space="preserve"> 338</w:t>
      </w:r>
      <w:r>
        <w:rPr>
          <w:rFonts w:cs="David" w:hint="cs"/>
          <w:rtl/>
        </w:rPr>
        <w:t>.</w:t>
      </w:r>
    </w:p>
  </w:footnote>
  <w:footnote w:id="203">
    <w:p w:rsidR="009B636F" w:rsidRPr="00203A2F" w:rsidRDefault="009B636F" w:rsidP="006D633D">
      <w:pPr>
        <w:pStyle w:val="a5"/>
        <w:jc w:val="both"/>
        <w:rPr>
          <w:rFonts w:cs="David"/>
          <w:rtl/>
        </w:rPr>
      </w:pPr>
      <w:r w:rsidRPr="00203A2F">
        <w:rPr>
          <w:rStyle w:val="a7"/>
          <w:rFonts w:cs="David"/>
        </w:rPr>
        <w:footnoteRef/>
      </w:r>
      <w:r w:rsidRPr="00203A2F">
        <w:rPr>
          <w:rFonts w:cs="David"/>
          <w:rtl/>
        </w:rPr>
        <w:t xml:space="preserve"> </w:t>
      </w:r>
      <w:r w:rsidRPr="00203A2F">
        <w:rPr>
          <w:rFonts w:cs="David" w:hint="cs"/>
          <w:rtl/>
        </w:rPr>
        <w:t>ראה דוח הוועדה, ה"ש</w:t>
      </w:r>
      <w:r>
        <w:rPr>
          <w:rFonts w:cs="David" w:hint="cs"/>
          <w:rtl/>
        </w:rPr>
        <w:t xml:space="preserve"> </w:t>
      </w:r>
      <w:r>
        <w:rPr>
          <w:rFonts w:cs="David"/>
          <w:rtl/>
        </w:rPr>
        <w:fldChar w:fldCharType="begin"/>
      </w:r>
      <w:r>
        <w:rPr>
          <w:rFonts w:cs="David"/>
          <w:rtl/>
        </w:rPr>
        <w:instrText xml:space="preserve"> </w:instrText>
      </w:r>
      <w:r>
        <w:rPr>
          <w:rFonts w:cs="David" w:hint="cs"/>
        </w:rPr>
        <w:instrText>NOTEREF</w:instrText>
      </w:r>
      <w:r>
        <w:rPr>
          <w:rFonts w:cs="David" w:hint="cs"/>
          <w:rtl/>
        </w:rPr>
        <w:instrText xml:space="preserve"> _</w:instrText>
      </w:r>
      <w:r>
        <w:rPr>
          <w:rFonts w:cs="David" w:hint="cs"/>
        </w:rPr>
        <w:instrText>Ref454793360 \h</w:instrText>
      </w:r>
      <w:r>
        <w:rPr>
          <w:rFonts w:cs="David"/>
          <w:rtl/>
        </w:rPr>
        <w:instrText xml:space="preserve"> </w:instrText>
      </w:r>
      <w:r>
        <w:rPr>
          <w:rFonts w:cs="David"/>
          <w:rtl/>
        </w:rPr>
      </w:r>
      <w:r>
        <w:rPr>
          <w:rFonts w:cs="David"/>
          <w:rtl/>
        </w:rPr>
        <w:fldChar w:fldCharType="separate"/>
      </w:r>
      <w:r>
        <w:rPr>
          <w:rFonts w:cs="David"/>
          <w:rtl/>
        </w:rPr>
        <w:t>286</w:t>
      </w:r>
      <w:r>
        <w:rPr>
          <w:rFonts w:cs="David"/>
          <w:rtl/>
        </w:rPr>
        <w:fldChar w:fldCharType="end"/>
      </w:r>
      <w:r w:rsidRPr="00203A2F">
        <w:rPr>
          <w:rFonts w:cs="David" w:hint="cs"/>
          <w:rtl/>
        </w:rPr>
        <w:t>.</w:t>
      </w:r>
    </w:p>
  </w:footnote>
  <w:footnote w:id="204">
    <w:p w:rsidR="009B636F" w:rsidRPr="00A04751" w:rsidRDefault="009B636F" w:rsidP="00397737">
      <w:pPr>
        <w:pStyle w:val="a5"/>
        <w:jc w:val="both"/>
        <w:rPr>
          <w:rFonts w:cs="David"/>
        </w:rPr>
      </w:pPr>
      <w:r>
        <w:rPr>
          <w:rStyle w:val="a7"/>
        </w:rPr>
        <w:footnoteRef/>
      </w:r>
      <w:r>
        <w:rPr>
          <w:rtl/>
        </w:rPr>
        <w:t xml:space="preserve"> </w:t>
      </w:r>
      <w:r>
        <w:rPr>
          <w:rFonts w:cs="David" w:hint="cs"/>
          <w:rtl/>
        </w:rPr>
        <w:t xml:space="preserve">ראה שורה ארוכה של אירועים בהקשר זה, ובראשם תפקידה של רובינסון בועידת דרבן ב-2001, שמונֶה ארגון </w:t>
      </w:r>
      <w:r>
        <w:rPr>
          <w:rFonts w:cs="David"/>
        </w:rPr>
        <w:t>UN Watch</w:t>
      </w:r>
      <w:r>
        <w:rPr>
          <w:rFonts w:cs="David" w:hint="cs"/>
          <w:rtl/>
        </w:rPr>
        <w:t xml:space="preserve"> במכתב פתוח ששלח לרובינסון לאחר שהוכרז על החלטת נשיא ארצות הברית ברק אובמה להעניק לה את המדליה הנשיאותית לחירות: </w:t>
      </w:r>
      <w:r w:rsidRPr="00A04751">
        <w:rPr>
          <w:rStyle w:val="aa"/>
          <w:rFonts w:cs="Arial"/>
          <w:b w:val="0"/>
          <w:bCs w:val="0"/>
        </w:rPr>
        <w:t>Watchdog Urges Ex-U.N. Rights Chief Mary Robinson to Answer Allegations</w:t>
      </w:r>
      <w:r w:rsidRPr="00A04751">
        <w:rPr>
          <w:rStyle w:val="apple-converted-space"/>
          <w:rFonts w:cs="Arial"/>
          <w:b/>
          <w:bCs/>
        </w:rPr>
        <w:t xml:space="preserve">, </w:t>
      </w:r>
      <w:r w:rsidRPr="00A04751">
        <w:rPr>
          <w:rStyle w:val="apple-converted-space"/>
          <w:rFonts w:cs="Arial"/>
        </w:rPr>
        <w:t>UN Watch,</w:t>
      </w:r>
      <w:r>
        <w:rPr>
          <w:rStyle w:val="apple-converted-space"/>
          <w:rFonts w:cs="Arial"/>
        </w:rPr>
        <w:t xml:space="preserve"> </w:t>
      </w:r>
      <w:r w:rsidRPr="00A04751">
        <w:rPr>
          <w:rStyle w:val="apple-converted-space"/>
          <w:rFonts w:cs="Arial"/>
        </w:rPr>
        <w:t>http://secure.unwatch.org/site/apps/nlnet/content2.aspx?c=bdKKISNqEmG&amp;b=1316871&amp;ct=7299449</w:t>
      </w:r>
    </w:p>
  </w:footnote>
  <w:footnote w:id="205">
    <w:p w:rsidR="009B636F" w:rsidRPr="005935C5" w:rsidRDefault="009B636F" w:rsidP="00397737">
      <w:pPr>
        <w:pStyle w:val="a5"/>
        <w:jc w:val="both"/>
      </w:pPr>
      <w:r>
        <w:rPr>
          <w:rStyle w:val="a7"/>
        </w:rPr>
        <w:footnoteRef/>
      </w:r>
      <w:r>
        <w:rPr>
          <w:rtl/>
        </w:rPr>
        <w:t xml:space="preserve"> </w:t>
      </w:r>
      <w:r>
        <w:t xml:space="preserve">Cowell Alan (1989), Tutu Urges Israelis to Pray for and Forgive Nazis, </w:t>
      </w:r>
      <w:r>
        <w:rPr>
          <w:b/>
          <w:bCs/>
        </w:rPr>
        <w:t>The New York Times</w:t>
      </w:r>
      <w:r>
        <w:t xml:space="preserve">, </w:t>
      </w:r>
      <w:r w:rsidRPr="005935C5">
        <w:t>http://www.nytimes.com/1989/12/27/world/tutu-urges-israelis-to-pray-for-and-forgive-nazis.html</w:t>
      </w:r>
    </w:p>
  </w:footnote>
  <w:footnote w:id="206">
    <w:p w:rsidR="009B636F" w:rsidRDefault="009B636F" w:rsidP="00F51ABB">
      <w:pPr>
        <w:pStyle w:val="a5"/>
        <w:jc w:val="both"/>
      </w:pPr>
      <w:r>
        <w:rPr>
          <w:rStyle w:val="a7"/>
        </w:rPr>
        <w:footnoteRef/>
      </w:r>
      <w:r>
        <w:rPr>
          <w:rtl/>
        </w:rPr>
        <w:t xml:space="preserve"> </w:t>
      </w:r>
      <w:r>
        <w:rPr>
          <w:rFonts w:hint="cs"/>
        </w:rPr>
        <w:t>T</w:t>
      </w:r>
      <w:r>
        <w:t xml:space="preserve">utu Desmond (2002), Apartheid in the Holy Land, </w:t>
      </w:r>
      <w:r>
        <w:rPr>
          <w:b/>
          <w:bCs/>
        </w:rPr>
        <w:t>The Guardian</w:t>
      </w:r>
      <w:r>
        <w:t xml:space="preserve">, </w:t>
      </w:r>
      <w:r w:rsidRPr="005935C5">
        <w:t>http://www.theguardian.com/world/2002/apr/29/comment</w:t>
      </w:r>
    </w:p>
  </w:footnote>
  <w:footnote w:id="207">
    <w:p w:rsidR="009B636F" w:rsidRDefault="009B636F" w:rsidP="00397737">
      <w:pPr>
        <w:pStyle w:val="a5"/>
        <w:jc w:val="both"/>
      </w:pPr>
      <w:r>
        <w:rPr>
          <w:rStyle w:val="a7"/>
        </w:rPr>
        <w:footnoteRef/>
      </w:r>
      <w:r>
        <w:rPr>
          <w:rtl/>
        </w:rPr>
        <w:t xml:space="preserve"> </w:t>
      </w:r>
      <w:r>
        <w:t xml:space="preserve">Shimoni Gideon (1988), South African Jews and the Apartheid Crisis, </w:t>
      </w:r>
      <w:r w:rsidRPr="004D34A3">
        <w:t>American Jewish Year Book (American Jewish Committee) 88, p. 50, available at http://www.ajcarchives.org/AJC_DATA/Files/1988_3_SpecialArticles.pdf</w:t>
      </w:r>
    </w:p>
  </w:footnote>
  <w:footnote w:id="208">
    <w:p w:rsidR="009B636F" w:rsidRDefault="009B636F" w:rsidP="00397737">
      <w:pPr>
        <w:pStyle w:val="a5"/>
        <w:jc w:val="both"/>
        <w:rPr>
          <w:rtl/>
        </w:rPr>
      </w:pPr>
      <w:r>
        <w:rPr>
          <w:rStyle w:val="a7"/>
        </w:rPr>
        <w:footnoteRef/>
      </w:r>
      <w:r>
        <w:rPr>
          <w:rtl/>
        </w:rPr>
        <w:t xml:space="preserve"> </w:t>
      </w:r>
      <w:r>
        <w:t xml:space="preserve">Cole Juan (2009), </w:t>
      </w:r>
      <w:r w:rsidRPr="002D24BB">
        <w:t>Israel’s bombardment of Gaza is not self-defence – it’s a war crime, http://www.juancole.com/2009/01/this-letter-of-attorneys-and-academics.html</w:t>
      </w:r>
    </w:p>
  </w:footnote>
  <w:footnote w:id="209">
    <w:p w:rsidR="009B636F" w:rsidRPr="00345E24" w:rsidRDefault="009B636F" w:rsidP="00FC0D4A">
      <w:pPr>
        <w:pStyle w:val="1"/>
        <w:shd w:val="clear" w:color="auto" w:fill="FFFFFF"/>
        <w:bidi/>
        <w:spacing w:before="0" w:beforeAutospacing="0" w:after="0" w:afterAutospacing="0"/>
        <w:jc w:val="both"/>
        <w:textAlignment w:val="baseline"/>
        <w:rPr>
          <w:rFonts w:asciiTheme="minorHAnsi" w:eastAsiaTheme="minorHAnsi" w:hAnsiTheme="minorHAnsi" w:cs="David"/>
          <w:b w:val="0"/>
          <w:bCs w:val="0"/>
          <w:kern w:val="0"/>
          <w:sz w:val="20"/>
          <w:szCs w:val="20"/>
          <w:rtl/>
        </w:rPr>
      </w:pPr>
      <w:r w:rsidRPr="00D44503">
        <w:rPr>
          <w:rStyle w:val="a7"/>
          <w:rFonts w:asciiTheme="minorHAnsi" w:hAnsiTheme="minorHAnsi"/>
          <w:b w:val="0"/>
          <w:bCs w:val="0"/>
          <w:sz w:val="20"/>
          <w:szCs w:val="20"/>
        </w:rPr>
        <w:footnoteRef/>
      </w:r>
      <w:r>
        <w:rPr>
          <w:rtl/>
        </w:rPr>
        <w:t xml:space="preserve"> </w:t>
      </w:r>
      <w:r>
        <w:rPr>
          <w:rFonts w:asciiTheme="minorHAnsi" w:eastAsiaTheme="minorHAnsi" w:hAnsiTheme="minorHAnsi" w:cs="David" w:hint="cs"/>
          <w:b w:val="0"/>
          <w:bCs w:val="0"/>
          <w:kern w:val="0"/>
          <w:sz w:val="20"/>
          <w:szCs w:val="20"/>
          <w:rtl/>
        </w:rPr>
        <w:t xml:space="preserve">בגילוי הדעת </w:t>
      </w:r>
      <w:r w:rsidRPr="00345E24">
        <w:rPr>
          <w:rFonts w:asciiTheme="minorHAnsi" w:eastAsiaTheme="minorHAnsi" w:hAnsiTheme="minorHAnsi" w:cs="David" w:hint="cs"/>
          <w:b w:val="0"/>
          <w:bCs w:val="0"/>
          <w:kern w:val="0"/>
          <w:sz w:val="20"/>
          <w:szCs w:val="20"/>
          <w:rtl/>
        </w:rPr>
        <w:t>נכתבו, בין היתר, הדברים הבאים:</w:t>
      </w:r>
    </w:p>
    <w:p w:rsidR="009B636F" w:rsidRPr="00345E24" w:rsidRDefault="009B636F" w:rsidP="00FC0D4A">
      <w:pPr>
        <w:pStyle w:val="1"/>
        <w:shd w:val="clear" w:color="auto" w:fill="FFFFFF"/>
        <w:bidi/>
        <w:spacing w:before="0" w:beforeAutospacing="0" w:after="0" w:afterAutospacing="0"/>
        <w:jc w:val="both"/>
        <w:textAlignment w:val="baseline"/>
        <w:rPr>
          <w:rFonts w:asciiTheme="minorHAnsi" w:eastAsiaTheme="minorHAnsi" w:hAnsiTheme="minorHAnsi" w:cs="David"/>
          <w:b w:val="0"/>
          <w:bCs w:val="0"/>
          <w:kern w:val="0"/>
          <w:sz w:val="20"/>
          <w:szCs w:val="20"/>
          <w:rtl/>
        </w:rPr>
      </w:pPr>
    </w:p>
    <w:p w:rsidR="009B636F" w:rsidRPr="00345E24" w:rsidRDefault="009B636F" w:rsidP="00FC0D4A">
      <w:pPr>
        <w:pStyle w:val="NormalWeb"/>
        <w:shd w:val="clear" w:color="auto" w:fill="FFFFFF"/>
        <w:spacing w:before="0" w:beforeAutospacing="0" w:after="0" w:afterAutospacing="0"/>
        <w:jc w:val="both"/>
        <w:textAlignment w:val="baseline"/>
        <w:rPr>
          <w:rFonts w:asciiTheme="minorHAnsi" w:eastAsiaTheme="minorHAnsi" w:hAnsiTheme="minorHAnsi" w:cs="David"/>
          <w:sz w:val="20"/>
          <w:szCs w:val="20"/>
        </w:rPr>
      </w:pPr>
      <w:r w:rsidRPr="00345E24">
        <w:rPr>
          <w:rFonts w:asciiTheme="minorHAnsi" w:eastAsiaTheme="minorHAnsi" w:hAnsiTheme="minorHAnsi" w:cs="David"/>
          <w:sz w:val="20"/>
          <w:szCs w:val="20"/>
        </w:rPr>
        <w:t>"ISRAEL has sought to justify its military attacks on Gaza by stating that it amounts to an act of “self-defence” (…) We categorically reject this contention.</w:t>
      </w:r>
    </w:p>
    <w:p w:rsidR="009B636F" w:rsidRPr="00345E24" w:rsidRDefault="009B636F" w:rsidP="00FC0D4A">
      <w:pPr>
        <w:pStyle w:val="NormalWeb"/>
        <w:shd w:val="clear" w:color="auto" w:fill="FFFFFF"/>
        <w:spacing w:before="0" w:beforeAutospacing="0" w:after="0" w:afterAutospacing="0"/>
        <w:jc w:val="both"/>
        <w:textAlignment w:val="baseline"/>
        <w:rPr>
          <w:rFonts w:asciiTheme="minorHAnsi" w:eastAsiaTheme="minorHAnsi" w:hAnsiTheme="minorHAnsi" w:cs="David"/>
          <w:sz w:val="20"/>
          <w:szCs w:val="20"/>
        </w:rPr>
      </w:pPr>
    </w:p>
    <w:p w:rsidR="009B636F" w:rsidRPr="00345E24" w:rsidRDefault="009B636F" w:rsidP="00FC0D4A">
      <w:pPr>
        <w:pStyle w:val="NormalWeb"/>
        <w:shd w:val="clear" w:color="auto" w:fill="FFFFFF"/>
        <w:spacing w:before="0" w:beforeAutospacing="0" w:after="0" w:afterAutospacing="0"/>
        <w:jc w:val="both"/>
        <w:textAlignment w:val="baseline"/>
        <w:rPr>
          <w:rFonts w:asciiTheme="minorHAnsi" w:eastAsiaTheme="minorHAnsi" w:hAnsiTheme="minorHAnsi" w:cs="David"/>
          <w:sz w:val="20"/>
          <w:szCs w:val="20"/>
        </w:rPr>
      </w:pPr>
      <w:r w:rsidRPr="00345E24">
        <w:rPr>
          <w:rFonts w:asciiTheme="minorHAnsi" w:eastAsiaTheme="minorHAnsi" w:hAnsiTheme="minorHAnsi" w:cs="David"/>
          <w:sz w:val="20"/>
          <w:szCs w:val="20"/>
        </w:rPr>
        <w:t>(…)</w:t>
      </w:r>
    </w:p>
    <w:p w:rsidR="009B636F" w:rsidRPr="00345E24" w:rsidRDefault="009B636F" w:rsidP="00FC0D4A">
      <w:pPr>
        <w:pStyle w:val="NormalWeb"/>
        <w:shd w:val="clear" w:color="auto" w:fill="FFFFFF"/>
        <w:spacing w:before="0" w:beforeAutospacing="0" w:after="0" w:afterAutospacing="0"/>
        <w:jc w:val="both"/>
        <w:textAlignment w:val="baseline"/>
        <w:rPr>
          <w:rFonts w:asciiTheme="minorHAnsi" w:eastAsiaTheme="minorHAnsi" w:hAnsiTheme="minorHAnsi" w:cs="David"/>
          <w:sz w:val="20"/>
          <w:szCs w:val="20"/>
        </w:rPr>
      </w:pPr>
    </w:p>
    <w:p w:rsidR="009B636F" w:rsidRPr="00345E24" w:rsidRDefault="009B636F" w:rsidP="00FC0D4A">
      <w:pPr>
        <w:pStyle w:val="NormalWeb"/>
        <w:shd w:val="clear" w:color="auto" w:fill="FFFFFF"/>
        <w:spacing w:before="0" w:beforeAutospacing="0" w:after="0" w:afterAutospacing="0"/>
        <w:jc w:val="both"/>
        <w:textAlignment w:val="baseline"/>
        <w:rPr>
          <w:rFonts w:asciiTheme="minorHAnsi" w:eastAsiaTheme="minorHAnsi" w:hAnsiTheme="minorHAnsi" w:cs="David"/>
          <w:sz w:val="20"/>
          <w:szCs w:val="20"/>
        </w:rPr>
      </w:pPr>
      <w:r w:rsidRPr="00345E24">
        <w:rPr>
          <w:rFonts w:asciiTheme="minorHAnsi" w:eastAsiaTheme="minorHAnsi" w:hAnsiTheme="minorHAnsi" w:cs="David"/>
          <w:sz w:val="20"/>
          <w:szCs w:val="20"/>
        </w:rPr>
        <w:t>The killing of almost 800 Palestinians, mostly civilians, and more than 3,000 injuries, accompanied by the destruction of schools, mosques, houses, UN compounds and government buildings, which Israel has a responsibility to protect under the Fourth Geneva Convention, is not commensurate to the deaths caused by Hamas rocket fire.</w:t>
      </w:r>
    </w:p>
    <w:p w:rsidR="009B636F" w:rsidRPr="00345E24" w:rsidRDefault="009B636F" w:rsidP="00FC0D4A">
      <w:pPr>
        <w:pStyle w:val="NormalWeb"/>
        <w:shd w:val="clear" w:color="auto" w:fill="FFFFFF"/>
        <w:spacing w:before="0" w:beforeAutospacing="0" w:after="0" w:afterAutospacing="0"/>
        <w:jc w:val="both"/>
        <w:textAlignment w:val="baseline"/>
        <w:rPr>
          <w:rFonts w:asciiTheme="minorHAnsi" w:eastAsiaTheme="minorHAnsi" w:hAnsiTheme="minorHAnsi" w:cs="David"/>
          <w:sz w:val="20"/>
          <w:szCs w:val="20"/>
        </w:rPr>
      </w:pPr>
    </w:p>
    <w:p w:rsidR="009B636F" w:rsidRPr="00345E24" w:rsidRDefault="009B636F" w:rsidP="00FC0D4A">
      <w:pPr>
        <w:pStyle w:val="NormalWeb"/>
        <w:shd w:val="clear" w:color="auto" w:fill="FFFFFF"/>
        <w:spacing w:before="0" w:beforeAutospacing="0" w:after="0" w:afterAutospacing="0"/>
        <w:jc w:val="both"/>
        <w:textAlignment w:val="baseline"/>
        <w:rPr>
          <w:rFonts w:asciiTheme="minorHAnsi" w:eastAsiaTheme="minorHAnsi" w:hAnsiTheme="minorHAnsi" w:cs="David"/>
          <w:sz w:val="20"/>
          <w:szCs w:val="20"/>
        </w:rPr>
      </w:pPr>
      <w:r w:rsidRPr="00345E24">
        <w:rPr>
          <w:rFonts w:asciiTheme="minorHAnsi" w:eastAsiaTheme="minorHAnsi" w:hAnsiTheme="minorHAnsi" w:cs="David"/>
          <w:sz w:val="20"/>
          <w:szCs w:val="20"/>
        </w:rPr>
        <w:t>For 18 months Israel had imposed an unlawful blockade on the coastal strip that brought Gazan society to the brink of collapse(...) Throughout this time the Gaza Strip remained occupied territory under international law because Israel maintained effective control over it.</w:t>
      </w:r>
    </w:p>
    <w:p w:rsidR="009B636F" w:rsidRPr="00345E24" w:rsidRDefault="009B636F" w:rsidP="00FC0D4A">
      <w:pPr>
        <w:pStyle w:val="NormalWeb"/>
        <w:shd w:val="clear" w:color="auto" w:fill="FFFFFF"/>
        <w:spacing w:before="0" w:beforeAutospacing="0" w:after="0" w:afterAutospacing="0"/>
        <w:jc w:val="both"/>
        <w:textAlignment w:val="baseline"/>
        <w:rPr>
          <w:rFonts w:asciiTheme="minorHAnsi" w:eastAsiaTheme="minorHAnsi" w:hAnsiTheme="minorHAnsi" w:cs="David"/>
          <w:sz w:val="20"/>
          <w:szCs w:val="20"/>
        </w:rPr>
      </w:pPr>
    </w:p>
    <w:p w:rsidR="009B636F" w:rsidRPr="00345E24" w:rsidRDefault="009B636F" w:rsidP="00FC0D4A">
      <w:pPr>
        <w:pStyle w:val="NormalWeb"/>
        <w:shd w:val="clear" w:color="auto" w:fill="FFFFFF"/>
        <w:spacing w:before="0" w:beforeAutospacing="0" w:after="0" w:afterAutospacing="0"/>
        <w:jc w:val="both"/>
        <w:textAlignment w:val="baseline"/>
        <w:rPr>
          <w:rFonts w:asciiTheme="minorHAnsi" w:eastAsiaTheme="minorHAnsi" w:hAnsiTheme="minorHAnsi" w:cs="David"/>
          <w:sz w:val="20"/>
          <w:szCs w:val="20"/>
        </w:rPr>
      </w:pPr>
      <w:r w:rsidRPr="00345E24">
        <w:rPr>
          <w:rFonts w:asciiTheme="minorHAnsi" w:eastAsiaTheme="minorHAnsi" w:hAnsiTheme="minorHAnsi" w:cs="David"/>
          <w:sz w:val="20"/>
          <w:szCs w:val="20"/>
        </w:rPr>
        <w:t>Israel’s actions amount to aggression, not self-defence, not least because its assault on Gaza was unnecessary. Israel could have agreed to renew the truce with Hamas. Instead it killed 225 Palestinians on the first day of its attack. As things stand, its invasion and bombardment of Gaza amounts to collective punishment of Gaza’s 1.5m inhabitants(…) In addition, the blockade of humanitarian relief, the destruction of civilian infrastructure, and preventing access to basic necessities such as food and fuel, are prima facie war crimes.</w:t>
      </w:r>
    </w:p>
    <w:p w:rsidR="009B636F" w:rsidRPr="00345E24" w:rsidRDefault="009B636F" w:rsidP="00FC0D4A">
      <w:pPr>
        <w:pStyle w:val="NormalWeb"/>
        <w:shd w:val="clear" w:color="auto" w:fill="FFFFFF"/>
        <w:spacing w:before="0" w:beforeAutospacing="0" w:after="0" w:afterAutospacing="0"/>
        <w:jc w:val="both"/>
        <w:textAlignment w:val="baseline"/>
        <w:rPr>
          <w:rFonts w:asciiTheme="minorHAnsi" w:eastAsiaTheme="minorHAnsi" w:hAnsiTheme="minorHAnsi" w:cs="David"/>
          <w:sz w:val="20"/>
          <w:szCs w:val="20"/>
        </w:rPr>
      </w:pPr>
    </w:p>
    <w:p w:rsidR="009B636F" w:rsidRDefault="009B636F">
      <w:pPr>
        <w:pStyle w:val="a5"/>
        <w:bidi w:val="0"/>
        <w:jc w:val="both"/>
        <w:rPr>
          <w:rtl/>
        </w:rPr>
      </w:pPr>
      <w:r w:rsidRPr="00345E24">
        <w:rPr>
          <w:rFonts w:cs="David"/>
        </w:rPr>
        <w:t>(…)</w:t>
      </w:r>
      <w:r>
        <w:rPr>
          <w:rFonts w:cs="David"/>
        </w:rPr>
        <w:t>"</w:t>
      </w:r>
    </w:p>
  </w:footnote>
  <w:footnote w:id="210">
    <w:p w:rsidR="009B636F" w:rsidRPr="002D24BB" w:rsidRDefault="009B636F" w:rsidP="00397737">
      <w:pPr>
        <w:pStyle w:val="a5"/>
        <w:jc w:val="both"/>
        <w:rPr>
          <w:rFonts w:cs="David"/>
          <w:rtl/>
        </w:rPr>
      </w:pPr>
      <w:r>
        <w:rPr>
          <w:rStyle w:val="a7"/>
        </w:rPr>
        <w:footnoteRef/>
      </w:r>
      <w:r>
        <w:rPr>
          <w:rtl/>
        </w:rPr>
        <w:t xml:space="preserve"> </w:t>
      </w:r>
      <w:r>
        <w:rPr>
          <w:rFonts w:cs="David" w:hint="cs"/>
          <w:rtl/>
        </w:rPr>
        <w:t xml:space="preserve">ראה לדוגמה </w:t>
      </w:r>
      <w:r w:rsidRPr="00412312">
        <w:rPr>
          <w:rStyle w:val="aa"/>
          <w:rFonts w:cs="Arial"/>
          <w:b w:val="0"/>
          <w:bCs w:val="0"/>
          <w:color w:val="000000"/>
        </w:rPr>
        <w:t>Request to Disqualify Prof. Christine Chinkin</w:t>
      </w:r>
      <w:r>
        <w:rPr>
          <w:rFonts w:cs="Arial"/>
          <w:b/>
          <w:bCs/>
          <w:color w:val="000000"/>
        </w:rPr>
        <w:t xml:space="preserve"> </w:t>
      </w:r>
      <w:r>
        <w:rPr>
          <w:rStyle w:val="aa"/>
          <w:rFonts w:cs="Arial"/>
          <w:b w:val="0"/>
          <w:bCs w:val="0"/>
          <w:color w:val="000000"/>
        </w:rPr>
        <w:t>f</w:t>
      </w:r>
      <w:r w:rsidRPr="00412312">
        <w:rPr>
          <w:rStyle w:val="aa"/>
          <w:rFonts w:cs="Arial"/>
          <w:b w:val="0"/>
          <w:bCs w:val="0"/>
          <w:color w:val="000000"/>
        </w:rPr>
        <w:t>rom UN Fact Finding Mission on the Gaza Conflict, UN Watch, available at http://docslide.us/documents/un-watch-request-to-disqualify-prof-christine-chinkin-from-un-gaza-inquiry.html</w:t>
      </w:r>
    </w:p>
  </w:footnote>
  <w:footnote w:id="211">
    <w:p w:rsidR="009B636F" w:rsidRDefault="009B636F" w:rsidP="00397737">
      <w:pPr>
        <w:pStyle w:val="a5"/>
        <w:jc w:val="both"/>
      </w:pPr>
      <w:r>
        <w:rPr>
          <w:rStyle w:val="a7"/>
        </w:rPr>
        <w:footnoteRef/>
      </w:r>
      <w:r>
        <w:rPr>
          <w:rtl/>
        </w:rPr>
        <w:t xml:space="preserve"> </w:t>
      </w:r>
      <w:r w:rsidRPr="008D1F8B">
        <w:rPr>
          <w:rStyle w:val="aa"/>
          <w:rFonts w:cs="Arial"/>
          <w:b w:val="0"/>
          <w:bCs w:val="0"/>
          <w:color w:val="000000"/>
        </w:rPr>
        <w:t xml:space="preserve">Gold Dore (2010), </w:t>
      </w:r>
      <w:r w:rsidRPr="008D1F8B">
        <w:rPr>
          <w:rStyle w:val="aa"/>
          <w:rFonts w:cs="Arial"/>
          <w:b w:val="0"/>
          <w:bCs w:val="0"/>
        </w:rPr>
        <w:t xml:space="preserve">New Revelations About the UN Goldstone Report that Seriously Undermine its Credibility, </w:t>
      </w:r>
      <w:r w:rsidRPr="008D1F8B">
        <w:rPr>
          <w:rStyle w:val="aa"/>
          <w:rFonts w:cs="Arial"/>
        </w:rPr>
        <w:t>Jerusalem Center for Public Affairs</w:t>
      </w:r>
      <w:r w:rsidRPr="008D1F8B">
        <w:rPr>
          <w:rStyle w:val="aa"/>
          <w:rFonts w:cs="Arial"/>
          <w:b w:val="0"/>
          <w:bCs w:val="0"/>
        </w:rPr>
        <w:t>, http://jcpa.org/article/new-revelations-about-the-un-goldstone-report-that-seriously-undermine-its-credibility/#sthash.IRJzqKEg.dpuf</w:t>
      </w:r>
    </w:p>
  </w:footnote>
  <w:footnote w:id="212">
    <w:p w:rsidR="009B636F" w:rsidRDefault="009B636F">
      <w:pPr>
        <w:spacing w:after="0" w:line="240" w:lineRule="auto"/>
        <w:jc w:val="both"/>
        <w:rPr>
          <w:rFonts w:cs="David"/>
          <w:sz w:val="20"/>
          <w:szCs w:val="20"/>
          <w:rtl/>
        </w:rPr>
      </w:pPr>
      <w:r>
        <w:rPr>
          <w:rStyle w:val="a7"/>
        </w:rPr>
        <w:footnoteRef/>
      </w:r>
      <w:r>
        <w:rPr>
          <w:rtl/>
        </w:rPr>
        <w:t xml:space="preserve"> </w:t>
      </w:r>
      <w:r w:rsidRPr="00D44503">
        <w:rPr>
          <w:rFonts w:cs="David" w:hint="cs"/>
          <w:sz w:val="20"/>
          <w:szCs w:val="20"/>
          <w:rtl/>
        </w:rPr>
        <w:t>במאמר</w:t>
      </w:r>
      <w:r w:rsidRPr="00D44503">
        <w:rPr>
          <w:rFonts w:cs="David"/>
          <w:sz w:val="20"/>
          <w:szCs w:val="20"/>
          <w:rtl/>
        </w:rPr>
        <w:t xml:space="preserve"> </w:t>
      </w:r>
      <w:r w:rsidRPr="00D44503">
        <w:rPr>
          <w:rFonts w:cs="David" w:hint="cs"/>
          <w:sz w:val="20"/>
          <w:szCs w:val="20"/>
          <w:rtl/>
        </w:rPr>
        <w:t>מתואר</w:t>
      </w:r>
      <w:r w:rsidRPr="00D44503">
        <w:rPr>
          <w:rFonts w:cs="David"/>
          <w:sz w:val="20"/>
          <w:szCs w:val="20"/>
          <w:rtl/>
        </w:rPr>
        <w:t xml:space="preserve"> </w:t>
      </w:r>
      <w:r w:rsidRPr="00D44503">
        <w:rPr>
          <w:rFonts w:cs="David" w:hint="cs"/>
          <w:sz w:val="20"/>
          <w:szCs w:val="20"/>
          <w:rtl/>
        </w:rPr>
        <w:t>כיצד</w:t>
      </w:r>
      <w:r w:rsidRPr="00D44503">
        <w:rPr>
          <w:rFonts w:cs="David"/>
          <w:sz w:val="20"/>
          <w:szCs w:val="20"/>
          <w:rtl/>
        </w:rPr>
        <w:t xml:space="preserve"> </w:t>
      </w:r>
      <w:r w:rsidRPr="00D44503">
        <w:rPr>
          <w:rFonts w:cs="David" w:hint="cs"/>
          <w:sz w:val="20"/>
          <w:szCs w:val="20"/>
          <w:rtl/>
        </w:rPr>
        <w:t>במהלך</w:t>
      </w:r>
      <w:r w:rsidRPr="00D44503">
        <w:rPr>
          <w:rFonts w:cs="David"/>
          <w:sz w:val="20"/>
          <w:szCs w:val="20"/>
          <w:rtl/>
        </w:rPr>
        <w:t xml:space="preserve"> </w:t>
      </w:r>
      <w:r w:rsidRPr="00D44503">
        <w:rPr>
          <w:rFonts w:cs="David" w:hint="cs"/>
          <w:sz w:val="20"/>
          <w:szCs w:val="20"/>
          <w:rtl/>
        </w:rPr>
        <w:t>עבודת</w:t>
      </w:r>
      <w:r w:rsidRPr="00D44503">
        <w:rPr>
          <w:rFonts w:cs="David"/>
          <w:sz w:val="20"/>
          <w:szCs w:val="20"/>
          <w:rtl/>
        </w:rPr>
        <w:t xml:space="preserve"> </w:t>
      </w:r>
      <w:r w:rsidRPr="00D44503">
        <w:rPr>
          <w:rFonts w:cs="David" w:hint="cs"/>
          <w:sz w:val="20"/>
          <w:szCs w:val="20"/>
          <w:rtl/>
        </w:rPr>
        <w:t>הוועדה</w:t>
      </w:r>
      <w:r w:rsidRPr="00D44503">
        <w:rPr>
          <w:rFonts w:cs="David"/>
          <w:sz w:val="20"/>
          <w:szCs w:val="20"/>
          <w:rtl/>
        </w:rPr>
        <w:t xml:space="preserve"> </w:t>
      </w:r>
      <w:r w:rsidRPr="00D44503">
        <w:rPr>
          <w:rFonts w:cs="David" w:hint="cs"/>
          <w:sz w:val="20"/>
          <w:szCs w:val="20"/>
          <w:rtl/>
        </w:rPr>
        <w:t>ביקש</w:t>
      </w:r>
      <w:r w:rsidRPr="00D44503">
        <w:rPr>
          <w:rFonts w:cs="David"/>
          <w:sz w:val="20"/>
          <w:szCs w:val="20"/>
          <w:rtl/>
        </w:rPr>
        <w:t xml:space="preserve"> </w:t>
      </w:r>
      <w:r w:rsidRPr="00D44503">
        <w:rPr>
          <w:rFonts w:cs="David" w:hint="cs"/>
          <w:sz w:val="20"/>
          <w:szCs w:val="20"/>
          <w:rtl/>
        </w:rPr>
        <w:t>טרוורס</w:t>
      </w:r>
      <w:r w:rsidRPr="00D44503">
        <w:rPr>
          <w:rFonts w:cs="David"/>
          <w:sz w:val="20"/>
          <w:szCs w:val="20"/>
          <w:rtl/>
        </w:rPr>
        <w:t xml:space="preserve"> </w:t>
      </w:r>
      <w:r w:rsidRPr="00D44503">
        <w:rPr>
          <w:rFonts w:cs="David" w:hint="cs"/>
          <w:sz w:val="20"/>
          <w:szCs w:val="20"/>
          <w:rtl/>
        </w:rPr>
        <w:t>מפסיכולוגים</w:t>
      </w:r>
      <w:r w:rsidRPr="00D44503">
        <w:rPr>
          <w:rFonts w:cs="David"/>
          <w:sz w:val="20"/>
          <w:szCs w:val="20"/>
          <w:rtl/>
        </w:rPr>
        <w:t xml:space="preserve"> </w:t>
      </w:r>
      <w:r w:rsidRPr="00D44503">
        <w:rPr>
          <w:rFonts w:cs="David" w:hint="cs"/>
          <w:sz w:val="20"/>
          <w:szCs w:val="20"/>
          <w:rtl/>
        </w:rPr>
        <w:t>פלסטינים</w:t>
      </w:r>
      <w:r w:rsidRPr="00D44503">
        <w:rPr>
          <w:rFonts w:cs="David"/>
          <w:sz w:val="20"/>
          <w:szCs w:val="20"/>
          <w:rtl/>
        </w:rPr>
        <w:t xml:space="preserve"> </w:t>
      </w:r>
      <w:r w:rsidRPr="00D44503">
        <w:rPr>
          <w:rFonts w:cs="David" w:hint="cs"/>
          <w:sz w:val="20"/>
          <w:szCs w:val="20"/>
          <w:rtl/>
        </w:rPr>
        <w:t>להסביר</w:t>
      </w:r>
      <w:r w:rsidRPr="00D44503">
        <w:rPr>
          <w:rFonts w:cs="David"/>
          <w:sz w:val="20"/>
          <w:szCs w:val="20"/>
          <w:rtl/>
        </w:rPr>
        <w:t xml:space="preserve"> </w:t>
      </w:r>
      <w:r w:rsidRPr="00D44503">
        <w:rPr>
          <w:rFonts w:cs="David" w:hint="cs"/>
          <w:sz w:val="20"/>
          <w:szCs w:val="20"/>
          <w:rtl/>
        </w:rPr>
        <w:t>כיצד</w:t>
      </w:r>
      <w:r w:rsidRPr="00D44503">
        <w:rPr>
          <w:rFonts w:cs="David"/>
          <w:sz w:val="20"/>
          <w:szCs w:val="20"/>
          <w:rtl/>
        </w:rPr>
        <w:t xml:space="preserve"> </w:t>
      </w:r>
      <w:r w:rsidRPr="00D44503">
        <w:rPr>
          <w:rFonts w:cs="David" w:hint="cs"/>
          <w:sz w:val="20"/>
          <w:szCs w:val="20"/>
          <w:rtl/>
        </w:rPr>
        <w:t>יכלו</w:t>
      </w:r>
      <w:r w:rsidRPr="00D44503">
        <w:rPr>
          <w:rFonts w:cs="David"/>
          <w:sz w:val="20"/>
          <w:szCs w:val="20"/>
          <w:rtl/>
        </w:rPr>
        <w:t xml:space="preserve"> </w:t>
      </w:r>
      <w:r w:rsidRPr="00D44503">
        <w:rPr>
          <w:rFonts w:cs="David" w:hint="cs"/>
          <w:sz w:val="20"/>
          <w:szCs w:val="20"/>
          <w:rtl/>
        </w:rPr>
        <w:t>חיילים</w:t>
      </w:r>
      <w:r w:rsidRPr="00D44503">
        <w:rPr>
          <w:rFonts w:cs="David"/>
          <w:sz w:val="20"/>
          <w:szCs w:val="20"/>
          <w:rtl/>
        </w:rPr>
        <w:t xml:space="preserve"> </w:t>
      </w:r>
      <w:r w:rsidRPr="00D44503">
        <w:rPr>
          <w:rFonts w:cs="David" w:hint="cs"/>
          <w:sz w:val="20"/>
          <w:szCs w:val="20"/>
          <w:rtl/>
        </w:rPr>
        <w:t>ישראלים</w:t>
      </w:r>
      <w:r w:rsidRPr="00D44503">
        <w:rPr>
          <w:rFonts w:cs="David"/>
          <w:sz w:val="20"/>
          <w:szCs w:val="20"/>
          <w:rtl/>
        </w:rPr>
        <w:t xml:space="preserve"> </w:t>
      </w:r>
      <w:r w:rsidRPr="00D44503">
        <w:rPr>
          <w:rFonts w:cs="David" w:hint="cs"/>
          <w:sz w:val="20"/>
          <w:szCs w:val="20"/>
          <w:rtl/>
        </w:rPr>
        <w:t>להרוג</w:t>
      </w:r>
      <w:r w:rsidRPr="00D44503">
        <w:rPr>
          <w:rFonts w:cs="David"/>
          <w:sz w:val="20"/>
          <w:szCs w:val="20"/>
          <w:rtl/>
        </w:rPr>
        <w:t xml:space="preserve"> </w:t>
      </w:r>
      <w:r w:rsidRPr="00D44503">
        <w:rPr>
          <w:rFonts w:cs="David" w:hint="cs"/>
          <w:sz w:val="20"/>
          <w:szCs w:val="20"/>
          <w:rtl/>
        </w:rPr>
        <w:t>ילדים</w:t>
      </w:r>
      <w:r w:rsidRPr="00D44503">
        <w:rPr>
          <w:rFonts w:cs="David"/>
          <w:sz w:val="20"/>
          <w:szCs w:val="20"/>
          <w:rtl/>
        </w:rPr>
        <w:t xml:space="preserve"> </w:t>
      </w:r>
      <w:r w:rsidRPr="00D44503">
        <w:rPr>
          <w:rFonts w:cs="David" w:hint="cs"/>
          <w:sz w:val="20"/>
          <w:szCs w:val="20"/>
          <w:rtl/>
        </w:rPr>
        <w:t>פלסטינים</w:t>
      </w:r>
      <w:r w:rsidRPr="00D44503">
        <w:rPr>
          <w:rFonts w:cs="David"/>
          <w:sz w:val="20"/>
          <w:szCs w:val="20"/>
          <w:rtl/>
        </w:rPr>
        <w:t xml:space="preserve"> </w:t>
      </w:r>
      <w:r w:rsidRPr="00D44503">
        <w:rPr>
          <w:rFonts w:cs="David" w:hint="cs"/>
          <w:sz w:val="20"/>
          <w:szCs w:val="20"/>
          <w:rtl/>
        </w:rPr>
        <w:t>אל</w:t>
      </w:r>
      <w:r w:rsidRPr="00D44503">
        <w:rPr>
          <w:rFonts w:cs="David"/>
          <w:sz w:val="20"/>
          <w:szCs w:val="20"/>
          <w:rtl/>
        </w:rPr>
        <w:t xml:space="preserve"> </w:t>
      </w:r>
      <w:r w:rsidRPr="00D44503">
        <w:rPr>
          <w:rFonts w:cs="David" w:hint="cs"/>
          <w:sz w:val="20"/>
          <w:szCs w:val="20"/>
          <w:rtl/>
        </w:rPr>
        <w:t>מול</w:t>
      </w:r>
      <w:r w:rsidRPr="00D44503">
        <w:rPr>
          <w:rFonts w:cs="David"/>
          <w:sz w:val="20"/>
          <w:szCs w:val="20"/>
          <w:rtl/>
        </w:rPr>
        <w:t xml:space="preserve"> </w:t>
      </w:r>
      <w:r w:rsidRPr="00D44503">
        <w:rPr>
          <w:rFonts w:cs="David" w:hint="cs"/>
          <w:sz w:val="20"/>
          <w:szCs w:val="20"/>
          <w:rtl/>
        </w:rPr>
        <w:t>הוריהם</w:t>
      </w:r>
      <w:r w:rsidRPr="00D44503">
        <w:rPr>
          <w:rFonts w:cs="David"/>
          <w:sz w:val="20"/>
          <w:szCs w:val="20"/>
          <w:rtl/>
        </w:rPr>
        <w:t xml:space="preserve">. </w:t>
      </w:r>
      <w:r w:rsidRPr="00D44503">
        <w:rPr>
          <w:rFonts w:cs="David" w:hint="cs"/>
          <w:sz w:val="20"/>
          <w:szCs w:val="20"/>
          <w:rtl/>
        </w:rPr>
        <w:t>בראיון</w:t>
      </w:r>
      <w:r w:rsidRPr="00D44503">
        <w:rPr>
          <w:rFonts w:cs="David"/>
          <w:sz w:val="20"/>
          <w:szCs w:val="20"/>
          <w:rtl/>
        </w:rPr>
        <w:t xml:space="preserve"> </w:t>
      </w:r>
      <w:r w:rsidRPr="00D44503">
        <w:rPr>
          <w:rFonts w:cs="David" w:hint="cs"/>
          <w:sz w:val="20"/>
          <w:szCs w:val="20"/>
          <w:rtl/>
        </w:rPr>
        <w:t>שנתן</w:t>
      </w:r>
      <w:r w:rsidRPr="00D44503">
        <w:rPr>
          <w:rFonts w:cs="David"/>
          <w:sz w:val="20"/>
          <w:szCs w:val="20"/>
          <w:rtl/>
        </w:rPr>
        <w:t xml:space="preserve"> </w:t>
      </w:r>
      <w:r w:rsidRPr="00D44503">
        <w:rPr>
          <w:rFonts w:cs="David" w:hint="cs"/>
          <w:sz w:val="20"/>
          <w:szCs w:val="20"/>
          <w:rtl/>
        </w:rPr>
        <w:t>הוא</w:t>
      </w:r>
      <w:r w:rsidRPr="00D44503">
        <w:rPr>
          <w:rFonts w:cs="David"/>
          <w:sz w:val="20"/>
          <w:szCs w:val="20"/>
          <w:rtl/>
        </w:rPr>
        <w:t xml:space="preserve"> </w:t>
      </w:r>
      <w:r w:rsidRPr="00D44503">
        <w:rPr>
          <w:rFonts w:cs="David" w:hint="cs"/>
          <w:sz w:val="20"/>
          <w:szCs w:val="20"/>
          <w:rtl/>
        </w:rPr>
        <w:t>טען</w:t>
      </w:r>
      <w:r w:rsidRPr="00D44503">
        <w:rPr>
          <w:rFonts w:cs="David"/>
          <w:sz w:val="20"/>
          <w:szCs w:val="20"/>
          <w:rtl/>
        </w:rPr>
        <w:t xml:space="preserve"> </w:t>
      </w:r>
      <w:r w:rsidRPr="00D44503">
        <w:rPr>
          <w:rFonts w:cs="David" w:hint="cs"/>
          <w:sz w:val="20"/>
          <w:szCs w:val="20"/>
          <w:rtl/>
        </w:rPr>
        <w:t>כי</w:t>
      </w:r>
      <w:r w:rsidRPr="00D44503">
        <w:rPr>
          <w:rFonts w:cs="David"/>
          <w:sz w:val="20"/>
          <w:szCs w:val="20"/>
          <w:rtl/>
        </w:rPr>
        <w:t xml:space="preserve"> </w:t>
      </w:r>
      <w:r w:rsidRPr="00D44503">
        <w:rPr>
          <w:rFonts w:cs="David" w:hint="cs"/>
          <w:sz w:val="20"/>
          <w:szCs w:val="20"/>
          <w:rtl/>
        </w:rPr>
        <w:t>בעבר</w:t>
      </w:r>
      <w:r w:rsidRPr="00D44503">
        <w:rPr>
          <w:rFonts w:cs="David"/>
          <w:sz w:val="20"/>
          <w:szCs w:val="20"/>
          <w:rtl/>
        </w:rPr>
        <w:t xml:space="preserve"> </w:t>
      </w:r>
      <w:r w:rsidRPr="00D44503">
        <w:rPr>
          <w:rFonts w:cs="David" w:hint="cs"/>
          <w:sz w:val="20"/>
          <w:szCs w:val="20"/>
          <w:rtl/>
        </w:rPr>
        <w:t>הוציאו</w:t>
      </w:r>
      <w:r w:rsidRPr="00D44503">
        <w:rPr>
          <w:rFonts w:cs="David"/>
          <w:sz w:val="20"/>
          <w:szCs w:val="20"/>
          <w:rtl/>
        </w:rPr>
        <w:t xml:space="preserve"> </w:t>
      </w:r>
      <w:r w:rsidRPr="00D44503">
        <w:rPr>
          <w:rFonts w:cs="David" w:hint="cs"/>
          <w:sz w:val="20"/>
          <w:szCs w:val="20"/>
          <w:rtl/>
        </w:rPr>
        <w:t>חיילים</w:t>
      </w:r>
      <w:r w:rsidRPr="00D44503">
        <w:rPr>
          <w:rFonts w:cs="David"/>
          <w:sz w:val="20"/>
          <w:szCs w:val="20"/>
          <w:rtl/>
        </w:rPr>
        <w:t xml:space="preserve"> </w:t>
      </w:r>
      <w:r w:rsidRPr="00D44503">
        <w:rPr>
          <w:rFonts w:cs="David" w:hint="cs"/>
          <w:sz w:val="20"/>
          <w:szCs w:val="20"/>
          <w:rtl/>
        </w:rPr>
        <w:t>ישראלים</w:t>
      </w:r>
      <w:r w:rsidRPr="00D44503">
        <w:rPr>
          <w:rFonts w:cs="David"/>
          <w:sz w:val="20"/>
          <w:szCs w:val="20"/>
          <w:rtl/>
        </w:rPr>
        <w:t xml:space="preserve"> </w:t>
      </w:r>
      <w:r w:rsidRPr="00D44503">
        <w:rPr>
          <w:rFonts w:cs="David" w:hint="cs"/>
          <w:sz w:val="20"/>
          <w:szCs w:val="20"/>
          <w:rtl/>
        </w:rPr>
        <w:t>חיילי</w:t>
      </w:r>
      <w:r w:rsidRPr="00D44503">
        <w:rPr>
          <w:rFonts w:cs="David"/>
          <w:sz w:val="20"/>
          <w:szCs w:val="20"/>
          <w:rtl/>
        </w:rPr>
        <w:t xml:space="preserve"> </w:t>
      </w:r>
      <w:r w:rsidRPr="00D44503">
        <w:rPr>
          <w:rFonts w:cs="David" w:hint="cs"/>
          <w:sz w:val="20"/>
          <w:szCs w:val="20"/>
          <w:rtl/>
        </w:rPr>
        <w:t>שמירת</w:t>
      </w:r>
      <w:r w:rsidRPr="00D44503">
        <w:rPr>
          <w:rFonts w:cs="David"/>
          <w:sz w:val="20"/>
          <w:szCs w:val="20"/>
          <w:rtl/>
        </w:rPr>
        <w:t xml:space="preserve"> </w:t>
      </w:r>
      <w:r w:rsidRPr="00D44503">
        <w:rPr>
          <w:rFonts w:cs="David" w:hint="cs"/>
          <w:sz w:val="20"/>
          <w:szCs w:val="20"/>
          <w:rtl/>
        </w:rPr>
        <w:t>שלום</w:t>
      </w:r>
      <w:r w:rsidRPr="00D44503">
        <w:rPr>
          <w:rFonts w:cs="David"/>
          <w:sz w:val="20"/>
          <w:szCs w:val="20"/>
          <w:rtl/>
        </w:rPr>
        <w:t xml:space="preserve"> </w:t>
      </w:r>
      <w:r w:rsidRPr="00D44503">
        <w:rPr>
          <w:rFonts w:cs="David" w:hint="cs"/>
          <w:sz w:val="20"/>
          <w:szCs w:val="20"/>
          <w:rtl/>
        </w:rPr>
        <w:t>איריים</w:t>
      </w:r>
      <w:r w:rsidRPr="00D44503">
        <w:rPr>
          <w:rFonts w:cs="David"/>
          <w:sz w:val="20"/>
          <w:szCs w:val="20"/>
          <w:rtl/>
        </w:rPr>
        <w:t xml:space="preserve"> </w:t>
      </w:r>
      <w:r w:rsidRPr="00D44503">
        <w:rPr>
          <w:rFonts w:cs="David" w:hint="cs"/>
          <w:sz w:val="20"/>
          <w:szCs w:val="20"/>
          <w:rtl/>
        </w:rPr>
        <w:t>בדרום</w:t>
      </w:r>
      <w:r w:rsidRPr="00D44503">
        <w:rPr>
          <w:rFonts w:cs="David"/>
          <w:sz w:val="20"/>
          <w:szCs w:val="20"/>
          <w:rtl/>
        </w:rPr>
        <w:t xml:space="preserve"> </w:t>
      </w:r>
      <w:r w:rsidRPr="00D44503">
        <w:rPr>
          <w:rFonts w:cs="David" w:hint="cs"/>
          <w:sz w:val="20"/>
          <w:szCs w:val="20"/>
          <w:rtl/>
        </w:rPr>
        <w:t>לבנון</w:t>
      </w:r>
      <w:r w:rsidRPr="00D44503">
        <w:rPr>
          <w:rFonts w:cs="David"/>
          <w:sz w:val="20"/>
          <w:szCs w:val="20"/>
          <w:rtl/>
        </w:rPr>
        <w:t xml:space="preserve"> </w:t>
      </w:r>
      <w:r w:rsidRPr="00D44503">
        <w:rPr>
          <w:rFonts w:cs="David" w:hint="cs"/>
          <w:sz w:val="20"/>
          <w:szCs w:val="20"/>
          <w:rtl/>
        </w:rPr>
        <w:t>וירו</w:t>
      </w:r>
      <w:r w:rsidRPr="00D44503">
        <w:rPr>
          <w:rFonts w:cs="David"/>
          <w:sz w:val="20"/>
          <w:szCs w:val="20"/>
          <w:rtl/>
        </w:rPr>
        <w:t xml:space="preserve"> </w:t>
      </w:r>
      <w:r w:rsidRPr="00D44503">
        <w:rPr>
          <w:rFonts w:cs="David" w:hint="cs"/>
          <w:sz w:val="20"/>
          <w:szCs w:val="20"/>
          <w:rtl/>
        </w:rPr>
        <w:t>בהם</w:t>
      </w:r>
      <w:r w:rsidRPr="00D44503">
        <w:rPr>
          <w:rFonts w:cs="David"/>
          <w:sz w:val="20"/>
          <w:szCs w:val="20"/>
          <w:rtl/>
        </w:rPr>
        <w:t xml:space="preserve"> </w:t>
      </w:r>
      <w:r w:rsidRPr="00D44503">
        <w:rPr>
          <w:rFonts w:cs="David" w:hint="cs"/>
          <w:sz w:val="20"/>
          <w:szCs w:val="20"/>
          <w:rtl/>
        </w:rPr>
        <w:t>בכוונה</w:t>
      </w:r>
      <w:r w:rsidRPr="00D44503">
        <w:rPr>
          <w:rFonts w:cs="David"/>
          <w:sz w:val="20"/>
          <w:szCs w:val="20"/>
          <w:rtl/>
        </w:rPr>
        <w:t xml:space="preserve">. </w:t>
      </w:r>
      <w:r w:rsidRPr="00D44503">
        <w:rPr>
          <w:rFonts w:cs="David" w:hint="cs"/>
          <w:sz w:val="20"/>
          <w:szCs w:val="20"/>
          <w:rtl/>
        </w:rPr>
        <w:t>טרוורס</w:t>
      </w:r>
      <w:r w:rsidRPr="00D44503">
        <w:rPr>
          <w:rFonts w:cs="David"/>
          <w:sz w:val="20"/>
          <w:szCs w:val="20"/>
          <w:rtl/>
        </w:rPr>
        <w:t xml:space="preserve"> </w:t>
      </w:r>
      <w:r w:rsidRPr="00D44503">
        <w:rPr>
          <w:rFonts w:cs="David" w:hint="cs"/>
          <w:sz w:val="20"/>
          <w:szCs w:val="20"/>
          <w:rtl/>
        </w:rPr>
        <w:t>מכחיש</w:t>
      </w:r>
      <w:r w:rsidRPr="00D44503">
        <w:rPr>
          <w:rFonts w:cs="David"/>
          <w:sz w:val="20"/>
          <w:szCs w:val="20"/>
          <w:rtl/>
        </w:rPr>
        <w:t xml:space="preserve"> </w:t>
      </w:r>
      <w:r w:rsidRPr="00D44503">
        <w:rPr>
          <w:rFonts w:cs="David" w:hint="cs"/>
          <w:sz w:val="20"/>
          <w:szCs w:val="20"/>
          <w:rtl/>
        </w:rPr>
        <w:t>כי</w:t>
      </w:r>
      <w:r w:rsidRPr="00D44503">
        <w:rPr>
          <w:rFonts w:cs="David"/>
          <w:sz w:val="20"/>
          <w:szCs w:val="20"/>
          <w:rtl/>
        </w:rPr>
        <w:t xml:space="preserve"> </w:t>
      </w:r>
      <w:r w:rsidRPr="00D44503">
        <w:rPr>
          <w:rFonts w:cs="David" w:hint="cs"/>
          <w:sz w:val="20"/>
          <w:szCs w:val="20"/>
          <w:rtl/>
        </w:rPr>
        <w:t>חמאס</w:t>
      </w:r>
      <w:r w:rsidRPr="00D44503">
        <w:rPr>
          <w:rFonts w:cs="David"/>
          <w:sz w:val="20"/>
          <w:szCs w:val="20"/>
          <w:rtl/>
        </w:rPr>
        <w:t xml:space="preserve"> </w:t>
      </w:r>
      <w:r w:rsidRPr="00D44503">
        <w:rPr>
          <w:rFonts w:cs="David" w:hint="cs"/>
          <w:sz w:val="20"/>
          <w:szCs w:val="20"/>
          <w:rtl/>
        </w:rPr>
        <w:t>הפחיד</w:t>
      </w:r>
      <w:r w:rsidRPr="00D44503">
        <w:rPr>
          <w:rFonts w:cs="David"/>
          <w:sz w:val="20"/>
          <w:szCs w:val="20"/>
          <w:rtl/>
        </w:rPr>
        <w:t xml:space="preserve"> </w:t>
      </w:r>
      <w:r w:rsidRPr="00D44503">
        <w:rPr>
          <w:rFonts w:cs="David" w:hint="cs"/>
          <w:sz w:val="20"/>
          <w:szCs w:val="20"/>
          <w:rtl/>
        </w:rPr>
        <w:t>עדים</w:t>
      </w:r>
      <w:r w:rsidRPr="00D44503">
        <w:rPr>
          <w:rFonts w:cs="David"/>
          <w:sz w:val="20"/>
          <w:szCs w:val="20"/>
          <w:rtl/>
        </w:rPr>
        <w:t xml:space="preserve"> </w:t>
      </w:r>
      <w:r w:rsidRPr="00D44503">
        <w:rPr>
          <w:rFonts w:cs="David" w:hint="cs"/>
          <w:sz w:val="20"/>
          <w:szCs w:val="20"/>
          <w:rtl/>
        </w:rPr>
        <w:t>שהעידו</w:t>
      </w:r>
      <w:r w:rsidRPr="00D44503">
        <w:rPr>
          <w:rFonts w:cs="David"/>
          <w:sz w:val="20"/>
          <w:szCs w:val="20"/>
          <w:rtl/>
        </w:rPr>
        <w:t xml:space="preserve"> </w:t>
      </w:r>
      <w:r w:rsidRPr="00D44503">
        <w:rPr>
          <w:rFonts w:cs="David" w:hint="cs"/>
          <w:sz w:val="20"/>
          <w:szCs w:val="20"/>
          <w:rtl/>
        </w:rPr>
        <w:t>בפני</w:t>
      </w:r>
      <w:r w:rsidRPr="00D44503">
        <w:rPr>
          <w:rFonts w:cs="David"/>
          <w:sz w:val="20"/>
          <w:szCs w:val="20"/>
          <w:rtl/>
        </w:rPr>
        <w:t xml:space="preserve"> </w:t>
      </w:r>
      <w:r w:rsidRPr="00D44503">
        <w:rPr>
          <w:rFonts w:cs="David" w:hint="cs"/>
          <w:sz w:val="20"/>
          <w:szCs w:val="20"/>
          <w:rtl/>
        </w:rPr>
        <w:t>הוועדה</w:t>
      </w:r>
      <w:r w:rsidRPr="00D44503">
        <w:rPr>
          <w:rFonts w:cs="David"/>
          <w:sz w:val="20"/>
          <w:szCs w:val="20"/>
          <w:rtl/>
        </w:rPr>
        <w:t xml:space="preserve">, </w:t>
      </w:r>
      <w:r w:rsidRPr="00D44503">
        <w:rPr>
          <w:rFonts w:cs="David" w:hint="cs"/>
          <w:sz w:val="20"/>
          <w:szCs w:val="20"/>
          <w:rtl/>
        </w:rPr>
        <w:t>למרות</w:t>
      </w:r>
      <w:r w:rsidRPr="00D44503">
        <w:rPr>
          <w:rFonts w:cs="David"/>
          <w:sz w:val="20"/>
          <w:szCs w:val="20"/>
          <w:rtl/>
        </w:rPr>
        <w:t xml:space="preserve"> </w:t>
      </w:r>
      <w:r w:rsidRPr="00D44503">
        <w:rPr>
          <w:rFonts w:cs="David" w:hint="cs"/>
          <w:sz w:val="20"/>
          <w:szCs w:val="20"/>
          <w:rtl/>
        </w:rPr>
        <w:t>שעובדה</w:t>
      </w:r>
      <w:r w:rsidRPr="00D44503">
        <w:rPr>
          <w:rFonts w:cs="David"/>
          <w:sz w:val="20"/>
          <w:szCs w:val="20"/>
          <w:rtl/>
        </w:rPr>
        <w:t xml:space="preserve"> </w:t>
      </w:r>
      <w:r w:rsidRPr="00D44503">
        <w:rPr>
          <w:rFonts w:cs="David" w:hint="cs"/>
          <w:sz w:val="20"/>
          <w:szCs w:val="20"/>
          <w:rtl/>
        </w:rPr>
        <w:t>זו</w:t>
      </w:r>
      <w:r w:rsidRPr="00D44503">
        <w:rPr>
          <w:rFonts w:cs="David"/>
          <w:sz w:val="20"/>
          <w:szCs w:val="20"/>
          <w:rtl/>
        </w:rPr>
        <w:t xml:space="preserve"> </w:t>
      </w:r>
      <w:r w:rsidRPr="00D44503">
        <w:rPr>
          <w:rFonts w:cs="David" w:hint="cs"/>
          <w:sz w:val="20"/>
          <w:szCs w:val="20"/>
          <w:rtl/>
        </w:rPr>
        <w:t>מצוינת</w:t>
      </w:r>
      <w:r w:rsidRPr="00D44503">
        <w:rPr>
          <w:rFonts w:cs="David"/>
          <w:sz w:val="20"/>
          <w:szCs w:val="20"/>
          <w:rtl/>
        </w:rPr>
        <w:t xml:space="preserve"> </w:t>
      </w:r>
      <w:r w:rsidRPr="00D44503">
        <w:rPr>
          <w:rFonts w:cs="David" w:hint="cs"/>
          <w:sz w:val="20"/>
          <w:szCs w:val="20"/>
          <w:rtl/>
        </w:rPr>
        <w:t>בדוח</w:t>
      </w:r>
      <w:r w:rsidRPr="00D44503">
        <w:rPr>
          <w:rFonts w:cs="David"/>
          <w:sz w:val="20"/>
          <w:szCs w:val="20"/>
          <w:rtl/>
        </w:rPr>
        <w:t xml:space="preserve"> </w:t>
      </w:r>
      <w:r w:rsidRPr="00D44503">
        <w:rPr>
          <w:rFonts w:cs="David" w:hint="cs"/>
          <w:sz w:val="20"/>
          <w:szCs w:val="20"/>
          <w:rtl/>
        </w:rPr>
        <w:t>הוועדה</w:t>
      </w:r>
      <w:r w:rsidRPr="00D44503">
        <w:rPr>
          <w:rFonts w:cs="David"/>
          <w:sz w:val="20"/>
          <w:szCs w:val="20"/>
          <w:rtl/>
        </w:rPr>
        <w:t xml:space="preserve"> </w:t>
      </w:r>
      <w:r w:rsidRPr="00D44503">
        <w:rPr>
          <w:rFonts w:cs="David" w:hint="cs"/>
          <w:sz w:val="20"/>
          <w:szCs w:val="20"/>
          <w:rtl/>
        </w:rPr>
        <w:t>עצמו</w:t>
      </w:r>
      <w:r w:rsidRPr="00D44503">
        <w:rPr>
          <w:rFonts w:cs="David"/>
          <w:sz w:val="20"/>
          <w:szCs w:val="20"/>
          <w:rtl/>
        </w:rPr>
        <w:t xml:space="preserve">. </w:t>
      </w:r>
      <w:r w:rsidRPr="00D44503">
        <w:rPr>
          <w:rFonts w:cs="David" w:hint="cs"/>
          <w:sz w:val="20"/>
          <w:szCs w:val="20"/>
          <w:rtl/>
        </w:rPr>
        <w:t>הוא</w:t>
      </w:r>
      <w:r w:rsidRPr="00D44503">
        <w:rPr>
          <w:rFonts w:cs="David"/>
          <w:sz w:val="20"/>
          <w:szCs w:val="20"/>
          <w:rtl/>
        </w:rPr>
        <w:t xml:space="preserve"> </w:t>
      </w:r>
      <w:r w:rsidRPr="00D44503">
        <w:rPr>
          <w:rFonts w:cs="David" w:hint="cs"/>
          <w:sz w:val="20"/>
          <w:szCs w:val="20"/>
          <w:rtl/>
        </w:rPr>
        <w:t>גם</w:t>
      </w:r>
      <w:r w:rsidRPr="00D44503">
        <w:rPr>
          <w:rFonts w:cs="David"/>
          <w:sz w:val="20"/>
          <w:szCs w:val="20"/>
          <w:rtl/>
        </w:rPr>
        <w:t xml:space="preserve"> </w:t>
      </w:r>
      <w:r w:rsidRPr="00D44503">
        <w:rPr>
          <w:rFonts w:cs="David" w:hint="cs"/>
          <w:sz w:val="20"/>
          <w:szCs w:val="20"/>
          <w:rtl/>
        </w:rPr>
        <w:t>דוחה</w:t>
      </w:r>
      <w:r w:rsidRPr="00D44503">
        <w:rPr>
          <w:rFonts w:cs="David"/>
          <w:sz w:val="20"/>
          <w:szCs w:val="20"/>
          <w:rtl/>
        </w:rPr>
        <w:t xml:space="preserve"> </w:t>
      </w:r>
      <w:r w:rsidRPr="00D44503">
        <w:rPr>
          <w:rFonts w:cs="David" w:hint="cs"/>
          <w:sz w:val="20"/>
          <w:szCs w:val="20"/>
          <w:rtl/>
        </w:rPr>
        <w:t>את</w:t>
      </w:r>
      <w:r w:rsidRPr="00D44503">
        <w:rPr>
          <w:rFonts w:cs="David"/>
          <w:sz w:val="20"/>
          <w:szCs w:val="20"/>
          <w:rtl/>
        </w:rPr>
        <w:t xml:space="preserve"> </w:t>
      </w:r>
      <w:r w:rsidRPr="00D44503">
        <w:rPr>
          <w:rFonts w:cs="David" w:hint="cs"/>
          <w:sz w:val="20"/>
          <w:szCs w:val="20"/>
          <w:rtl/>
        </w:rPr>
        <w:t>הרעיון</w:t>
      </w:r>
      <w:r w:rsidRPr="00D44503">
        <w:rPr>
          <w:rFonts w:cs="David"/>
          <w:sz w:val="20"/>
          <w:szCs w:val="20"/>
          <w:rtl/>
        </w:rPr>
        <w:t xml:space="preserve"> </w:t>
      </w:r>
      <w:r w:rsidRPr="00D44503">
        <w:rPr>
          <w:rFonts w:cs="David" w:hint="cs"/>
          <w:sz w:val="20"/>
          <w:szCs w:val="20"/>
          <w:rtl/>
        </w:rPr>
        <w:t>שחמאס</w:t>
      </w:r>
      <w:r w:rsidRPr="00D44503">
        <w:rPr>
          <w:rFonts w:cs="David"/>
          <w:sz w:val="20"/>
          <w:szCs w:val="20"/>
          <w:rtl/>
        </w:rPr>
        <w:t xml:space="preserve"> </w:t>
      </w:r>
      <w:r w:rsidRPr="00D44503">
        <w:rPr>
          <w:rFonts w:cs="David" w:hint="cs"/>
          <w:sz w:val="20"/>
          <w:szCs w:val="20"/>
          <w:rtl/>
        </w:rPr>
        <w:t>השתמש</w:t>
      </w:r>
      <w:r w:rsidRPr="00D44503">
        <w:rPr>
          <w:rFonts w:cs="David"/>
          <w:sz w:val="20"/>
          <w:szCs w:val="20"/>
          <w:rtl/>
        </w:rPr>
        <w:t xml:space="preserve"> </w:t>
      </w:r>
      <w:r w:rsidRPr="00D44503">
        <w:rPr>
          <w:rFonts w:cs="David" w:hint="cs"/>
          <w:sz w:val="20"/>
          <w:szCs w:val="20"/>
          <w:rtl/>
        </w:rPr>
        <w:t>באוכלוסייה</w:t>
      </w:r>
      <w:r w:rsidRPr="00D44503">
        <w:rPr>
          <w:rFonts w:cs="David"/>
          <w:sz w:val="20"/>
          <w:szCs w:val="20"/>
          <w:rtl/>
        </w:rPr>
        <w:t xml:space="preserve"> </w:t>
      </w:r>
      <w:r w:rsidRPr="00D44503">
        <w:rPr>
          <w:rFonts w:cs="David" w:hint="cs"/>
          <w:sz w:val="20"/>
          <w:szCs w:val="20"/>
          <w:rtl/>
        </w:rPr>
        <w:t>האזרחית</w:t>
      </w:r>
      <w:r w:rsidRPr="00D44503">
        <w:rPr>
          <w:rFonts w:cs="David"/>
          <w:sz w:val="20"/>
          <w:szCs w:val="20"/>
          <w:rtl/>
        </w:rPr>
        <w:t xml:space="preserve"> </w:t>
      </w:r>
      <w:r w:rsidRPr="00D44503">
        <w:rPr>
          <w:rFonts w:cs="David" w:hint="cs"/>
          <w:sz w:val="20"/>
          <w:szCs w:val="20"/>
          <w:rtl/>
        </w:rPr>
        <w:t>כמגנים</w:t>
      </w:r>
      <w:r w:rsidRPr="00D44503">
        <w:rPr>
          <w:rFonts w:cs="David"/>
          <w:sz w:val="20"/>
          <w:szCs w:val="20"/>
          <w:rtl/>
        </w:rPr>
        <w:t xml:space="preserve"> </w:t>
      </w:r>
      <w:r w:rsidRPr="00D44503">
        <w:rPr>
          <w:rFonts w:cs="David" w:hint="cs"/>
          <w:sz w:val="20"/>
          <w:szCs w:val="20"/>
          <w:rtl/>
        </w:rPr>
        <w:t>אנושיים</w:t>
      </w:r>
      <w:r w:rsidRPr="00D44503">
        <w:rPr>
          <w:rFonts w:cs="David"/>
          <w:sz w:val="20"/>
          <w:szCs w:val="20"/>
          <w:rtl/>
        </w:rPr>
        <w:t xml:space="preserve"> </w:t>
      </w:r>
      <w:r w:rsidRPr="00D44503">
        <w:rPr>
          <w:rFonts w:cs="David" w:hint="cs"/>
          <w:sz w:val="20"/>
          <w:szCs w:val="20"/>
          <w:rtl/>
        </w:rPr>
        <w:t>לכוחותיו</w:t>
      </w:r>
      <w:r w:rsidRPr="00D44503">
        <w:rPr>
          <w:rFonts w:cs="David"/>
          <w:sz w:val="20"/>
          <w:szCs w:val="20"/>
          <w:rtl/>
        </w:rPr>
        <w:t xml:space="preserve"> </w:t>
      </w:r>
      <w:r w:rsidRPr="00D44503">
        <w:rPr>
          <w:rFonts w:cs="David" w:hint="cs"/>
          <w:sz w:val="20"/>
          <w:szCs w:val="20"/>
          <w:rtl/>
        </w:rPr>
        <w:t>ואת</w:t>
      </w:r>
      <w:r w:rsidRPr="00D44503">
        <w:rPr>
          <w:rFonts w:cs="David"/>
          <w:sz w:val="20"/>
          <w:szCs w:val="20"/>
          <w:rtl/>
        </w:rPr>
        <w:t xml:space="preserve"> </w:t>
      </w:r>
      <w:r w:rsidRPr="00D44503">
        <w:rPr>
          <w:rFonts w:cs="David" w:hint="cs"/>
          <w:sz w:val="20"/>
          <w:szCs w:val="20"/>
          <w:rtl/>
        </w:rPr>
        <w:t>הרעיון</w:t>
      </w:r>
      <w:r w:rsidRPr="00D44503">
        <w:rPr>
          <w:rFonts w:cs="David"/>
          <w:sz w:val="20"/>
          <w:szCs w:val="20"/>
          <w:rtl/>
        </w:rPr>
        <w:t xml:space="preserve"> </w:t>
      </w:r>
      <w:r w:rsidRPr="00D44503">
        <w:rPr>
          <w:rFonts w:cs="David" w:hint="cs"/>
          <w:sz w:val="20"/>
          <w:szCs w:val="20"/>
          <w:rtl/>
        </w:rPr>
        <w:t>שישראל</w:t>
      </w:r>
      <w:r w:rsidRPr="00D44503">
        <w:rPr>
          <w:rFonts w:cs="David"/>
          <w:sz w:val="20"/>
          <w:szCs w:val="20"/>
          <w:rtl/>
        </w:rPr>
        <w:t xml:space="preserve"> </w:t>
      </w:r>
      <w:r w:rsidRPr="00D44503">
        <w:rPr>
          <w:rFonts w:cs="David" w:hint="cs"/>
          <w:sz w:val="20"/>
          <w:szCs w:val="20"/>
          <w:rtl/>
        </w:rPr>
        <w:t>התמודדה</w:t>
      </w:r>
      <w:r w:rsidRPr="00D44503">
        <w:rPr>
          <w:rFonts w:cs="David"/>
          <w:sz w:val="20"/>
          <w:szCs w:val="20"/>
          <w:rtl/>
        </w:rPr>
        <w:t xml:space="preserve"> </w:t>
      </w:r>
      <w:r w:rsidRPr="00D44503">
        <w:rPr>
          <w:rFonts w:cs="David" w:hint="cs"/>
          <w:sz w:val="20"/>
          <w:szCs w:val="20"/>
          <w:rtl/>
        </w:rPr>
        <w:t>עם</w:t>
      </w:r>
      <w:r w:rsidRPr="00D44503">
        <w:rPr>
          <w:rFonts w:cs="David"/>
          <w:sz w:val="20"/>
          <w:szCs w:val="20"/>
          <w:rtl/>
        </w:rPr>
        <w:t xml:space="preserve"> </w:t>
      </w:r>
      <w:r w:rsidRPr="00D44503">
        <w:rPr>
          <w:rFonts w:cs="David" w:hint="cs"/>
          <w:sz w:val="20"/>
          <w:szCs w:val="20"/>
          <w:rtl/>
        </w:rPr>
        <w:t>לוחמה</w:t>
      </w:r>
      <w:r w:rsidRPr="00D44503">
        <w:rPr>
          <w:rFonts w:cs="David"/>
          <w:sz w:val="20"/>
          <w:szCs w:val="20"/>
          <w:rtl/>
        </w:rPr>
        <w:t xml:space="preserve"> </w:t>
      </w:r>
      <w:r w:rsidRPr="00D44503">
        <w:rPr>
          <w:rFonts w:cs="David" w:hint="cs"/>
          <w:sz w:val="20"/>
          <w:szCs w:val="20"/>
          <w:rtl/>
        </w:rPr>
        <w:t>אסימטרית</w:t>
      </w:r>
      <w:r w:rsidRPr="00D44503">
        <w:rPr>
          <w:rFonts w:cs="David"/>
          <w:sz w:val="20"/>
          <w:szCs w:val="20"/>
          <w:rtl/>
        </w:rPr>
        <w:t xml:space="preserve">. </w:t>
      </w:r>
      <w:r w:rsidRPr="00D44503">
        <w:rPr>
          <w:rFonts w:cs="David" w:hint="cs"/>
          <w:sz w:val="20"/>
          <w:szCs w:val="20"/>
          <w:rtl/>
        </w:rPr>
        <w:t>עוד</w:t>
      </w:r>
      <w:r w:rsidRPr="00D44503">
        <w:rPr>
          <w:rFonts w:cs="David"/>
          <w:sz w:val="20"/>
          <w:szCs w:val="20"/>
          <w:rtl/>
        </w:rPr>
        <w:t xml:space="preserve"> </w:t>
      </w:r>
      <w:r w:rsidRPr="00D44503">
        <w:rPr>
          <w:rFonts w:cs="David" w:hint="cs"/>
          <w:sz w:val="20"/>
          <w:szCs w:val="20"/>
          <w:rtl/>
        </w:rPr>
        <w:t>טען</w:t>
      </w:r>
      <w:r w:rsidRPr="00D44503">
        <w:rPr>
          <w:rFonts w:cs="David"/>
          <w:sz w:val="20"/>
          <w:szCs w:val="20"/>
          <w:rtl/>
        </w:rPr>
        <w:t xml:space="preserve"> </w:t>
      </w:r>
      <w:r w:rsidRPr="00D44503">
        <w:rPr>
          <w:rFonts w:cs="David" w:hint="cs"/>
          <w:sz w:val="20"/>
          <w:szCs w:val="20"/>
          <w:rtl/>
        </w:rPr>
        <w:t>טרוורס</w:t>
      </w:r>
      <w:r w:rsidRPr="00D44503">
        <w:rPr>
          <w:rFonts w:cs="David"/>
          <w:sz w:val="20"/>
          <w:szCs w:val="20"/>
          <w:rtl/>
        </w:rPr>
        <w:t xml:space="preserve"> </w:t>
      </w:r>
      <w:r w:rsidRPr="00D44503">
        <w:rPr>
          <w:rFonts w:cs="David" w:hint="cs"/>
          <w:sz w:val="20"/>
          <w:szCs w:val="20"/>
          <w:rtl/>
        </w:rPr>
        <w:t>כי</w:t>
      </w:r>
      <w:r w:rsidRPr="00D44503">
        <w:rPr>
          <w:rFonts w:cs="David"/>
          <w:sz w:val="20"/>
          <w:szCs w:val="20"/>
          <w:rtl/>
        </w:rPr>
        <w:t xml:space="preserve"> </w:t>
      </w:r>
      <w:r w:rsidRPr="00D44503">
        <w:rPr>
          <w:rFonts w:cs="David" w:hint="cs"/>
          <w:sz w:val="20"/>
          <w:szCs w:val="20"/>
          <w:rtl/>
        </w:rPr>
        <w:t>לישראל</w:t>
      </w:r>
      <w:r w:rsidRPr="00D44503">
        <w:rPr>
          <w:rFonts w:cs="David"/>
          <w:sz w:val="20"/>
          <w:szCs w:val="20"/>
          <w:rtl/>
        </w:rPr>
        <w:t xml:space="preserve"> </w:t>
      </w:r>
      <w:r w:rsidRPr="00D44503">
        <w:rPr>
          <w:rFonts w:cs="David" w:hint="cs"/>
          <w:sz w:val="20"/>
          <w:szCs w:val="20"/>
          <w:rtl/>
        </w:rPr>
        <w:t>היו</w:t>
      </w:r>
      <w:r w:rsidRPr="00D44503">
        <w:rPr>
          <w:rFonts w:cs="David"/>
          <w:sz w:val="20"/>
          <w:szCs w:val="20"/>
          <w:rtl/>
        </w:rPr>
        <w:t xml:space="preserve"> </w:t>
      </w:r>
      <w:r w:rsidRPr="00D44503">
        <w:rPr>
          <w:rFonts w:cs="David" w:hint="cs"/>
          <w:sz w:val="20"/>
          <w:szCs w:val="20"/>
          <w:rtl/>
        </w:rPr>
        <w:t>מזל</w:t>
      </w:r>
      <w:r w:rsidRPr="00D44503">
        <w:rPr>
          <w:rFonts w:cs="David"/>
          <w:sz w:val="20"/>
          <w:szCs w:val="20"/>
          <w:rtl/>
        </w:rPr>
        <w:t>"</w:t>
      </w:r>
      <w:r w:rsidRPr="00D44503">
        <w:rPr>
          <w:rFonts w:cs="David" w:hint="cs"/>
          <w:sz w:val="20"/>
          <w:szCs w:val="20"/>
          <w:rtl/>
        </w:rPr>
        <w:t>טים</w:t>
      </w:r>
      <w:r w:rsidRPr="00D44503">
        <w:rPr>
          <w:rFonts w:cs="David"/>
          <w:sz w:val="20"/>
          <w:szCs w:val="20"/>
          <w:rtl/>
        </w:rPr>
        <w:t xml:space="preserve"> </w:t>
      </w:r>
      <w:r w:rsidRPr="00D44503">
        <w:rPr>
          <w:rFonts w:cs="David" w:hint="cs"/>
          <w:sz w:val="20"/>
          <w:szCs w:val="20"/>
          <w:rtl/>
        </w:rPr>
        <w:t>שיכלו</w:t>
      </w:r>
      <w:r w:rsidRPr="00D44503">
        <w:rPr>
          <w:rFonts w:cs="David"/>
          <w:sz w:val="20"/>
          <w:szCs w:val="20"/>
          <w:rtl/>
        </w:rPr>
        <w:t xml:space="preserve"> </w:t>
      </w:r>
      <w:r w:rsidRPr="00D44503">
        <w:rPr>
          <w:rFonts w:cs="David" w:hint="cs"/>
          <w:sz w:val="20"/>
          <w:szCs w:val="20"/>
          <w:rtl/>
        </w:rPr>
        <w:t>לדעת</w:t>
      </w:r>
      <w:r w:rsidRPr="00D44503">
        <w:rPr>
          <w:rFonts w:cs="David"/>
          <w:sz w:val="20"/>
          <w:szCs w:val="20"/>
          <w:rtl/>
        </w:rPr>
        <w:t xml:space="preserve"> </w:t>
      </w:r>
      <w:r w:rsidRPr="00D44503">
        <w:rPr>
          <w:rFonts w:cs="David" w:hint="cs"/>
          <w:sz w:val="20"/>
          <w:szCs w:val="20"/>
          <w:rtl/>
        </w:rPr>
        <w:t>באמצעות</w:t>
      </w:r>
      <w:r w:rsidRPr="00D44503">
        <w:rPr>
          <w:rFonts w:cs="David"/>
          <w:sz w:val="20"/>
          <w:szCs w:val="20"/>
          <w:rtl/>
        </w:rPr>
        <w:t xml:space="preserve"> </w:t>
      </w:r>
      <w:r w:rsidRPr="00D44503">
        <w:rPr>
          <w:rFonts w:cs="David" w:hint="cs"/>
          <w:sz w:val="20"/>
          <w:szCs w:val="20"/>
          <w:rtl/>
        </w:rPr>
        <w:t>חתימה</w:t>
      </w:r>
      <w:r w:rsidRPr="00D44503">
        <w:rPr>
          <w:rFonts w:cs="David"/>
          <w:sz w:val="20"/>
          <w:szCs w:val="20"/>
          <w:rtl/>
        </w:rPr>
        <w:t xml:space="preserve"> </w:t>
      </w:r>
      <w:r w:rsidRPr="00D44503">
        <w:rPr>
          <w:rFonts w:cs="David" w:hint="cs"/>
          <w:sz w:val="20"/>
          <w:szCs w:val="20"/>
          <w:rtl/>
        </w:rPr>
        <w:t>תֶרמית</w:t>
      </w:r>
      <w:r w:rsidRPr="00D44503">
        <w:rPr>
          <w:rFonts w:cs="David"/>
          <w:sz w:val="20"/>
          <w:szCs w:val="20"/>
          <w:rtl/>
        </w:rPr>
        <w:t xml:space="preserve"> </w:t>
      </w:r>
      <w:r w:rsidRPr="00D44503">
        <w:rPr>
          <w:rFonts w:cs="David" w:hint="cs"/>
          <w:sz w:val="20"/>
          <w:szCs w:val="20"/>
          <w:rtl/>
        </w:rPr>
        <w:t>כמה</w:t>
      </w:r>
      <w:r w:rsidRPr="00D44503">
        <w:rPr>
          <w:rFonts w:cs="David"/>
          <w:sz w:val="20"/>
          <w:szCs w:val="20"/>
          <w:rtl/>
        </w:rPr>
        <w:t xml:space="preserve"> </w:t>
      </w:r>
      <w:r w:rsidRPr="00D44503">
        <w:rPr>
          <w:rFonts w:cs="David" w:hint="cs"/>
          <w:sz w:val="20"/>
          <w:szCs w:val="20"/>
          <w:rtl/>
        </w:rPr>
        <w:t>אנשים</w:t>
      </w:r>
      <w:r w:rsidRPr="00D44503">
        <w:rPr>
          <w:rFonts w:cs="David"/>
          <w:sz w:val="20"/>
          <w:szCs w:val="20"/>
          <w:rtl/>
        </w:rPr>
        <w:t xml:space="preserve"> </w:t>
      </w:r>
      <w:r w:rsidRPr="00D44503">
        <w:rPr>
          <w:rFonts w:cs="David" w:hint="cs"/>
          <w:sz w:val="20"/>
          <w:szCs w:val="20"/>
          <w:rtl/>
        </w:rPr>
        <w:t>היו</w:t>
      </w:r>
      <w:r w:rsidRPr="00D44503">
        <w:rPr>
          <w:rFonts w:cs="David"/>
          <w:sz w:val="20"/>
          <w:szCs w:val="20"/>
          <w:rtl/>
        </w:rPr>
        <w:t xml:space="preserve"> </w:t>
      </w:r>
      <w:r w:rsidRPr="00D44503">
        <w:rPr>
          <w:rFonts w:cs="David" w:hint="cs"/>
          <w:sz w:val="20"/>
          <w:szCs w:val="20"/>
          <w:rtl/>
        </w:rPr>
        <w:t>בבתים</w:t>
      </w:r>
      <w:r w:rsidRPr="00D44503">
        <w:rPr>
          <w:rFonts w:cs="David"/>
          <w:sz w:val="20"/>
          <w:szCs w:val="20"/>
          <w:rtl/>
        </w:rPr>
        <w:t xml:space="preserve"> </w:t>
      </w:r>
      <w:r w:rsidRPr="00D44503">
        <w:rPr>
          <w:rFonts w:cs="David" w:hint="cs"/>
          <w:sz w:val="20"/>
          <w:szCs w:val="20"/>
          <w:rtl/>
        </w:rPr>
        <w:t>אותם</w:t>
      </w:r>
      <w:r w:rsidRPr="00D44503">
        <w:rPr>
          <w:rFonts w:cs="David"/>
          <w:sz w:val="20"/>
          <w:szCs w:val="20"/>
          <w:rtl/>
        </w:rPr>
        <w:t xml:space="preserve"> </w:t>
      </w:r>
      <w:r w:rsidRPr="00D44503">
        <w:rPr>
          <w:rFonts w:cs="David" w:hint="cs"/>
          <w:sz w:val="20"/>
          <w:szCs w:val="20"/>
          <w:rtl/>
        </w:rPr>
        <w:t>תקפה</w:t>
      </w:r>
      <w:r w:rsidRPr="00D44503">
        <w:rPr>
          <w:rFonts w:cs="David"/>
          <w:sz w:val="20"/>
          <w:szCs w:val="20"/>
          <w:rtl/>
        </w:rPr>
        <w:t xml:space="preserve">, </w:t>
      </w:r>
      <w:r w:rsidRPr="00D44503">
        <w:rPr>
          <w:rFonts w:cs="David" w:hint="cs"/>
          <w:sz w:val="20"/>
          <w:szCs w:val="20"/>
          <w:rtl/>
        </w:rPr>
        <w:t>ולכן</w:t>
      </w:r>
      <w:r w:rsidRPr="00D44503">
        <w:rPr>
          <w:rFonts w:cs="David"/>
          <w:sz w:val="20"/>
          <w:szCs w:val="20"/>
          <w:rtl/>
        </w:rPr>
        <w:t xml:space="preserve"> </w:t>
      </w:r>
      <w:r w:rsidRPr="00D44503">
        <w:rPr>
          <w:rFonts w:cs="David" w:hint="cs"/>
          <w:sz w:val="20"/>
          <w:szCs w:val="20"/>
          <w:rtl/>
        </w:rPr>
        <w:t>היא</w:t>
      </w:r>
      <w:r w:rsidRPr="00D44503">
        <w:rPr>
          <w:rFonts w:cs="David"/>
          <w:sz w:val="20"/>
          <w:szCs w:val="20"/>
          <w:rtl/>
        </w:rPr>
        <w:t xml:space="preserve"> </w:t>
      </w:r>
      <w:r w:rsidRPr="00D44503">
        <w:rPr>
          <w:rFonts w:cs="David" w:hint="cs"/>
          <w:sz w:val="20"/>
          <w:szCs w:val="20"/>
          <w:rtl/>
        </w:rPr>
        <w:t>ידעה</w:t>
      </w:r>
      <w:r w:rsidRPr="00D44503">
        <w:rPr>
          <w:rFonts w:cs="David"/>
          <w:sz w:val="20"/>
          <w:szCs w:val="20"/>
          <w:rtl/>
        </w:rPr>
        <w:t xml:space="preserve"> </w:t>
      </w:r>
      <w:r w:rsidRPr="00D44503">
        <w:rPr>
          <w:rFonts w:cs="David" w:hint="cs"/>
          <w:sz w:val="20"/>
          <w:szCs w:val="20"/>
          <w:rtl/>
        </w:rPr>
        <w:t>כי</w:t>
      </w:r>
      <w:r w:rsidRPr="00D44503">
        <w:rPr>
          <w:rFonts w:cs="David"/>
          <w:sz w:val="20"/>
          <w:szCs w:val="20"/>
          <w:rtl/>
        </w:rPr>
        <w:t xml:space="preserve"> </w:t>
      </w:r>
      <w:r w:rsidRPr="00D44503">
        <w:rPr>
          <w:rFonts w:cs="David" w:hint="cs"/>
          <w:sz w:val="20"/>
          <w:szCs w:val="20"/>
          <w:rtl/>
        </w:rPr>
        <w:t>היא</w:t>
      </w:r>
      <w:r w:rsidRPr="00D44503">
        <w:rPr>
          <w:rFonts w:cs="David"/>
          <w:sz w:val="20"/>
          <w:szCs w:val="20"/>
          <w:rtl/>
        </w:rPr>
        <w:t xml:space="preserve"> </w:t>
      </w:r>
      <w:r w:rsidRPr="00D44503">
        <w:rPr>
          <w:rFonts w:cs="David" w:hint="cs"/>
          <w:sz w:val="20"/>
          <w:szCs w:val="20"/>
          <w:rtl/>
        </w:rPr>
        <w:t>תוקפת</w:t>
      </w:r>
      <w:r w:rsidRPr="00D44503">
        <w:rPr>
          <w:rFonts w:cs="David"/>
          <w:sz w:val="20"/>
          <w:szCs w:val="20"/>
          <w:rtl/>
        </w:rPr>
        <w:t xml:space="preserve"> </w:t>
      </w:r>
      <w:r w:rsidRPr="00D44503">
        <w:rPr>
          <w:rFonts w:cs="David" w:hint="cs"/>
          <w:sz w:val="20"/>
          <w:szCs w:val="20"/>
          <w:rtl/>
        </w:rPr>
        <w:t>אזרחים</w:t>
      </w:r>
      <w:r w:rsidRPr="00D44503">
        <w:rPr>
          <w:rFonts w:cs="David"/>
          <w:sz w:val="20"/>
          <w:szCs w:val="20"/>
          <w:rtl/>
        </w:rPr>
        <w:t xml:space="preserve"> </w:t>
      </w:r>
      <w:r w:rsidRPr="00D44503">
        <w:rPr>
          <w:rFonts w:cs="David" w:hint="cs"/>
          <w:sz w:val="20"/>
          <w:szCs w:val="20"/>
          <w:rtl/>
        </w:rPr>
        <w:t>ועשתה</w:t>
      </w:r>
      <w:r w:rsidRPr="00D44503">
        <w:rPr>
          <w:rFonts w:cs="David"/>
          <w:sz w:val="20"/>
          <w:szCs w:val="20"/>
          <w:rtl/>
        </w:rPr>
        <w:t xml:space="preserve"> </w:t>
      </w:r>
      <w:r w:rsidRPr="00D44503">
        <w:rPr>
          <w:rFonts w:cs="David" w:hint="cs"/>
          <w:sz w:val="20"/>
          <w:szCs w:val="20"/>
          <w:rtl/>
        </w:rPr>
        <w:t>זאת</w:t>
      </w:r>
      <w:r w:rsidRPr="00D44503">
        <w:rPr>
          <w:rFonts w:cs="David"/>
          <w:sz w:val="20"/>
          <w:szCs w:val="20"/>
          <w:rtl/>
        </w:rPr>
        <w:t xml:space="preserve"> </w:t>
      </w:r>
      <w:r w:rsidRPr="00D44503">
        <w:rPr>
          <w:rFonts w:cs="David" w:hint="cs"/>
          <w:sz w:val="20"/>
          <w:szCs w:val="20"/>
          <w:rtl/>
        </w:rPr>
        <w:t>במתכוון</w:t>
      </w:r>
      <w:r w:rsidRPr="00D44503">
        <w:rPr>
          <w:rFonts w:cs="David"/>
          <w:sz w:val="20"/>
          <w:szCs w:val="20"/>
          <w:rtl/>
        </w:rPr>
        <w:t xml:space="preserve">. </w:t>
      </w:r>
      <w:r w:rsidRPr="00D44503">
        <w:rPr>
          <w:rFonts w:cs="David" w:hint="cs"/>
          <w:sz w:val="20"/>
          <w:szCs w:val="20"/>
          <w:rtl/>
        </w:rPr>
        <w:t>בפועל</w:t>
      </w:r>
      <w:r w:rsidRPr="00D44503">
        <w:rPr>
          <w:rFonts w:cs="David"/>
          <w:sz w:val="20"/>
          <w:szCs w:val="20"/>
          <w:rtl/>
        </w:rPr>
        <w:t xml:space="preserve">, </w:t>
      </w:r>
      <w:r w:rsidRPr="00D44503">
        <w:rPr>
          <w:rFonts w:cs="David" w:hint="cs"/>
          <w:sz w:val="20"/>
          <w:szCs w:val="20"/>
          <w:rtl/>
        </w:rPr>
        <w:t>אין</w:t>
      </w:r>
      <w:r w:rsidRPr="00D44503">
        <w:rPr>
          <w:rFonts w:cs="David"/>
          <w:sz w:val="20"/>
          <w:szCs w:val="20"/>
          <w:rtl/>
        </w:rPr>
        <w:t xml:space="preserve"> </w:t>
      </w:r>
      <w:r w:rsidRPr="00D44503">
        <w:rPr>
          <w:rFonts w:cs="David" w:hint="cs"/>
          <w:sz w:val="20"/>
          <w:szCs w:val="20"/>
          <w:rtl/>
        </w:rPr>
        <w:t>למזל</w:t>
      </w:r>
      <w:r w:rsidRPr="00D44503">
        <w:rPr>
          <w:rFonts w:cs="David"/>
          <w:sz w:val="20"/>
          <w:szCs w:val="20"/>
          <w:rtl/>
        </w:rPr>
        <w:t>"</w:t>
      </w:r>
      <w:r w:rsidRPr="00D44503">
        <w:rPr>
          <w:rFonts w:cs="David" w:hint="cs"/>
          <w:sz w:val="20"/>
          <w:szCs w:val="20"/>
          <w:rtl/>
        </w:rPr>
        <w:t>טים</w:t>
      </w:r>
      <w:r w:rsidRPr="00D44503">
        <w:rPr>
          <w:rFonts w:cs="David"/>
          <w:sz w:val="20"/>
          <w:szCs w:val="20"/>
          <w:rtl/>
        </w:rPr>
        <w:t xml:space="preserve"> </w:t>
      </w:r>
      <w:r w:rsidRPr="00D44503">
        <w:rPr>
          <w:rFonts w:cs="David" w:hint="cs"/>
          <w:sz w:val="20"/>
          <w:szCs w:val="20"/>
          <w:rtl/>
        </w:rPr>
        <w:t>הישראלים</w:t>
      </w:r>
      <w:r w:rsidRPr="00D44503">
        <w:rPr>
          <w:rFonts w:cs="David"/>
          <w:sz w:val="20"/>
          <w:szCs w:val="20"/>
          <w:rtl/>
        </w:rPr>
        <w:t xml:space="preserve"> </w:t>
      </w:r>
      <w:r w:rsidRPr="00D44503">
        <w:rPr>
          <w:rFonts w:cs="David" w:hint="cs"/>
          <w:sz w:val="20"/>
          <w:szCs w:val="20"/>
          <w:rtl/>
        </w:rPr>
        <w:t>יכולת</w:t>
      </w:r>
      <w:r w:rsidRPr="00D44503">
        <w:rPr>
          <w:rFonts w:cs="David"/>
          <w:sz w:val="20"/>
          <w:szCs w:val="20"/>
          <w:rtl/>
        </w:rPr>
        <w:t xml:space="preserve"> </w:t>
      </w:r>
      <w:r w:rsidRPr="00D44503">
        <w:rPr>
          <w:rFonts w:cs="David" w:hint="cs"/>
          <w:sz w:val="20"/>
          <w:szCs w:val="20"/>
          <w:rtl/>
        </w:rPr>
        <w:t>כזו</w:t>
      </w:r>
      <w:r w:rsidRPr="00D44503">
        <w:rPr>
          <w:rFonts w:cs="David"/>
          <w:sz w:val="20"/>
          <w:szCs w:val="20"/>
          <w:rtl/>
        </w:rPr>
        <w:t xml:space="preserve"> </w:t>
      </w:r>
      <w:r w:rsidRPr="00D44503">
        <w:rPr>
          <w:rFonts w:cs="David" w:hint="cs"/>
          <w:sz w:val="20"/>
          <w:szCs w:val="20"/>
          <w:rtl/>
        </w:rPr>
        <w:t>והשימוש</w:t>
      </w:r>
      <w:r w:rsidRPr="00D44503">
        <w:rPr>
          <w:rFonts w:cs="David"/>
          <w:sz w:val="20"/>
          <w:szCs w:val="20"/>
          <w:rtl/>
        </w:rPr>
        <w:t xml:space="preserve"> </w:t>
      </w:r>
      <w:r w:rsidRPr="00D44503">
        <w:rPr>
          <w:rFonts w:cs="David" w:hint="cs"/>
          <w:sz w:val="20"/>
          <w:szCs w:val="20"/>
          <w:rtl/>
        </w:rPr>
        <w:t>בהם</w:t>
      </w:r>
      <w:r w:rsidRPr="00D44503">
        <w:rPr>
          <w:rFonts w:cs="David"/>
          <w:sz w:val="20"/>
          <w:szCs w:val="20"/>
          <w:rtl/>
        </w:rPr>
        <w:t xml:space="preserve"> </w:t>
      </w:r>
      <w:r w:rsidRPr="00D44503">
        <w:rPr>
          <w:rFonts w:cs="David" w:hint="cs"/>
          <w:sz w:val="20"/>
          <w:szCs w:val="20"/>
          <w:rtl/>
        </w:rPr>
        <w:t>נעשה</w:t>
      </w:r>
      <w:r w:rsidRPr="00D44503">
        <w:rPr>
          <w:rFonts w:cs="David"/>
          <w:sz w:val="20"/>
          <w:szCs w:val="20"/>
          <w:rtl/>
        </w:rPr>
        <w:t xml:space="preserve"> </w:t>
      </w:r>
      <w:r w:rsidRPr="00D44503">
        <w:rPr>
          <w:rFonts w:cs="David" w:hint="cs"/>
          <w:sz w:val="20"/>
          <w:szCs w:val="20"/>
          <w:rtl/>
        </w:rPr>
        <w:t>בדיוק</w:t>
      </w:r>
      <w:r w:rsidRPr="00D44503">
        <w:rPr>
          <w:rFonts w:cs="David"/>
          <w:sz w:val="20"/>
          <w:szCs w:val="20"/>
          <w:rtl/>
        </w:rPr>
        <w:t xml:space="preserve"> </w:t>
      </w:r>
      <w:r w:rsidRPr="00D44503">
        <w:rPr>
          <w:rFonts w:cs="David" w:hint="cs"/>
          <w:sz w:val="20"/>
          <w:szCs w:val="20"/>
          <w:rtl/>
        </w:rPr>
        <w:t>למטרה</w:t>
      </w:r>
      <w:r w:rsidRPr="00D44503">
        <w:rPr>
          <w:rFonts w:cs="David"/>
          <w:sz w:val="20"/>
          <w:szCs w:val="20"/>
          <w:rtl/>
        </w:rPr>
        <w:t xml:space="preserve"> </w:t>
      </w:r>
      <w:r w:rsidRPr="00D44503">
        <w:rPr>
          <w:rFonts w:cs="David" w:hint="cs"/>
          <w:sz w:val="20"/>
          <w:szCs w:val="20"/>
          <w:rtl/>
        </w:rPr>
        <w:t>ההפוכה</w:t>
      </w:r>
      <w:r w:rsidRPr="00D44503">
        <w:rPr>
          <w:rFonts w:cs="David"/>
          <w:sz w:val="20"/>
          <w:szCs w:val="20"/>
          <w:rtl/>
        </w:rPr>
        <w:t xml:space="preserve">, </w:t>
      </w:r>
      <w:r w:rsidRPr="00D44503">
        <w:rPr>
          <w:rFonts w:cs="David" w:hint="cs"/>
          <w:sz w:val="20"/>
          <w:szCs w:val="20"/>
          <w:rtl/>
        </w:rPr>
        <w:t>על</w:t>
      </w:r>
      <w:r w:rsidRPr="00D44503">
        <w:rPr>
          <w:rFonts w:cs="David"/>
          <w:sz w:val="20"/>
          <w:szCs w:val="20"/>
          <w:rtl/>
        </w:rPr>
        <w:t xml:space="preserve"> </w:t>
      </w:r>
      <w:r w:rsidRPr="00D44503">
        <w:rPr>
          <w:rFonts w:cs="David" w:hint="cs"/>
          <w:sz w:val="20"/>
          <w:szCs w:val="20"/>
          <w:rtl/>
        </w:rPr>
        <w:t>מנת</w:t>
      </w:r>
      <w:r w:rsidRPr="00D44503">
        <w:rPr>
          <w:rFonts w:cs="David"/>
          <w:sz w:val="20"/>
          <w:szCs w:val="20"/>
          <w:rtl/>
        </w:rPr>
        <w:t xml:space="preserve"> </w:t>
      </w:r>
      <w:r w:rsidRPr="00D44503">
        <w:rPr>
          <w:rFonts w:cs="David" w:hint="cs"/>
          <w:sz w:val="20"/>
          <w:szCs w:val="20"/>
          <w:rtl/>
        </w:rPr>
        <w:t>לוודא</w:t>
      </w:r>
      <w:r w:rsidRPr="00D44503">
        <w:rPr>
          <w:rFonts w:cs="David"/>
          <w:sz w:val="20"/>
          <w:szCs w:val="20"/>
          <w:rtl/>
        </w:rPr>
        <w:t xml:space="preserve"> </w:t>
      </w:r>
      <w:r w:rsidRPr="00D44503">
        <w:rPr>
          <w:rFonts w:cs="David" w:hint="cs"/>
          <w:sz w:val="20"/>
          <w:szCs w:val="20"/>
          <w:rtl/>
        </w:rPr>
        <w:t>כי</w:t>
      </w:r>
      <w:r w:rsidRPr="00D44503">
        <w:rPr>
          <w:rFonts w:cs="David"/>
          <w:sz w:val="20"/>
          <w:szCs w:val="20"/>
          <w:rtl/>
        </w:rPr>
        <w:t xml:space="preserve"> </w:t>
      </w:r>
      <w:r w:rsidRPr="00D44503">
        <w:rPr>
          <w:rFonts w:cs="David" w:hint="cs"/>
          <w:sz w:val="20"/>
          <w:szCs w:val="20"/>
          <w:rtl/>
        </w:rPr>
        <w:t>אזרחים</w:t>
      </w:r>
      <w:r w:rsidRPr="00D44503">
        <w:rPr>
          <w:rFonts w:cs="David"/>
          <w:sz w:val="20"/>
          <w:szCs w:val="20"/>
          <w:rtl/>
        </w:rPr>
        <w:t xml:space="preserve"> </w:t>
      </w:r>
      <w:r w:rsidRPr="00D44503">
        <w:rPr>
          <w:rFonts w:cs="David" w:hint="cs"/>
          <w:sz w:val="20"/>
          <w:szCs w:val="20"/>
          <w:rtl/>
        </w:rPr>
        <w:t>עזבו</w:t>
      </w:r>
      <w:r w:rsidRPr="00D44503">
        <w:rPr>
          <w:rFonts w:cs="David"/>
          <w:sz w:val="20"/>
          <w:szCs w:val="20"/>
          <w:rtl/>
        </w:rPr>
        <w:t xml:space="preserve"> </w:t>
      </w:r>
      <w:r w:rsidRPr="00D44503">
        <w:rPr>
          <w:rFonts w:cs="David" w:hint="cs"/>
          <w:sz w:val="20"/>
          <w:szCs w:val="20"/>
          <w:rtl/>
        </w:rPr>
        <w:t>את</w:t>
      </w:r>
      <w:r w:rsidRPr="00D44503">
        <w:rPr>
          <w:rFonts w:cs="David"/>
          <w:sz w:val="20"/>
          <w:szCs w:val="20"/>
          <w:rtl/>
        </w:rPr>
        <w:t xml:space="preserve"> </w:t>
      </w:r>
      <w:r w:rsidRPr="00D44503">
        <w:rPr>
          <w:rFonts w:cs="David" w:hint="cs"/>
          <w:sz w:val="20"/>
          <w:szCs w:val="20"/>
          <w:rtl/>
        </w:rPr>
        <w:t>הבתים</w:t>
      </w:r>
      <w:r w:rsidRPr="00D44503">
        <w:rPr>
          <w:rFonts w:cs="David"/>
          <w:sz w:val="20"/>
          <w:szCs w:val="20"/>
          <w:rtl/>
        </w:rPr>
        <w:t xml:space="preserve"> </w:t>
      </w:r>
      <w:r w:rsidRPr="00D44503">
        <w:rPr>
          <w:rFonts w:cs="David" w:hint="cs"/>
          <w:sz w:val="20"/>
          <w:szCs w:val="20"/>
          <w:rtl/>
        </w:rPr>
        <w:t>בטרם</w:t>
      </w:r>
      <w:r w:rsidRPr="00D44503">
        <w:rPr>
          <w:rFonts w:cs="David"/>
          <w:sz w:val="20"/>
          <w:szCs w:val="20"/>
          <w:rtl/>
        </w:rPr>
        <w:t xml:space="preserve"> </w:t>
      </w:r>
      <w:r w:rsidRPr="00D44503">
        <w:rPr>
          <w:rFonts w:cs="David" w:hint="cs"/>
          <w:sz w:val="20"/>
          <w:szCs w:val="20"/>
          <w:rtl/>
        </w:rPr>
        <w:t>התקפתם</w:t>
      </w:r>
      <w:r w:rsidRPr="00D44503">
        <w:rPr>
          <w:rFonts w:cs="David"/>
          <w:sz w:val="20"/>
          <w:szCs w:val="20"/>
          <w:rtl/>
        </w:rPr>
        <w:t xml:space="preserve">. </w:t>
      </w:r>
      <w:r w:rsidRPr="00D44503">
        <w:rPr>
          <w:rFonts w:cs="David" w:hint="cs"/>
          <w:sz w:val="20"/>
          <w:szCs w:val="20"/>
          <w:rtl/>
        </w:rPr>
        <w:t>טרוורס</w:t>
      </w:r>
      <w:r w:rsidRPr="00D44503">
        <w:rPr>
          <w:rFonts w:cs="David"/>
          <w:sz w:val="20"/>
          <w:szCs w:val="20"/>
          <w:rtl/>
        </w:rPr>
        <w:t xml:space="preserve"> </w:t>
      </w:r>
      <w:r w:rsidRPr="00D44503">
        <w:rPr>
          <w:rFonts w:cs="David" w:hint="cs"/>
          <w:sz w:val="20"/>
          <w:szCs w:val="20"/>
          <w:rtl/>
        </w:rPr>
        <w:t>גם</w:t>
      </w:r>
      <w:r w:rsidRPr="00D44503">
        <w:rPr>
          <w:rFonts w:cs="David"/>
          <w:sz w:val="20"/>
          <w:szCs w:val="20"/>
          <w:rtl/>
        </w:rPr>
        <w:t xml:space="preserve"> </w:t>
      </w:r>
      <w:r w:rsidRPr="00D44503">
        <w:rPr>
          <w:rFonts w:cs="David" w:hint="cs"/>
          <w:sz w:val="20"/>
          <w:szCs w:val="20"/>
          <w:rtl/>
        </w:rPr>
        <w:t>טען</w:t>
      </w:r>
      <w:r w:rsidRPr="00D44503">
        <w:rPr>
          <w:rFonts w:cs="David"/>
          <w:sz w:val="20"/>
          <w:szCs w:val="20"/>
          <w:rtl/>
        </w:rPr>
        <w:t xml:space="preserve"> </w:t>
      </w:r>
      <w:r w:rsidRPr="00D44503">
        <w:rPr>
          <w:rFonts w:cs="David" w:hint="cs"/>
          <w:sz w:val="20"/>
          <w:szCs w:val="20"/>
          <w:rtl/>
        </w:rPr>
        <w:t>שבחודש</w:t>
      </w:r>
      <w:r w:rsidRPr="00D44503">
        <w:rPr>
          <w:rFonts w:cs="David"/>
          <w:sz w:val="20"/>
          <w:szCs w:val="20"/>
          <w:rtl/>
        </w:rPr>
        <w:t xml:space="preserve"> </w:t>
      </w:r>
      <w:r w:rsidRPr="00D44503">
        <w:rPr>
          <w:rFonts w:cs="David" w:hint="cs"/>
          <w:sz w:val="20"/>
          <w:szCs w:val="20"/>
          <w:rtl/>
        </w:rPr>
        <w:t>שקדם</w:t>
      </w:r>
      <w:r w:rsidRPr="00D44503">
        <w:rPr>
          <w:rFonts w:cs="David"/>
          <w:sz w:val="20"/>
          <w:szCs w:val="20"/>
          <w:rtl/>
        </w:rPr>
        <w:t xml:space="preserve"> </w:t>
      </w:r>
      <w:r w:rsidRPr="00D44503">
        <w:rPr>
          <w:rFonts w:cs="David" w:hint="cs"/>
          <w:sz w:val="20"/>
          <w:szCs w:val="20"/>
          <w:rtl/>
        </w:rPr>
        <w:t>לפתיחה</w:t>
      </w:r>
      <w:r w:rsidRPr="00D44503">
        <w:rPr>
          <w:rFonts w:cs="David"/>
          <w:sz w:val="20"/>
          <w:szCs w:val="20"/>
          <w:rtl/>
        </w:rPr>
        <w:t xml:space="preserve"> </w:t>
      </w:r>
      <w:r w:rsidRPr="00D44503">
        <w:rPr>
          <w:rFonts w:cs="David" w:hint="cs"/>
          <w:sz w:val="20"/>
          <w:szCs w:val="20"/>
          <w:rtl/>
        </w:rPr>
        <w:t>במבצע</w:t>
      </w:r>
      <w:r w:rsidRPr="00D44503">
        <w:rPr>
          <w:rFonts w:cs="David"/>
          <w:sz w:val="20"/>
          <w:szCs w:val="20"/>
          <w:rtl/>
        </w:rPr>
        <w:t xml:space="preserve"> "</w:t>
      </w:r>
      <w:r w:rsidRPr="00D44503">
        <w:rPr>
          <w:rFonts w:cs="David" w:hint="cs"/>
          <w:sz w:val="20"/>
          <w:szCs w:val="20"/>
          <w:rtl/>
        </w:rPr>
        <w:t>עופרת</w:t>
      </w:r>
      <w:r w:rsidRPr="00D44503">
        <w:rPr>
          <w:rFonts w:cs="David"/>
          <w:sz w:val="20"/>
          <w:szCs w:val="20"/>
          <w:rtl/>
        </w:rPr>
        <w:t xml:space="preserve"> </w:t>
      </w:r>
      <w:r w:rsidRPr="00D44503">
        <w:rPr>
          <w:rFonts w:cs="David" w:hint="cs"/>
          <w:sz w:val="20"/>
          <w:szCs w:val="20"/>
          <w:rtl/>
        </w:rPr>
        <w:t>יצוקה</w:t>
      </w:r>
      <w:r w:rsidRPr="00D44503">
        <w:rPr>
          <w:rFonts w:cs="David"/>
          <w:sz w:val="20"/>
          <w:szCs w:val="20"/>
          <w:rtl/>
        </w:rPr>
        <w:t xml:space="preserve">" </w:t>
      </w:r>
      <w:r w:rsidRPr="00D44503">
        <w:rPr>
          <w:rFonts w:cs="David" w:hint="cs"/>
          <w:sz w:val="20"/>
          <w:szCs w:val="20"/>
          <w:rtl/>
        </w:rPr>
        <w:t>נורו</w:t>
      </w:r>
      <w:r w:rsidRPr="00D44503">
        <w:rPr>
          <w:rFonts w:cs="David"/>
          <w:sz w:val="20"/>
          <w:szCs w:val="20"/>
          <w:rtl/>
        </w:rPr>
        <w:t xml:space="preserve"> </w:t>
      </w:r>
      <w:r w:rsidRPr="00D44503">
        <w:rPr>
          <w:rFonts w:cs="David" w:hint="cs"/>
          <w:sz w:val="20"/>
          <w:szCs w:val="20"/>
          <w:rtl/>
        </w:rPr>
        <w:t>מעזה</w:t>
      </w:r>
      <w:r w:rsidRPr="00D44503">
        <w:rPr>
          <w:rFonts w:cs="David"/>
          <w:sz w:val="20"/>
          <w:szCs w:val="20"/>
          <w:rtl/>
        </w:rPr>
        <w:t xml:space="preserve"> </w:t>
      </w:r>
      <w:r w:rsidRPr="00D44503">
        <w:rPr>
          <w:rFonts w:cs="David" w:hint="cs"/>
          <w:sz w:val="20"/>
          <w:szCs w:val="20"/>
          <w:rtl/>
        </w:rPr>
        <w:t>לעבר</w:t>
      </w:r>
      <w:r w:rsidRPr="00D44503">
        <w:rPr>
          <w:rFonts w:cs="David"/>
          <w:sz w:val="20"/>
          <w:szCs w:val="20"/>
          <w:rtl/>
        </w:rPr>
        <w:t xml:space="preserve"> </w:t>
      </w:r>
      <w:r w:rsidRPr="00D44503">
        <w:rPr>
          <w:rFonts w:cs="David" w:hint="cs"/>
          <w:sz w:val="20"/>
          <w:szCs w:val="20"/>
          <w:rtl/>
        </w:rPr>
        <w:t>ישראל</w:t>
      </w:r>
      <w:r w:rsidRPr="00D44503">
        <w:rPr>
          <w:rFonts w:cs="David"/>
          <w:sz w:val="20"/>
          <w:szCs w:val="20"/>
          <w:rtl/>
        </w:rPr>
        <w:t xml:space="preserve"> </w:t>
      </w:r>
      <w:r w:rsidRPr="00D44503">
        <w:rPr>
          <w:rFonts w:cs="David" w:hint="cs"/>
          <w:sz w:val="20"/>
          <w:szCs w:val="20"/>
          <w:rtl/>
        </w:rPr>
        <w:t>רק</w:t>
      </w:r>
      <w:r w:rsidRPr="00D44503">
        <w:rPr>
          <w:rFonts w:cs="David"/>
          <w:sz w:val="20"/>
          <w:szCs w:val="20"/>
          <w:rtl/>
        </w:rPr>
        <w:t xml:space="preserve"> </w:t>
      </w:r>
      <w:r w:rsidRPr="00D44503">
        <w:rPr>
          <w:rFonts w:cs="David" w:hint="cs"/>
          <w:sz w:val="20"/>
          <w:szCs w:val="20"/>
          <w:rtl/>
        </w:rPr>
        <w:t>שני</w:t>
      </w:r>
      <w:r w:rsidRPr="00D44503">
        <w:rPr>
          <w:rFonts w:cs="David"/>
          <w:sz w:val="20"/>
          <w:szCs w:val="20"/>
          <w:rtl/>
        </w:rPr>
        <w:t xml:space="preserve"> </w:t>
      </w:r>
      <w:r w:rsidRPr="00D44503">
        <w:rPr>
          <w:rFonts w:cs="David" w:hint="cs"/>
          <w:sz w:val="20"/>
          <w:szCs w:val="20"/>
          <w:rtl/>
        </w:rPr>
        <w:t>טילים</w:t>
      </w:r>
      <w:r w:rsidRPr="00D44503">
        <w:rPr>
          <w:rFonts w:cs="David"/>
          <w:sz w:val="20"/>
          <w:szCs w:val="20"/>
          <w:rtl/>
        </w:rPr>
        <w:t xml:space="preserve"> </w:t>
      </w:r>
      <w:r w:rsidRPr="00D44503">
        <w:rPr>
          <w:rFonts w:cs="David" w:hint="cs"/>
          <w:sz w:val="20"/>
          <w:szCs w:val="20"/>
          <w:rtl/>
        </w:rPr>
        <w:t>לערך</w:t>
      </w:r>
      <w:r w:rsidRPr="00D44503">
        <w:rPr>
          <w:rFonts w:cs="David"/>
          <w:sz w:val="20"/>
          <w:szCs w:val="20"/>
          <w:rtl/>
        </w:rPr>
        <w:t xml:space="preserve">, </w:t>
      </w:r>
      <w:r w:rsidRPr="00D44503">
        <w:rPr>
          <w:rFonts w:cs="David" w:hint="cs"/>
          <w:sz w:val="20"/>
          <w:szCs w:val="20"/>
          <w:rtl/>
        </w:rPr>
        <w:t>בעוד</w:t>
      </w:r>
      <w:r w:rsidRPr="00D44503">
        <w:rPr>
          <w:rFonts w:cs="David"/>
          <w:sz w:val="20"/>
          <w:szCs w:val="20"/>
          <w:rtl/>
        </w:rPr>
        <w:t xml:space="preserve"> </w:t>
      </w:r>
      <w:r w:rsidRPr="00D44503">
        <w:rPr>
          <w:rFonts w:cs="David" w:hint="cs"/>
          <w:sz w:val="20"/>
          <w:szCs w:val="20"/>
          <w:rtl/>
        </w:rPr>
        <w:t>שבפועל</w:t>
      </w:r>
      <w:r w:rsidRPr="00D44503">
        <w:rPr>
          <w:rFonts w:cs="David"/>
          <w:sz w:val="20"/>
          <w:szCs w:val="20"/>
          <w:rtl/>
        </w:rPr>
        <w:t xml:space="preserve">, </w:t>
      </w:r>
      <w:r w:rsidRPr="00D44503">
        <w:rPr>
          <w:rFonts w:cs="David" w:hint="cs"/>
          <w:sz w:val="20"/>
          <w:szCs w:val="20"/>
          <w:rtl/>
        </w:rPr>
        <w:t>בשלושה</w:t>
      </w:r>
      <w:r w:rsidRPr="00D44503">
        <w:rPr>
          <w:rFonts w:cs="David"/>
          <w:sz w:val="20"/>
          <w:szCs w:val="20"/>
          <w:rtl/>
        </w:rPr>
        <w:t xml:space="preserve"> </w:t>
      </w:r>
      <w:r w:rsidRPr="00D44503">
        <w:rPr>
          <w:rFonts w:cs="David" w:hint="cs"/>
          <w:sz w:val="20"/>
          <w:szCs w:val="20"/>
          <w:rtl/>
        </w:rPr>
        <w:t>ימים</w:t>
      </w:r>
      <w:r w:rsidRPr="00D44503">
        <w:rPr>
          <w:rFonts w:cs="David"/>
          <w:sz w:val="20"/>
          <w:szCs w:val="20"/>
          <w:rtl/>
        </w:rPr>
        <w:t xml:space="preserve"> </w:t>
      </w:r>
      <w:r w:rsidRPr="00D44503">
        <w:rPr>
          <w:rFonts w:cs="David" w:hint="cs"/>
          <w:sz w:val="20"/>
          <w:szCs w:val="20"/>
          <w:rtl/>
        </w:rPr>
        <w:t>בודדים</w:t>
      </w:r>
      <w:r w:rsidRPr="00D44503">
        <w:rPr>
          <w:rFonts w:cs="David"/>
          <w:sz w:val="20"/>
          <w:szCs w:val="20"/>
          <w:rtl/>
        </w:rPr>
        <w:t xml:space="preserve"> </w:t>
      </w:r>
      <w:r w:rsidRPr="00D44503">
        <w:rPr>
          <w:rFonts w:cs="David" w:hint="cs"/>
          <w:sz w:val="20"/>
          <w:szCs w:val="20"/>
          <w:rtl/>
        </w:rPr>
        <w:t>מתוך</w:t>
      </w:r>
      <w:r w:rsidRPr="00D44503">
        <w:rPr>
          <w:rFonts w:cs="David"/>
          <w:sz w:val="20"/>
          <w:szCs w:val="20"/>
          <w:rtl/>
        </w:rPr>
        <w:t xml:space="preserve"> </w:t>
      </w:r>
      <w:r w:rsidRPr="00D44503">
        <w:rPr>
          <w:rFonts w:cs="David" w:hint="cs"/>
          <w:sz w:val="20"/>
          <w:szCs w:val="20"/>
          <w:rtl/>
        </w:rPr>
        <w:t>החודש</w:t>
      </w:r>
      <w:r w:rsidRPr="00D44503">
        <w:rPr>
          <w:rFonts w:cs="David"/>
          <w:sz w:val="20"/>
          <w:szCs w:val="20"/>
          <w:rtl/>
        </w:rPr>
        <w:t xml:space="preserve"> </w:t>
      </w:r>
      <w:r w:rsidRPr="00D44503">
        <w:rPr>
          <w:rFonts w:cs="David" w:hint="cs"/>
          <w:sz w:val="20"/>
          <w:szCs w:val="20"/>
          <w:rtl/>
        </w:rPr>
        <w:t>הזה</w:t>
      </w:r>
      <w:r w:rsidRPr="00D44503">
        <w:rPr>
          <w:rFonts w:cs="David"/>
          <w:sz w:val="20"/>
          <w:szCs w:val="20"/>
          <w:rtl/>
        </w:rPr>
        <w:t xml:space="preserve"> </w:t>
      </w:r>
      <w:r w:rsidRPr="00D44503">
        <w:rPr>
          <w:rFonts w:cs="David" w:hint="cs"/>
          <w:sz w:val="20"/>
          <w:szCs w:val="20"/>
          <w:rtl/>
        </w:rPr>
        <w:t>נורו</w:t>
      </w:r>
      <w:r w:rsidRPr="00D44503">
        <w:rPr>
          <w:rFonts w:cs="David"/>
          <w:sz w:val="20"/>
          <w:szCs w:val="20"/>
          <w:rtl/>
        </w:rPr>
        <w:t xml:space="preserve"> 32 </w:t>
      </w:r>
      <w:r w:rsidRPr="00D44503">
        <w:rPr>
          <w:rFonts w:cs="David" w:hint="cs"/>
          <w:sz w:val="20"/>
          <w:szCs w:val="20"/>
          <w:rtl/>
        </w:rPr>
        <w:t>טילים</w:t>
      </w:r>
      <w:r w:rsidRPr="00D44503">
        <w:rPr>
          <w:rFonts w:cs="David"/>
          <w:sz w:val="20"/>
          <w:szCs w:val="20"/>
          <w:rtl/>
        </w:rPr>
        <w:t xml:space="preserve">. </w:t>
      </w:r>
      <w:r w:rsidRPr="00D44503">
        <w:rPr>
          <w:rFonts w:cs="David" w:hint="cs"/>
          <w:sz w:val="20"/>
          <w:szCs w:val="20"/>
          <w:rtl/>
        </w:rPr>
        <w:t>עוד</w:t>
      </w:r>
      <w:r w:rsidRPr="00D44503">
        <w:rPr>
          <w:rFonts w:cs="David"/>
          <w:sz w:val="20"/>
          <w:szCs w:val="20"/>
          <w:rtl/>
        </w:rPr>
        <w:t xml:space="preserve"> </w:t>
      </w:r>
      <w:r w:rsidRPr="00D44503">
        <w:rPr>
          <w:rFonts w:cs="David" w:hint="cs"/>
          <w:sz w:val="20"/>
          <w:szCs w:val="20"/>
          <w:rtl/>
        </w:rPr>
        <w:t>הוא</w:t>
      </w:r>
      <w:r w:rsidRPr="00D44503">
        <w:rPr>
          <w:rFonts w:cs="David"/>
          <w:sz w:val="20"/>
          <w:szCs w:val="20"/>
          <w:rtl/>
        </w:rPr>
        <w:t xml:space="preserve"> </w:t>
      </w:r>
      <w:r w:rsidRPr="00D44503">
        <w:rPr>
          <w:rFonts w:cs="David" w:hint="cs"/>
          <w:sz w:val="20"/>
          <w:szCs w:val="20"/>
          <w:rtl/>
        </w:rPr>
        <w:t>טען</w:t>
      </w:r>
      <w:r w:rsidRPr="00D44503">
        <w:rPr>
          <w:rFonts w:cs="David"/>
          <w:sz w:val="20"/>
          <w:szCs w:val="20"/>
          <w:rtl/>
        </w:rPr>
        <w:t xml:space="preserve"> </w:t>
      </w:r>
      <w:r w:rsidRPr="00D44503">
        <w:rPr>
          <w:rFonts w:cs="David" w:hint="cs"/>
          <w:sz w:val="20"/>
          <w:szCs w:val="20"/>
          <w:rtl/>
        </w:rPr>
        <w:t>שחמאס</w:t>
      </w:r>
      <w:r w:rsidRPr="00D44503">
        <w:rPr>
          <w:rFonts w:cs="David"/>
          <w:sz w:val="20"/>
          <w:szCs w:val="20"/>
          <w:rtl/>
        </w:rPr>
        <w:t xml:space="preserve"> </w:t>
      </w:r>
      <w:r w:rsidRPr="00D44503">
        <w:rPr>
          <w:rFonts w:cs="David" w:hint="cs"/>
          <w:sz w:val="20"/>
          <w:szCs w:val="20"/>
          <w:rtl/>
        </w:rPr>
        <w:t>ביקשה</w:t>
      </w:r>
      <w:r w:rsidRPr="00D44503">
        <w:rPr>
          <w:rFonts w:cs="David"/>
          <w:sz w:val="20"/>
          <w:szCs w:val="20"/>
          <w:rtl/>
        </w:rPr>
        <w:t xml:space="preserve"> </w:t>
      </w:r>
      <w:r w:rsidRPr="00D44503">
        <w:rPr>
          <w:rFonts w:cs="David" w:hint="cs"/>
          <w:sz w:val="20"/>
          <w:szCs w:val="20"/>
          <w:rtl/>
        </w:rPr>
        <w:t>להאריך</w:t>
      </w:r>
      <w:r w:rsidRPr="00D44503">
        <w:rPr>
          <w:rFonts w:cs="David"/>
          <w:sz w:val="20"/>
          <w:szCs w:val="20"/>
          <w:rtl/>
        </w:rPr>
        <w:t xml:space="preserve"> </w:t>
      </w:r>
      <w:r w:rsidRPr="00D44503">
        <w:rPr>
          <w:rFonts w:cs="David" w:hint="cs"/>
          <w:sz w:val="20"/>
          <w:szCs w:val="20"/>
          <w:rtl/>
        </w:rPr>
        <w:t>את</w:t>
      </w:r>
      <w:r w:rsidRPr="00D44503">
        <w:rPr>
          <w:rFonts w:cs="David"/>
          <w:sz w:val="20"/>
          <w:szCs w:val="20"/>
          <w:rtl/>
        </w:rPr>
        <w:t xml:space="preserve"> </w:t>
      </w:r>
      <w:r w:rsidRPr="00D44503">
        <w:rPr>
          <w:rFonts w:cs="David" w:hint="cs"/>
          <w:sz w:val="20"/>
          <w:szCs w:val="20"/>
          <w:rtl/>
        </w:rPr>
        <w:t>הסכם</w:t>
      </w:r>
      <w:r w:rsidRPr="00D44503">
        <w:rPr>
          <w:rFonts w:cs="David"/>
          <w:sz w:val="20"/>
          <w:szCs w:val="20"/>
          <w:rtl/>
        </w:rPr>
        <w:t xml:space="preserve"> </w:t>
      </w:r>
      <w:r w:rsidRPr="00D44503">
        <w:rPr>
          <w:rFonts w:cs="David" w:hint="cs"/>
          <w:sz w:val="20"/>
          <w:szCs w:val="20"/>
          <w:rtl/>
        </w:rPr>
        <w:t>הרגיעה</w:t>
      </w:r>
      <w:r w:rsidRPr="00D44503">
        <w:rPr>
          <w:rFonts w:cs="David"/>
          <w:sz w:val="20"/>
          <w:szCs w:val="20"/>
          <w:rtl/>
        </w:rPr>
        <w:t xml:space="preserve"> </w:t>
      </w:r>
      <w:r w:rsidRPr="00D44503">
        <w:rPr>
          <w:rFonts w:cs="David" w:hint="cs"/>
          <w:sz w:val="20"/>
          <w:szCs w:val="20"/>
          <w:rtl/>
        </w:rPr>
        <w:t>לפני</w:t>
      </w:r>
      <w:r w:rsidRPr="00D44503">
        <w:rPr>
          <w:rFonts w:cs="David"/>
          <w:sz w:val="20"/>
          <w:szCs w:val="20"/>
          <w:rtl/>
        </w:rPr>
        <w:t xml:space="preserve"> </w:t>
      </w:r>
      <w:r w:rsidRPr="00D44503">
        <w:rPr>
          <w:rFonts w:cs="David" w:hint="cs"/>
          <w:sz w:val="20"/>
          <w:szCs w:val="20"/>
          <w:rtl/>
        </w:rPr>
        <w:t>המבצע</w:t>
      </w:r>
      <w:r w:rsidRPr="00D44503">
        <w:rPr>
          <w:rFonts w:cs="David"/>
          <w:sz w:val="20"/>
          <w:szCs w:val="20"/>
          <w:rtl/>
        </w:rPr>
        <w:t xml:space="preserve">, </w:t>
      </w:r>
      <w:r w:rsidRPr="00D44503">
        <w:rPr>
          <w:rFonts w:cs="David" w:hint="cs"/>
          <w:sz w:val="20"/>
          <w:szCs w:val="20"/>
          <w:rtl/>
        </w:rPr>
        <w:t>בעוד</w:t>
      </w:r>
      <w:r w:rsidRPr="00D44503">
        <w:rPr>
          <w:rFonts w:cs="David"/>
          <w:sz w:val="20"/>
          <w:szCs w:val="20"/>
          <w:rtl/>
        </w:rPr>
        <w:t xml:space="preserve"> </w:t>
      </w:r>
      <w:r w:rsidRPr="00D44503">
        <w:rPr>
          <w:rFonts w:cs="David" w:hint="cs"/>
          <w:sz w:val="20"/>
          <w:szCs w:val="20"/>
          <w:rtl/>
        </w:rPr>
        <w:t>שבפועל</w:t>
      </w:r>
      <w:r w:rsidRPr="00D44503">
        <w:rPr>
          <w:rFonts w:cs="David"/>
          <w:sz w:val="20"/>
          <w:szCs w:val="20"/>
          <w:rtl/>
        </w:rPr>
        <w:t xml:space="preserve"> </w:t>
      </w:r>
      <w:r w:rsidRPr="00D44503">
        <w:rPr>
          <w:rFonts w:cs="David" w:hint="cs"/>
          <w:sz w:val="20"/>
          <w:szCs w:val="20"/>
          <w:rtl/>
        </w:rPr>
        <w:t>חמאס</w:t>
      </w:r>
      <w:r w:rsidRPr="00D44503">
        <w:rPr>
          <w:rFonts w:cs="David"/>
          <w:sz w:val="20"/>
          <w:szCs w:val="20"/>
          <w:rtl/>
        </w:rPr>
        <w:t xml:space="preserve"> </w:t>
      </w:r>
      <w:r w:rsidRPr="00D44503">
        <w:rPr>
          <w:rFonts w:cs="David" w:hint="cs"/>
          <w:sz w:val="20"/>
          <w:szCs w:val="20"/>
          <w:rtl/>
        </w:rPr>
        <w:t>הודיעה</w:t>
      </w:r>
      <w:r w:rsidRPr="00D44503">
        <w:rPr>
          <w:rFonts w:cs="David"/>
          <w:sz w:val="20"/>
          <w:szCs w:val="20"/>
          <w:rtl/>
        </w:rPr>
        <w:t xml:space="preserve"> </w:t>
      </w:r>
      <w:r w:rsidRPr="00D44503">
        <w:rPr>
          <w:rFonts w:cs="David" w:hint="cs"/>
          <w:sz w:val="20"/>
          <w:szCs w:val="20"/>
          <w:rtl/>
        </w:rPr>
        <w:t>כי</w:t>
      </w:r>
      <w:r w:rsidRPr="00D44503">
        <w:rPr>
          <w:rFonts w:cs="David"/>
          <w:sz w:val="20"/>
          <w:szCs w:val="20"/>
          <w:rtl/>
        </w:rPr>
        <w:t xml:space="preserve"> </w:t>
      </w:r>
      <w:r w:rsidRPr="00D44503">
        <w:rPr>
          <w:rFonts w:cs="David" w:hint="cs"/>
          <w:sz w:val="20"/>
          <w:szCs w:val="20"/>
          <w:rtl/>
        </w:rPr>
        <w:t>לא</w:t>
      </w:r>
      <w:r w:rsidRPr="00D44503">
        <w:rPr>
          <w:rFonts w:cs="David"/>
          <w:sz w:val="20"/>
          <w:szCs w:val="20"/>
          <w:rtl/>
        </w:rPr>
        <w:t xml:space="preserve"> </w:t>
      </w:r>
      <w:r w:rsidRPr="00D44503">
        <w:rPr>
          <w:rFonts w:cs="David" w:hint="cs"/>
          <w:sz w:val="20"/>
          <w:szCs w:val="20"/>
          <w:rtl/>
        </w:rPr>
        <w:t>תאריך</w:t>
      </w:r>
      <w:r w:rsidRPr="00D44503">
        <w:rPr>
          <w:rFonts w:cs="David"/>
          <w:sz w:val="20"/>
          <w:szCs w:val="20"/>
          <w:rtl/>
        </w:rPr>
        <w:t xml:space="preserve"> </w:t>
      </w:r>
      <w:r w:rsidRPr="00D44503">
        <w:rPr>
          <w:rFonts w:cs="David" w:hint="cs"/>
          <w:sz w:val="20"/>
          <w:szCs w:val="20"/>
          <w:rtl/>
        </w:rPr>
        <w:t>את</w:t>
      </w:r>
      <w:r w:rsidRPr="00D44503">
        <w:rPr>
          <w:rFonts w:cs="David"/>
          <w:sz w:val="20"/>
          <w:szCs w:val="20"/>
          <w:rtl/>
        </w:rPr>
        <w:t xml:space="preserve"> </w:t>
      </w:r>
      <w:r w:rsidRPr="00D44503">
        <w:rPr>
          <w:rFonts w:cs="David" w:hint="cs"/>
          <w:sz w:val="20"/>
          <w:szCs w:val="20"/>
          <w:rtl/>
        </w:rPr>
        <w:t>ההסכם</w:t>
      </w:r>
      <w:r w:rsidRPr="00D44503">
        <w:rPr>
          <w:rFonts w:cs="David"/>
          <w:sz w:val="20"/>
          <w:szCs w:val="20"/>
          <w:rtl/>
        </w:rPr>
        <w:t xml:space="preserve">. </w:t>
      </w:r>
      <w:r w:rsidRPr="00D44503">
        <w:rPr>
          <w:rFonts w:cs="David" w:hint="cs"/>
          <w:sz w:val="20"/>
          <w:szCs w:val="20"/>
          <w:rtl/>
        </w:rPr>
        <w:t>בנוסף</w:t>
      </w:r>
      <w:r w:rsidRPr="00D44503">
        <w:rPr>
          <w:rFonts w:cs="David"/>
          <w:sz w:val="20"/>
          <w:szCs w:val="20"/>
          <w:rtl/>
        </w:rPr>
        <w:t xml:space="preserve"> </w:t>
      </w:r>
      <w:r w:rsidRPr="00D44503">
        <w:rPr>
          <w:rFonts w:cs="David" w:hint="cs"/>
          <w:sz w:val="20"/>
          <w:szCs w:val="20"/>
          <w:rtl/>
        </w:rPr>
        <w:t>הוא</w:t>
      </w:r>
      <w:r w:rsidRPr="00D44503">
        <w:rPr>
          <w:rFonts w:cs="David"/>
          <w:sz w:val="20"/>
          <w:szCs w:val="20"/>
          <w:rtl/>
        </w:rPr>
        <w:t xml:space="preserve"> </w:t>
      </w:r>
      <w:r w:rsidRPr="00D44503">
        <w:rPr>
          <w:rFonts w:cs="David" w:hint="cs"/>
          <w:sz w:val="20"/>
          <w:szCs w:val="20"/>
          <w:rtl/>
        </w:rPr>
        <w:t>טען</w:t>
      </w:r>
      <w:r w:rsidRPr="00D44503">
        <w:rPr>
          <w:rFonts w:cs="David"/>
          <w:sz w:val="20"/>
          <w:szCs w:val="20"/>
          <w:rtl/>
        </w:rPr>
        <w:t xml:space="preserve"> </w:t>
      </w:r>
      <w:r w:rsidRPr="00D44503">
        <w:rPr>
          <w:rFonts w:cs="David" w:hint="cs"/>
          <w:sz w:val="20"/>
          <w:szCs w:val="20"/>
          <w:rtl/>
        </w:rPr>
        <w:t>כי</w:t>
      </w:r>
      <w:r w:rsidRPr="00D44503">
        <w:rPr>
          <w:rFonts w:cs="David"/>
          <w:sz w:val="20"/>
          <w:szCs w:val="20"/>
          <w:rtl/>
        </w:rPr>
        <w:t xml:space="preserve"> </w:t>
      </w:r>
      <w:r w:rsidRPr="00D44503">
        <w:rPr>
          <w:rFonts w:cs="David" w:hint="cs"/>
          <w:sz w:val="20"/>
          <w:szCs w:val="20"/>
          <w:rtl/>
        </w:rPr>
        <w:t>רק</w:t>
      </w:r>
      <w:r w:rsidRPr="00D44503">
        <w:rPr>
          <w:rFonts w:cs="David"/>
          <w:sz w:val="20"/>
          <w:szCs w:val="20"/>
          <w:rtl/>
        </w:rPr>
        <w:t xml:space="preserve"> </w:t>
      </w:r>
      <w:r w:rsidRPr="00D44503">
        <w:rPr>
          <w:rFonts w:cs="David" w:hint="cs"/>
          <w:sz w:val="20"/>
          <w:szCs w:val="20"/>
          <w:rtl/>
        </w:rPr>
        <w:t>בשני</w:t>
      </w:r>
      <w:r w:rsidRPr="00D44503">
        <w:rPr>
          <w:rFonts w:cs="David"/>
          <w:sz w:val="20"/>
          <w:szCs w:val="20"/>
          <w:rtl/>
        </w:rPr>
        <w:t xml:space="preserve"> </w:t>
      </w:r>
      <w:r w:rsidRPr="00D44503">
        <w:rPr>
          <w:rFonts w:cs="David" w:hint="cs"/>
          <w:sz w:val="20"/>
          <w:szCs w:val="20"/>
          <w:rtl/>
        </w:rPr>
        <w:t>מקרים</w:t>
      </w:r>
      <w:r w:rsidRPr="00D44503">
        <w:rPr>
          <w:rFonts w:cs="David"/>
          <w:sz w:val="20"/>
          <w:szCs w:val="20"/>
          <w:rtl/>
        </w:rPr>
        <w:t xml:space="preserve"> </w:t>
      </w:r>
      <w:r w:rsidRPr="00D44503">
        <w:rPr>
          <w:rFonts w:cs="David" w:hint="cs"/>
          <w:sz w:val="20"/>
          <w:szCs w:val="20"/>
          <w:rtl/>
        </w:rPr>
        <w:t>ישראל</w:t>
      </w:r>
      <w:r w:rsidRPr="00D44503">
        <w:rPr>
          <w:rFonts w:cs="David"/>
          <w:sz w:val="20"/>
          <w:szCs w:val="20"/>
          <w:rtl/>
        </w:rPr>
        <w:t xml:space="preserve"> </w:t>
      </w:r>
      <w:r w:rsidRPr="00D44503">
        <w:rPr>
          <w:rFonts w:cs="David" w:hint="cs"/>
          <w:sz w:val="20"/>
          <w:szCs w:val="20"/>
          <w:rtl/>
        </w:rPr>
        <w:t>נתקלה</w:t>
      </w:r>
      <w:r w:rsidRPr="00D44503">
        <w:rPr>
          <w:rFonts w:cs="David"/>
          <w:sz w:val="20"/>
          <w:szCs w:val="20"/>
          <w:rtl/>
        </w:rPr>
        <w:t xml:space="preserve"> </w:t>
      </w:r>
      <w:r w:rsidRPr="00D44503">
        <w:rPr>
          <w:rFonts w:cs="David" w:hint="cs"/>
          <w:sz w:val="20"/>
          <w:szCs w:val="20"/>
          <w:rtl/>
        </w:rPr>
        <w:t>במצב</w:t>
      </w:r>
      <w:r w:rsidRPr="00D44503">
        <w:rPr>
          <w:rFonts w:cs="David"/>
          <w:sz w:val="20"/>
          <w:szCs w:val="20"/>
          <w:rtl/>
        </w:rPr>
        <w:t xml:space="preserve"> </w:t>
      </w:r>
      <w:r w:rsidRPr="00D44503">
        <w:rPr>
          <w:rFonts w:cs="David" w:hint="cs"/>
          <w:sz w:val="20"/>
          <w:szCs w:val="20"/>
          <w:rtl/>
        </w:rPr>
        <w:t>קרב</w:t>
      </w:r>
      <w:r w:rsidRPr="00D44503">
        <w:rPr>
          <w:rFonts w:cs="David"/>
          <w:sz w:val="20"/>
          <w:szCs w:val="20"/>
          <w:rtl/>
        </w:rPr>
        <w:t xml:space="preserve"> </w:t>
      </w:r>
      <w:r w:rsidRPr="00D44503">
        <w:rPr>
          <w:rFonts w:cs="David" w:hint="cs"/>
          <w:sz w:val="20"/>
          <w:szCs w:val="20"/>
          <w:rtl/>
        </w:rPr>
        <w:t>אמיתי</w:t>
      </w:r>
      <w:r w:rsidRPr="00D44503">
        <w:rPr>
          <w:rFonts w:cs="David"/>
          <w:sz w:val="20"/>
          <w:szCs w:val="20"/>
          <w:rtl/>
        </w:rPr>
        <w:t xml:space="preserve"> </w:t>
      </w:r>
      <w:r w:rsidRPr="00D44503">
        <w:rPr>
          <w:rFonts w:cs="David" w:hint="cs"/>
          <w:sz w:val="20"/>
          <w:szCs w:val="20"/>
          <w:rtl/>
        </w:rPr>
        <w:t>במבצע</w:t>
      </w:r>
      <w:r w:rsidRPr="00D44503">
        <w:rPr>
          <w:rFonts w:cs="David"/>
          <w:sz w:val="20"/>
          <w:szCs w:val="20"/>
          <w:rtl/>
        </w:rPr>
        <w:t xml:space="preserve">. </w:t>
      </w:r>
      <w:r w:rsidRPr="00D44503">
        <w:rPr>
          <w:rFonts w:cs="David" w:hint="cs"/>
          <w:sz w:val="20"/>
          <w:szCs w:val="20"/>
          <w:rtl/>
        </w:rPr>
        <w:t>טרוורס</w:t>
      </w:r>
      <w:r w:rsidRPr="00D44503">
        <w:rPr>
          <w:rFonts w:cs="David"/>
          <w:sz w:val="20"/>
          <w:szCs w:val="20"/>
          <w:rtl/>
        </w:rPr>
        <w:t xml:space="preserve"> </w:t>
      </w:r>
      <w:r w:rsidRPr="00D44503">
        <w:rPr>
          <w:rFonts w:cs="David" w:hint="cs"/>
          <w:sz w:val="20"/>
          <w:szCs w:val="20"/>
          <w:rtl/>
        </w:rPr>
        <w:t>טען</w:t>
      </w:r>
      <w:r w:rsidRPr="00D44503">
        <w:rPr>
          <w:rFonts w:cs="David"/>
          <w:sz w:val="20"/>
          <w:szCs w:val="20"/>
          <w:rtl/>
        </w:rPr>
        <w:t xml:space="preserve"> </w:t>
      </w:r>
      <w:r w:rsidRPr="00D44503">
        <w:rPr>
          <w:rFonts w:cs="David" w:hint="cs"/>
          <w:sz w:val="20"/>
          <w:szCs w:val="20"/>
          <w:rtl/>
        </w:rPr>
        <w:t>כי</w:t>
      </w:r>
      <w:r w:rsidRPr="00D44503">
        <w:rPr>
          <w:rFonts w:cs="David"/>
          <w:sz w:val="20"/>
          <w:szCs w:val="20"/>
          <w:rtl/>
        </w:rPr>
        <w:t xml:space="preserve"> </w:t>
      </w:r>
      <w:r w:rsidRPr="00D44503">
        <w:rPr>
          <w:rFonts w:cs="David" w:hint="cs"/>
          <w:sz w:val="20"/>
          <w:szCs w:val="20"/>
          <w:rtl/>
        </w:rPr>
        <w:t>לא</w:t>
      </w:r>
      <w:r w:rsidRPr="00D44503">
        <w:rPr>
          <w:rFonts w:cs="David"/>
          <w:sz w:val="20"/>
          <w:szCs w:val="20"/>
          <w:rtl/>
        </w:rPr>
        <w:t xml:space="preserve"> </w:t>
      </w:r>
      <w:r w:rsidRPr="00D44503">
        <w:rPr>
          <w:rFonts w:cs="David" w:hint="cs"/>
          <w:sz w:val="20"/>
          <w:szCs w:val="20"/>
          <w:rtl/>
        </w:rPr>
        <w:t>נמצאו</w:t>
      </w:r>
      <w:r w:rsidRPr="00D44503">
        <w:rPr>
          <w:rFonts w:cs="David"/>
          <w:sz w:val="20"/>
          <w:szCs w:val="20"/>
          <w:rtl/>
        </w:rPr>
        <w:t xml:space="preserve"> </w:t>
      </w:r>
      <w:r w:rsidRPr="00D44503">
        <w:rPr>
          <w:rFonts w:cs="David" w:hint="cs"/>
          <w:sz w:val="20"/>
          <w:szCs w:val="20"/>
          <w:rtl/>
        </w:rPr>
        <w:t>כל</w:t>
      </w:r>
      <w:r w:rsidRPr="00D44503">
        <w:rPr>
          <w:rFonts w:cs="David"/>
          <w:sz w:val="20"/>
          <w:szCs w:val="20"/>
          <w:rtl/>
        </w:rPr>
        <w:t xml:space="preserve"> </w:t>
      </w:r>
      <w:r w:rsidRPr="00D44503">
        <w:rPr>
          <w:rFonts w:cs="David" w:hint="cs"/>
          <w:sz w:val="20"/>
          <w:szCs w:val="20"/>
          <w:rtl/>
        </w:rPr>
        <w:t>ראיות</w:t>
      </w:r>
      <w:r w:rsidRPr="00D44503">
        <w:rPr>
          <w:rFonts w:cs="David"/>
          <w:sz w:val="20"/>
          <w:szCs w:val="20"/>
          <w:rtl/>
        </w:rPr>
        <w:t xml:space="preserve"> </w:t>
      </w:r>
      <w:r w:rsidRPr="00D44503">
        <w:rPr>
          <w:rFonts w:cs="David" w:hint="cs"/>
          <w:sz w:val="20"/>
          <w:szCs w:val="20"/>
          <w:rtl/>
        </w:rPr>
        <w:t>לטענה</w:t>
      </w:r>
      <w:r w:rsidRPr="00D44503">
        <w:rPr>
          <w:rFonts w:cs="David"/>
          <w:sz w:val="20"/>
          <w:szCs w:val="20"/>
          <w:rtl/>
        </w:rPr>
        <w:t xml:space="preserve"> </w:t>
      </w:r>
      <w:r w:rsidRPr="00D44503">
        <w:rPr>
          <w:rFonts w:cs="David" w:hint="cs"/>
          <w:sz w:val="20"/>
          <w:szCs w:val="20"/>
          <w:rtl/>
        </w:rPr>
        <w:t>הישראלית</w:t>
      </w:r>
      <w:r w:rsidRPr="00D44503">
        <w:rPr>
          <w:rFonts w:cs="David"/>
          <w:sz w:val="20"/>
          <w:szCs w:val="20"/>
          <w:rtl/>
        </w:rPr>
        <w:t xml:space="preserve"> </w:t>
      </w:r>
      <w:r w:rsidRPr="00D44503">
        <w:rPr>
          <w:rFonts w:cs="David" w:hint="cs"/>
          <w:sz w:val="20"/>
          <w:szCs w:val="20"/>
          <w:rtl/>
        </w:rPr>
        <w:t>כי</w:t>
      </w:r>
      <w:r w:rsidRPr="00D44503">
        <w:rPr>
          <w:rFonts w:cs="David"/>
          <w:sz w:val="20"/>
          <w:szCs w:val="20"/>
          <w:rtl/>
        </w:rPr>
        <w:t xml:space="preserve"> </w:t>
      </w:r>
      <w:r w:rsidRPr="00D44503">
        <w:rPr>
          <w:rFonts w:cs="David" w:hint="cs"/>
          <w:sz w:val="20"/>
          <w:szCs w:val="20"/>
          <w:rtl/>
        </w:rPr>
        <w:t>נעשה</w:t>
      </w:r>
      <w:r w:rsidRPr="00D44503">
        <w:rPr>
          <w:rFonts w:cs="David"/>
          <w:sz w:val="20"/>
          <w:szCs w:val="20"/>
          <w:rtl/>
        </w:rPr>
        <w:t xml:space="preserve"> </w:t>
      </w:r>
      <w:r w:rsidRPr="00D44503">
        <w:rPr>
          <w:rFonts w:cs="David" w:hint="cs"/>
          <w:sz w:val="20"/>
          <w:szCs w:val="20"/>
          <w:rtl/>
        </w:rPr>
        <w:t>שימוש</w:t>
      </w:r>
      <w:r w:rsidRPr="00D44503">
        <w:rPr>
          <w:rFonts w:cs="David"/>
          <w:sz w:val="20"/>
          <w:szCs w:val="20"/>
          <w:rtl/>
        </w:rPr>
        <w:t xml:space="preserve"> </w:t>
      </w:r>
      <w:r w:rsidRPr="00D44503">
        <w:rPr>
          <w:rFonts w:cs="David" w:hint="cs"/>
          <w:sz w:val="20"/>
          <w:szCs w:val="20"/>
          <w:rtl/>
        </w:rPr>
        <w:t>במסגדים</w:t>
      </w:r>
      <w:r w:rsidRPr="00D44503">
        <w:rPr>
          <w:rFonts w:cs="David"/>
          <w:sz w:val="20"/>
          <w:szCs w:val="20"/>
          <w:rtl/>
        </w:rPr>
        <w:t xml:space="preserve"> </w:t>
      </w:r>
      <w:r w:rsidRPr="00D44503">
        <w:rPr>
          <w:rFonts w:cs="David" w:hint="cs"/>
          <w:sz w:val="20"/>
          <w:szCs w:val="20"/>
          <w:rtl/>
        </w:rPr>
        <w:t>בעזה</w:t>
      </w:r>
      <w:r w:rsidRPr="00D44503">
        <w:rPr>
          <w:rFonts w:cs="David"/>
          <w:sz w:val="20"/>
          <w:szCs w:val="20"/>
          <w:rtl/>
        </w:rPr>
        <w:t xml:space="preserve"> </w:t>
      </w:r>
      <w:r w:rsidRPr="00D44503">
        <w:rPr>
          <w:rFonts w:cs="David" w:hint="cs"/>
          <w:sz w:val="20"/>
          <w:szCs w:val="20"/>
          <w:rtl/>
        </w:rPr>
        <w:t>כדי</w:t>
      </w:r>
      <w:r w:rsidRPr="00D44503">
        <w:rPr>
          <w:rFonts w:cs="David"/>
          <w:sz w:val="20"/>
          <w:szCs w:val="20"/>
          <w:rtl/>
        </w:rPr>
        <w:t xml:space="preserve"> </w:t>
      </w:r>
      <w:r w:rsidRPr="00D44503">
        <w:rPr>
          <w:rFonts w:cs="David" w:hint="cs"/>
          <w:sz w:val="20"/>
          <w:szCs w:val="20"/>
          <w:rtl/>
        </w:rPr>
        <w:t>לאחסן</w:t>
      </w:r>
      <w:r w:rsidRPr="00D44503">
        <w:rPr>
          <w:rFonts w:cs="David"/>
          <w:sz w:val="20"/>
          <w:szCs w:val="20"/>
          <w:rtl/>
        </w:rPr>
        <w:t xml:space="preserve"> </w:t>
      </w:r>
      <w:r w:rsidRPr="00D44503">
        <w:rPr>
          <w:rFonts w:cs="David" w:hint="cs"/>
          <w:sz w:val="20"/>
          <w:szCs w:val="20"/>
          <w:rtl/>
        </w:rPr>
        <w:t>כלי</w:t>
      </w:r>
      <w:r w:rsidRPr="00D44503">
        <w:rPr>
          <w:rFonts w:cs="David"/>
          <w:sz w:val="20"/>
          <w:szCs w:val="20"/>
          <w:rtl/>
        </w:rPr>
        <w:t xml:space="preserve"> </w:t>
      </w:r>
      <w:r w:rsidRPr="00D44503">
        <w:rPr>
          <w:rFonts w:cs="David" w:hint="cs"/>
          <w:sz w:val="20"/>
          <w:szCs w:val="20"/>
          <w:rtl/>
        </w:rPr>
        <w:t>נשק</w:t>
      </w:r>
      <w:r w:rsidRPr="00D44503">
        <w:rPr>
          <w:rFonts w:cs="David"/>
          <w:sz w:val="20"/>
          <w:szCs w:val="20"/>
          <w:rtl/>
        </w:rPr>
        <w:t xml:space="preserve">, </w:t>
      </w:r>
      <w:r w:rsidRPr="00D44503">
        <w:rPr>
          <w:rFonts w:cs="David" w:hint="cs"/>
          <w:sz w:val="20"/>
          <w:szCs w:val="20"/>
          <w:rtl/>
        </w:rPr>
        <w:t>אך</w:t>
      </w:r>
      <w:r w:rsidRPr="00D44503">
        <w:rPr>
          <w:rFonts w:cs="David"/>
          <w:sz w:val="20"/>
          <w:szCs w:val="20"/>
          <w:rtl/>
        </w:rPr>
        <w:t xml:space="preserve"> </w:t>
      </w:r>
      <w:r w:rsidRPr="00D44503">
        <w:rPr>
          <w:rFonts w:cs="David" w:hint="cs"/>
          <w:sz w:val="20"/>
          <w:szCs w:val="20"/>
          <w:rtl/>
        </w:rPr>
        <w:t>כשנשאל</w:t>
      </w:r>
      <w:r w:rsidRPr="00D44503">
        <w:rPr>
          <w:rFonts w:cs="David"/>
          <w:sz w:val="20"/>
          <w:szCs w:val="20"/>
          <w:rtl/>
        </w:rPr>
        <w:t xml:space="preserve"> </w:t>
      </w:r>
      <w:r w:rsidRPr="00D44503">
        <w:rPr>
          <w:rFonts w:cs="David" w:hint="cs"/>
          <w:sz w:val="20"/>
          <w:szCs w:val="20"/>
          <w:rtl/>
        </w:rPr>
        <w:t>כמה</w:t>
      </w:r>
      <w:r w:rsidRPr="00D44503">
        <w:rPr>
          <w:rFonts w:cs="David"/>
          <w:sz w:val="20"/>
          <w:szCs w:val="20"/>
          <w:rtl/>
        </w:rPr>
        <w:t xml:space="preserve"> </w:t>
      </w:r>
      <w:r w:rsidRPr="00D44503">
        <w:rPr>
          <w:rFonts w:cs="David" w:hint="cs"/>
          <w:sz w:val="20"/>
          <w:szCs w:val="20"/>
          <w:rtl/>
        </w:rPr>
        <w:t>מסגדים</w:t>
      </w:r>
      <w:r w:rsidRPr="00D44503">
        <w:rPr>
          <w:rFonts w:cs="David"/>
          <w:sz w:val="20"/>
          <w:szCs w:val="20"/>
          <w:rtl/>
        </w:rPr>
        <w:t xml:space="preserve"> </w:t>
      </w:r>
      <w:r w:rsidRPr="00D44503">
        <w:rPr>
          <w:rFonts w:cs="David" w:hint="cs"/>
          <w:sz w:val="20"/>
          <w:szCs w:val="20"/>
          <w:rtl/>
        </w:rPr>
        <w:t>נבדקו</w:t>
      </w:r>
      <w:r w:rsidRPr="00D44503">
        <w:rPr>
          <w:rFonts w:cs="David"/>
          <w:sz w:val="20"/>
          <w:szCs w:val="20"/>
          <w:rtl/>
        </w:rPr>
        <w:t xml:space="preserve"> </w:t>
      </w:r>
      <w:r w:rsidRPr="00D44503">
        <w:rPr>
          <w:rFonts w:cs="David" w:hint="cs"/>
          <w:sz w:val="20"/>
          <w:szCs w:val="20"/>
          <w:rtl/>
        </w:rPr>
        <w:t>ציין</w:t>
      </w:r>
      <w:r w:rsidRPr="00D44503">
        <w:rPr>
          <w:rFonts w:cs="David"/>
          <w:sz w:val="20"/>
          <w:szCs w:val="20"/>
          <w:rtl/>
        </w:rPr>
        <w:t xml:space="preserve"> </w:t>
      </w:r>
      <w:r w:rsidRPr="00D44503">
        <w:rPr>
          <w:rFonts w:cs="David" w:hint="cs"/>
          <w:sz w:val="20"/>
          <w:szCs w:val="20"/>
          <w:rtl/>
        </w:rPr>
        <w:t>שנבדקו</w:t>
      </w:r>
      <w:r w:rsidRPr="00D44503">
        <w:rPr>
          <w:rFonts w:cs="David"/>
          <w:sz w:val="20"/>
          <w:szCs w:val="20"/>
          <w:rtl/>
        </w:rPr>
        <w:t xml:space="preserve"> </w:t>
      </w:r>
      <w:r w:rsidRPr="00D44503">
        <w:rPr>
          <w:rFonts w:cs="David" w:hint="cs"/>
          <w:sz w:val="20"/>
          <w:szCs w:val="20"/>
          <w:rtl/>
        </w:rPr>
        <w:t>שניים</w:t>
      </w:r>
      <w:r w:rsidRPr="00D44503">
        <w:rPr>
          <w:rFonts w:cs="David"/>
          <w:sz w:val="20"/>
          <w:szCs w:val="20"/>
          <w:rtl/>
        </w:rPr>
        <w:t xml:space="preserve"> </w:t>
      </w:r>
      <w:r w:rsidRPr="00D44503">
        <w:rPr>
          <w:rFonts w:cs="David" w:hint="cs"/>
          <w:sz w:val="20"/>
          <w:szCs w:val="20"/>
          <w:rtl/>
        </w:rPr>
        <w:t>בלבד</w:t>
      </w:r>
      <w:r w:rsidRPr="00D44503">
        <w:rPr>
          <w:rFonts w:cs="David"/>
          <w:sz w:val="20"/>
          <w:szCs w:val="20"/>
          <w:rtl/>
        </w:rPr>
        <w:t xml:space="preserve">. </w:t>
      </w:r>
      <w:r w:rsidRPr="00D44503">
        <w:rPr>
          <w:rFonts w:cs="David" w:hint="cs"/>
          <w:sz w:val="20"/>
          <w:szCs w:val="20"/>
          <w:rtl/>
        </w:rPr>
        <w:t>לגבי</w:t>
      </w:r>
      <w:r w:rsidRPr="00D44503">
        <w:rPr>
          <w:rFonts w:cs="David"/>
          <w:sz w:val="20"/>
          <w:szCs w:val="20"/>
          <w:rtl/>
        </w:rPr>
        <w:t xml:space="preserve"> </w:t>
      </w:r>
      <w:r w:rsidRPr="00D44503">
        <w:rPr>
          <w:rFonts w:cs="David" w:hint="cs"/>
          <w:sz w:val="20"/>
          <w:szCs w:val="20"/>
          <w:rtl/>
        </w:rPr>
        <w:t>הראיות</w:t>
      </w:r>
      <w:r w:rsidRPr="00D44503">
        <w:rPr>
          <w:rFonts w:cs="David"/>
          <w:sz w:val="20"/>
          <w:szCs w:val="20"/>
          <w:rtl/>
        </w:rPr>
        <w:t xml:space="preserve"> </w:t>
      </w:r>
      <w:r w:rsidRPr="00D44503">
        <w:rPr>
          <w:rFonts w:cs="David" w:hint="cs"/>
          <w:sz w:val="20"/>
          <w:szCs w:val="20"/>
          <w:rtl/>
        </w:rPr>
        <w:t>שהוצגו</w:t>
      </w:r>
      <w:r w:rsidRPr="00D44503">
        <w:rPr>
          <w:rFonts w:cs="David"/>
          <w:sz w:val="20"/>
          <w:szCs w:val="20"/>
          <w:rtl/>
        </w:rPr>
        <w:t xml:space="preserve"> </w:t>
      </w:r>
      <w:r w:rsidRPr="00D44503">
        <w:rPr>
          <w:rFonts w:cs="David" w:hint="cs"/>
          <w:sz w:val="20"/>
          <w:szCs w:val="20"/>
          <w:rtl/>
        </w:rPr>
        <w:t>על</w:t>
      </w:r>
      <w:r w:rsidRPr="00D44503">
        <w:rPr>
          <w:rFonts w:cs="David"/>
          <w:sz w:val="20"/>
          <w:szCs w:val="20"/>
          <w:rtl/>
        </w:rPr>
        <w:t xml:space="preserve"> </w:t>
      </w:r>
      <w:r w:rsidRPr="00D44503">
        <w:rPr>
          <w:rFonts w:cs="David" w:hint="cs"/>
          <w:sz w:val="20"/>
          <w:szCs w:val="20"/>
          <w:rtl/>
        </w:rPr>
        <w:t>ידי</w:t>
      </w:r>
      <w:r w:rsidRPr="00D44503">
        <w:rPr>
          <w:rFonts w:cs="David"/>
          <w:sz w:val="20"/>
          <w:szCs w:val="20"/>
          <w:rtl/>
        </w:rPr>
        <w:t xml:space="preserve"> </w:t>
      </w:r>
      <w:r w:rsidRPr="00D44503">
        <w:rPr>
          <w:rFonts w:cs="David" w:hint="cs"/>
          <w:sz w:val="20"/>
          <w:szCs w:val="20"/>
          <w:rtl/>
        </w:rPr>
        <w:t>ישראל</w:t>
      </w:r>
      <w:r w:rsidRPr="00D44503">
        <w:rPr>
          <w:rFonts w:cs="David"/>
          <w:sz w:val="20"/>
          <w:szCs w:val="20"/>
          <w:rtl/>
        </w:rPr>
        <w:t xml:space="preserve"> </w:t>
      </w:r>
      <w:r w:rsidRPr="00D44503">
        <w:rPr>
          <w:rFonts w:cs="David" w:hint="cs"/>
          <w:sz w:val="20"/>
          <w:szCs w:val="20"/>
          <w:rtl/>
        </w:rPr>
        <w:t>לעניין</w:t>
      </w:r>
      <w:r w:rsidRPr="00D44503">
        <w:rPr>
          <w:rFonts w:cs="David"/>
          <w:sz w:val="20"/>
          <w:szCs w:val="20"/>
          <w:rtl/>
        </w:rPr>
        <w:t xml:space="preserve"> </w:t>
      </w:r>
      <w:r w:rsidRPr="00D44503">
        <w:rPr>
          <w:rFonts w:cs="David" w:hint="cs"/>
          <w:sz w:val="20"/>
          <w:szCs w:val="20"/>
          <w:rtl/>
        </w:rPr>
        <w:t>זה</w:t>
      </w:r>
      <w:r w:rsidRPr="00D44503">
        <w:rPr>
          <w:rFonts w:cs="David"/>
          <w:sz w:val="20"/>
          <w:szCs w:val="20"/>
          <w:rtl/>
        </w:rPr>
        <w:t xml:space="preserve"> </w:t>
      </w:r>
      <w:r w:rsidRPr="00D44503">
        <w:rPr>
          <w:rFonts w:cs="David" w:hint="cs"/>
          <w:sz w:val="20"/>
          <w:szCs w:val="20"/>
          <w:rtl/>
        </w:rPr>
        <w:t>טען</w:t>
      </w:r>
      <w:r w:rsidRPr="00D44503">
        <w:rPr>
          <w:rFonts w:cs="David"/>
          <w:sz w:val="20"/>
          <w:szCs w:val="20"/>
          <w:rtl/>
        </w:rPr>
        <w:t xml:space="preserve"> </w:t>
      </w:r>
      <w:r w:rsidRPr="00D44503">
        <w:rPr>
          <w:rFonts w:cs="David" w:hint="cs"/>
          <w:sz w:val="20"/>
          <w:szCs w:val="20"/>
          <w:rtl/>
        </w:rPr>
        <w:t>שהן</w:t>
      </w:r>
      <w:r w:rsidRPr="00D44503">
        <w:rPr>
          <w:rFonts w:cs="David"/>
          <w:sz w:val="20"/>
          <w:szCs w:val="20"/>
          <w:rtl/>
        </w:rPr>
        <w:t xml:space="preserve"> </w:t>
      </w:r>
      <w:r w:rsidRPr="00D44503">
        <w:rPr>
          <w:rFonts w:cs="David" w:hint="cs"/>
          <w:sz w:val="20"/>
          <w:szCs w:val="20"/>
          <w:rtl/>
        </w:rPr>
        <w:t>מזויפות</w:t>
      </w:r>
      <w:r w:rsidRPr="00D44503">
        <w:rPr>
          <w:rFonts w:cs="David"/>
          <w:sz w:val="20"/>
          <w:szCs w:val="20"/>
          <w:rtl/>
        </w:rPr>
        <w:t xml:space="preserve">. </w:t>
      </w:r>
      <w:r w:rsidRPr="00D44503">
        <w:rPr>
          <w:rFonts w:cs="David" w:hint="cs"/>
          <w:sz w:val="20"/>
          <w:szCs w:val="20"/>
          <w:rtl/>
        </w:rPr>
        <w:t>במהלך</w:t>
      </w:r>
      <w:r w:rsidRPr="00D44503">
        <w:rPr>
          <w:rFonts w:cs="David"/>
          <w:sz w:val="20"/>
          <w:szCs w:val="20"/>
          <w:rtl/>
        </w:rPr>
        <w:t xml:space="preserve"> </w:t>
      </w:r>
      <w:r w:rsidRPr="00D44503">
        <w:rPr>
          <w:rFonts w:cs="David" w:hint="cs"/>
          <w:sz w:val="20"/>
          <w:szCs w:val="20"/>
          <w:rtl/>
        </w:rPr>
        <w:t>הראיונות</w:t>
      </w:r>
      <w:r w:rsidRPr="00D44503">
        <w:rPr>
          <w:rFonts w:cs="David"/>
          <w:sz w:val="20"/>
          <w:szCs w:val="20"/>
          <w:rtl/>
        </w:rPr>
        <w:t xml:space="preserve">, </w:t>
      </w:r>
      <w:r w:rsidRPr="00D44503">
        <w:rPr>
          <w:rFonts w:cs="David" w:hint="cs"/>
          <w:sz w:val="20"/>
          <w:szCs w:val="20"/>
          <w:rtl/>
        </w:rPr>
        <w:t>שקיים</w:t>
      </w:r>
      <w:r w:rsidRPr="00D44503">
        <w:rPr>
          <w:rFonts w:cs="David"/>
          <w:sz w:val="20"/>
          <w:szCs w:val="20"/>
          <w:rtl/>
        </w:rPr>
        <w:t xml:space="preserve"> </w:t>
      </w:r>
      <w:r w:rsidRPr="00D44503">
        <w:rPr>
          <w:rFonts w:cs="David" w:hint="cs"/>
          <w:sz w:val="20"/>
          <w:szCs w:val="20"/>
          <w:rtl/>
        </w:rPr>
        <w:t>עם</w:t>
      </w:r>
      <w:r w:rsidRPr="00D44503">
        <w:rPr>
          <w:rFonts w:cs="David"/>
          <w:sz w:val="20"/>
          <w:szCs w:val="20"/>
          <w:rtl/>
        </w:rPr>
        <w:t xml:space="preserve"> </w:t>
      </w:r>
      <w:r w:rsidRPr="00D44503">
        <w:rPr>
          <w:rFonts w:cs="David" w:hint="cs"/>
          <w:sz w:val="20"/>
          <w:szCs w:val="20"/>
          <w:rtl/>
        </w:rPr>
        <w:t>העדים</w:t>
      </w:r>
      <w:r w:rsidRPr="00D44503">
        <w:rPr>
          <w:rFonts w:cs="David"/>
          <w:sz w:val="20"/>
          <w:szCs w:val="20"/>
          <w:rtl/>
        </w:rPr>
        <w:t xml:space="preserve"> </w:t>
      </w:r>
      <w:r w:rsidRPr="00D44503">
        <w:rPr>
          <w:rFonts w:cs="David" w:hint="cs"/>
          <w:sz w:val="20"/>
          <w:szCs w:val="20"/>
          <w:rtl/>
        </w:rPr>
        <w:t>הפלסטינים</w:t>
      </w:r>
      <w:r w:rsidRPr="00D44503">
        <w:rPr>
          <w:rFonts w:cs="David"/>
          <w:sz w:val="20"/>
          <w:szCs w:val="20"/>
          <w:rtl/>
        </w:rPr>
        <w:t xml:space="preserve"> </w:t>
      </w:r>
      <w:r w:rsidRPr="00D44503">
        <w:rPr>
          <w:rFonts w:cs="David" w:hint="cs"/>
          <w:sz w:val="20"/>
          <w:szCs w:val="20"/>
          <w:rtl/>
        </w:rPr>
        <w:t>בעזה</w:t>
      </w:r>
      <w:r w:rsidRPr="00D44503">
        <w:rPr>
          <w:rFonts w:cs="David"/>
          <w:sz w:val="20"/>
          <w:szCs w:val="20"/>
          <w:rtl/>
        </w:rPr>
        <w:t xml:space="preserve">, </w:t>
      </w:r>
      <w:r w:rsidRPr="00D44503">
        <w:rPr>
          <w:rFonts w:cs="David" w:hint="cs"/>
          <w:sz w:val="20"/>
          <w:szCs w:val="20"/>
          <w:rtl/>
        </w:rPr>
        <w:t>נמנע</w:t>
      </w:r>
      <w:r w:rsidRPr="00D44503">
        <w:rPr>
          <w:rFonts w:cs="David"/>
          <w:sz w:val="20"/>
          <w:szCs w:val="20"/>
          <w:rtl/>
        </w:rPr>
        <w:t xml:space="preserve"> </w:t>
      </w:r>
      <w:r w:rsidRPr="00D44503">
        <w:rPr>
          <w:rFonts w:cs="David" w:hint="cs"/>
          <w:sz w:val="20"/>
          <w:szCs w:val="20"/>
          <w:rtl/>
        </w:rPr>
        <w:t>טרוורס</w:t>
      </w:r>
      <w:r w:rsidRPr="00D44503">
        <w:rPr>
          <w:rFonts w:cs="David"/>
          <w:sz w:val="20"/>
          <w:szCs w:val="20"/>
          <w:rtl/>
        </w:rPr>
        <w:t xml:space="preserve"> </w:t>
      </w:r>
      <w:r w:rsidRPr="00D44503">
        <w:rPr>
          <w:rFonts w:cs="David" w:hint="cs"/>
          <w:sz w:val="20"/>
          <w:szCs w:val="20"/>
          <w:rtl/>
        </w:rPr>
        <w:t>מלשאול</w:t>
      </w:r>
      <w:r w:rsidRPr="00D44503">
        <w:rPr>
          <w:rFonts w:cs="David"/>
          <w:sz w:val="20"/>
          <w:szCs w:val="20"/>
          <w:rtl/>
        </w:rPr>
        <w:t xml:space="preserve"> </w:t>
      </w:r>
      <w:r w:rsidRPr="00D44503">
        <w:rPr>
          <w:rFonts w:cs="David" w:hint="cs"/>
          <w:sz w:val="20"/>
          <w:szCs w:val="20"/>
          <w:rtl/>
        </w:rPr>
        <w:t>אותם</w:t>
      </w:r>
      <w:r w:rsidRPr="00D44503">
        <w:rPr>
          <w:rFonts w:cs="David"/>
          <w:sz w:val="20"/>
          <w:szCs w:val="20"/>
          <w:rtl/>
        </w:rPr>
        <w:t xml:space="preserve"> </w:t>
      </w:r>
      <w:r w:rsidRPr="00D44503">
        <w:rPr>
          <w:rFonts w:cs="David" w:hint="cs"/>
          <w:sz w:val="20"/>
          <w:szCs w:val="20"/>
          <w:rtl/>
        </w:rPr>
        <w:t>את</w:t>
      </w:r>
      <w:r w:rsidRPr="00D44503">
        <w:rPr>
          <w:rFonts w:cs="David"/>
          <w:sz w:val="20"/>
          <w:szCs w:val="20"/>
          <w:rtl/>
        </w:rPr>
        <w:t xml:space="preserve"> </w:t>
      </w:r>
      <w:r w:rsidRPr="00D44503">
        <w:rPr>
          <w:rFonts w:cs="David" w:hint="cs"/>
          <w:sz w:val="20"/>
          <w:szCs w:val="20"/>
          <w:rtl/>
        </w:rPr>
        <w:t>השאלות</w:t>
      </w:r>
      <w:r w:rsidRPr="00D44503">
        <w:rPr>
          <w:rFonts w:cs="David"/>
          <w:sz w:val="20"/>
          <w:szCs w:val="20"/>
          <w:rtl/>
        </w:rPr>
        <w:t xml:space="preserve"> </w:t>
      </w:r>
      <w:r w:rsidRPr="00D44503">
        <w:rPr>
          <w:rFonts w:cs="David" w:hint="cs"/>
          <w:sz w:val="20"/>
          <w:szCs w:val="20"/>
          <w:rtl/>
        </w:rPr>
        <w:t>הרלוונטיות</w:t>
      </w:r>
      <w:r w:rsidRPr="00D44503">
        <w:rPr>
          <w:rFonts w:cs="David"/>
          <w:sz w:val="20"/>
          <w:szCs w:val="20"/>
          <w:rtl/>
        </w:rPr>
        <w:t xml:space="preserve"> </w:t>
      </w:r>
      <w:r w:rsidRPr="00D44503">
        <w:rPr>
          <w:rFonts w:cs="David" w:hint="cs"/>
          <w:sz w:val="20"/>
          <w:szCs w:val="20"/>
          <w:rtl/>
        </w:rPr>
        <w:t>ביותר</w:t>
      </w:r>
      <w:r w:rsidRPr="00D44503">
        <w:rPr>
          <w:rFonts w:cs="David"/>
          <w:sz w:val="20"/>
          <w:szCs w:val="20"/>
          <w:rtl/>
        </w:rPr>
        <w:t xml:space="preserve">, </w:t>
      </w:r>
      <w:r w:rsidRPr="00D44503">
        <w:rPr>
          <w:rFonts w:cs="David" w:hint="cs"/>
          <w:sz w:val="20"/>
          <w:szCs w:val="20"/>
          <w:rtl/>
        </w:rPr>
        <w:t>קרי</w:t>
      </w:r>
      <w:r w:rsidRPr="00D44503">
        <w:rPr>
          <w:rFonts w:cs="David"/>
          <w:sz w:val="20"/>
          <w:szCs w:val="20"/>
          <w:rtl/>
        </w:rPr>
        <w:t xml:space="preserve">: </w:t>
      </w:r>
      <w:r w:rsidRPr="00D44503">
        <w:rPr>
          <w:rFonts w:cs="David" w:hint="cs"/>
          <w:sz w:val="20"/>
          <w:szCs w:val="20"/>
          <w:rtl/>
        </w:rPr>
        <w:t>אם</w:t>
      </w:r>
      <w:r w:rsidRPr="00D44503">
        <w:rPr>
          <w:rFonts w:cs="David"/>
          <w:sz w:val="20"/>
          <w:szCs w:val="20"/>
          <w:rtl/>
        </w:rPr>
        <w:t xml:space="preserve"> </w:t>
      </w:r>
      <w:r w:rsidRPr="00D44503">
        <w:rPr>
          <w:rFonts w:cs="David" w:hint="cs"/>
          <w:sz w:val="20"/>
          <w:szCs w:val="20"/>
          <w:rtl/>
        </w:rPr>
        <w:t>הם</w:t>
      </w:r>
      <w:r w:rsidRPr="00D44503">
        <w:rPr>
          <w:rFonts w:cs="David"/>
          <w:sz w:val="20"/>
          <w:szCs w:val="20"/>
          <w:rtl/>
        </w:rPr>
        <w:t xml:space="preserve"> </w:t>
      </w:r>
      <w:r w:rsidRPr="00D44503">
        <w:rPr>
          <w:rFonts w:cs="David" w:hint="cs"/>
          <w:sz w:val="20"/>
          <w:szCs w:val="20"/>
          <w:rtl/>
        </w:rPr>
        <w:t>היו</w:t>
      </w:r>
      <w:r w:rsidRPr="00D44503">
        <w:rPr>
          <w:rFonts w:cs="David"/>
          <w:sz w:val="20"/>
          <w:szCs w:val="20"/>
          <w:rtl/>
        </w:rPr>
        <w:t xml:space="preserve"> </w:t>
      </w:r>
      <w:r w:rsidRPr="00D44503">
        <w:rPr>
          <w:rFonts w:cs="David" w:hint="cs"/>
          <w:sz w:val="20"/>
          <w:szCs w:val="20"/>
          <w:rtl/>
        </w:rPr>
        <w:t>לוחמים</w:t>
      </w:r>
      <w:r w:rsidRPr="00D44503">
        <w:rPr>
          <w:rFonts w:cs="David"/>
          <w:sz w:val="20"/>
          <w:szCs w:val="20"/>
          <w:rtl/>
        </w:rPr>
        <w:t xml:space="preserve"> </w:t>
      </w:r>
      <w:r w:rsidRPr="00D44503">
        <w:rPr>
          <w:rFonts w:cs="David" w:hint="cs"/>
          <w:sz w:val="20"/>
          <w:szCs w:val="20"/>
          <w:rtl/>
        </w:rPr>
        <w:t>או</w:t>
      </w:r>
      <w:r w:rsidRPr="00D44503">
        <w:rPr>
          <w:rFonts w:cs="David"/>
          <w:sz w:val="20"/>
          <w:szCs w:val="20"/>
          <w:rtl/>
        </w:rPr>
        <w:t xml:space="preserve"> </w:t>
      </w:r>
      <w:r w:rsidRPr="00D44503">
        <w:rPr>
          <w:rFonts w:cs="David" w:hint="cs"/>
          <w:sz w:val="20"/>
          <w:szCs w:val="20"/>
          <w:rtl/>
        </w:rPr>
        <w:t>אם</w:t>
      </w:r>
      <w:r w:rsidRPr="00D44503">
        <w:rPr>
          <w:rFonts w:cs="David"/>
          <w:sz w:val="20"/>
          <w:szCs w:val="20"/>
          <w:rtl/>
        </w:rPr>
        <w:t xml:space="preserve"> </w:t>
      </w:r>
      <w:r w:rsidRPr="00D44503">
        <w:rPr>
          <w:rFonts w:cs="David" w:hint="cs"/>
          <w:sz w:val="20"/>
          <w:szCs w:val="20"/>
          <w:rtl/>
        </w:rPr>
        <w:t>בתיהם</w:t>
      </w:r>
      <w:r w:rsidRPr="00D44503">
        <w:rPr>
          <w:rFonts w:cs="David"/>
          <w:sz w:val="20"/>
          <w:szCs w:val="20"/>
          <w:rtl/>
        </w:rPr>
        <w:t xml:space="preserve"> </w:t>
      </w:r>
      <w:r w:rsidRPr="00D44503">
        <w:rPr>
          <w:rFonts w:cs="David" w:hint="cs"/>
          <w:sz w:val="20"/>
          <w:szCs w:val="20"/>
          <w:rtl/>
        </w:rPr>
        <w:t>שימשו</w:t>
      </w:r>
      <w:r w:rsidRPr="00D44503">
        <w:rPr>
          <w:rFonts w:cs="David"/>
          <w:sz w:val="20"/>
          <w:szCs w:val="20"/>
          <w:rtl/>
        </w:rPr>
        <w:t xml:space="preserve"> </w:t>
      </w:r>
      <w:r w:rsidRPr="00D44503">
        <w:rPr>
          <w:rFonts w:cs="David" w:hint="cs"/>
          <w:sz w:val="20"/>
          <w:szCs w:val="20"/>
          <w:rtl/>
        </w:rPr>
        <w:t>לאחסנת</w:t>
      </w:r>
      <w:r w:rsidRPr="00D44503">
        <w:rPr>
          <w:rFonts w:cs="David"/>
          <w:sz w:val="20"/>
          <w:szCs w:val="20"/>
          <w:rtl/>
        </w:rPr>
        <w:t xml:space="preserve"> </w:t>
      </w:r>
      <w:r w:rsidRPr="00D44503">
        <w:rPr>
          <w:rFonts w:cs="David" w:hint="cs"/>
          <w:sz w:val="20"/>
          <w:szCs w:val="20"/>
          <w:rtl/>
        </w:rPr>
        <w:t>נשק</w:t>
      </w:r>
      <w:r w:rsidRPr="00D44503">
        <w:rPr>
          <w:rFonts w:cs="David"/>
          <w:sz w:val="20"/>
          <w:szCs w:val="20"/>
          <w:rtl/>
        </w:rPr>
        <w:t>?</w:t>
      </w:r>
    </w:p>
    <w:p w:rsidR="009B636F" w:rsidRDefault="009B636F">
      <w:pPr>
        <w:pStyle w:val="a5"/>
        <w:jc w:val="both"/>
      </w:pPr>
      <w:r w:rsidRPr="00D44503">
        <w:rPr>
          <w:rFonts w:cs="David" w:hint="cs"/>
          <w:rtl/>
        </w:rPr>
        <w:t>לבסוף</w:t>
      </w:r>
      <w:r w:rsidRPr="00D44503">
        <w:rPr>
          <w:rFonts w:cs="David"/>
          <w:rtl/>
        </w:rPr>
        <w:t xml:space="preserve">, </w:t>
      </w:r>
      <w:r w:rsidRPr="00D44503">
        <w:rPr>
          <w:rFonts w:cs="David" w:hint="cs"/>
          <w:rtl/>
        </w:rPr>
        <w:t>טרוורס</w:t>
      </w:r>
      <w:r w:rsidRPr="00D44503">
        <w:rPr>
          <w:rFonts w:cs="David"/>
          <w:rtl/>
        </w:rPr>
        <w:t xml:space="preserve"> </w:t>
      </w:r>
      <w:r w:rsidRPr="00D44503">
        <w:rPr>
          <w:rFonts w:cs="David" w:hint="cs"/>
          <w:rtl/>
        </w:rPr>
        <w:t>העלה</w:t>
      </w:r>
      <w:r w:rsidRPr="00D44503">
        <w:rPr>
          <w:rFonts w:cs="David"/>
          <w:rtl/>
        </w:rPr>
        <w:t xml:space="preserve"> </w:t>
      </w:r>
      <w:r w:rsidRPr="00D44503">
        <w:rPr>
          <w:rFonts w:cs="David" w:hint="cs"/>
          <w:rtl/>
        </w:rPr>
        <w:t>את</w:t>
      </w:r>
      <w:r w:rsidRPr="00D44503">
        <w:rPr>
          <w:rFonts w:cs="David"/>
          <w:rtl/>
        </w:rPr>
        <w:t xml:space="preserve"> </w:t>
      </w:r>
      <w:r w:rsidRPr="00D44503">
        <w:rPr>
          <w:rFonts w:cs="David" w:hint="cs"/>
          <w:rtl/>
        </w:rPr>
        <w:t>הטענה</w:t>
      </w:r>
      <w:r w:rsidRPr="00D44503">
        <w:rPr>
          <w:rFonts w:cs="David"/>
          <w:rtl/>
        </w:rPr>
        <w:t xml:space="preserve"> </w:t>
      </w:r>
      <w:r w:rsidRPr="00D44503">
        <w:rPr>
          <w:rFonts w:cs="David" w:hint="cs"/>
          <w:rtl/>
        </w:rPr>
        <w:t>שמדיניות</w:t>
      </w:r>
      <w:r w:rsidRPr="00D44503">
        <w:rPr>
          <w:rFonts w:cs="David"/>
          <w:rtl/>
        </w:rPr>
        <w:t xml:space="preserve"> </w:t>
      </w:r>
      <w:r w:rsidRPr="00D44503">
        <w:rPr>
          <w:rFonts w:cs="David" w:hint="cs"/>
          <w:rtl/>
        </w:rPr>
        <w:t>החוץ</w:t>
      </w:r>
      <w:r w:rsidRPr="00D44503">
        <w:rPr>
          <w:rFonts w:cs="David"/>
          <w:rtl/>
        </w:rPr>
        <w:t xml:space="preserve"> </w:t>
      </w:r>
      <w:r w:rsidRPr="00D44503">
        <w:rPr>
          <w:rFonts w:cs="David" w:hint="cs"/>
          <w:rtl/>
        </w:rPr>
        <w:t>הבריטית</w:t>
      </w:r>
      <w:r w:rsidRPr="00D44503">
        <w:rPr>
          <w:rFonts w:cs="David"/>
          <w:rtl/>
        </w:rPr>
        <w:t xml:space="preserve"> </w:t>
      </w:r>
      <w:r w:rsidRPr="00D44503">
        <w:rPr>
          <w:rFonts w:cs="David" w:hint="cs"/>
          <w:rtl/>
        </w:rPr>
        <w:t>במזרח</w:t>
      </w:r>
      <w:r w:rsidRPr="00D44503">
        <w:rPr>
          <w:rFonts w:cs="David"/>
          <w:rtl/>
        </w:rPr>
        <w:t xml:space="preserve"> </w:t>
      </w:r>
      <w:r w:rsidRPr="00D44503">
        <w:rPr>
          <w:rFonts w:cs="David" w:hint="cs"/>
          <w:rtl/>
        </w:rPr>
        <w:t>התיכון</w:t>
      </w:r>
      <w:r w:rsidRPr="00D44503">
        <w:rPr>
          <w:rFonts w:cs="David"/>
          <w:rtl/>
        </w:rPr>
        <w:t xml:space="preserve"> </w:t>
      </w:r>
      <w:r w:rsidRPr="00D44503">
        <w:rPr>
          <w:rFonts w:cs="David" w:hint="cs"/>
          <w:rtl/>
        </w:rPr>
        <w:t>מושפעת</w:t>
      </w:r>
      <w:r w:rsidRPr="00D44503">
        <w:rPr>
          <w:rFonts w:cs="David"/>
          <w:rtl/>
        </w:rPr>
        <w:t xml:space="preserve"> </w:t>
      </w:r>
      <w:r w:rsidRPr="00D44503">
        <w:rPr>
          <w:rFonts w:cs="David" w:hint="cs"/>
          <w:rtl/>
        </w:rPr>
        <w:t>מאינטרסים</w:t>
      </w:r>
      <w:r w:rsidRPr="00D44503">
        <w:rPr>
          <w:rFonts w:cs="David"/>
          <w:rtl/>
        </w:rPr>
        <w:t xml:space="preserve"> </w:t>
      </w:r>
      <w:r w:rsidRPr="00D44503">
        <w:rPr>
          <w:rFonts w:cs="David" w:hint="cs"/>
          <w:rtl/>
        </w:rPr>
        <w:t>של</w:t>
      </w:r>
      <w:r w:rsidRPr="00D44503">
        <w:rPr>
          <w:rFonts w:cs="David"/>
          <w:rtl/>
        </w:rPr>
        <w:t xml:space="preserve"> "</w:t>
      </w:r>
      <w:r w:rsidRPr="00D44503">
        <w:rPr>
          <w:rFonts w:cs="David" w:hint="cs"/>
          <w:rtl/>
        </w:rPr>
        <w:t>הלובי</w:t>
      </w:r>
      <w:r w:rsidRPr="00D44503">
        <w:rPr>
          <w:rFonts w:cs="David"/>
          <w:rtl/>
        </w:rPr>
        <w:t xml:space="preserve"> </w:t>
      </w:r>
      <w:r w:rsidRPr="00D44503">
        <w:rPr>
          <w:rFonts w:cs="David" w:hint="cs"/>
          <w:rtl/>
        </w:rPr>
        <w:t>היהודי</w:t>
      </w:r>
      <w:r w:rsidRPr="00D44503">
        <w:rPr>
          <w:rFonts w:cs="David"/>
          <w:rtl/>
        </w:rPr>
        <w:t xml:space="preserve">" </w:t>
      </w:r>
      <w:r w:rsidRPr="00D44503">
        <w:rPr>
          <w:rFonts w:cs="David" w:hint="cs"/>
          <w:rtl/>
        </w:rPr>
        <w:t>בניגוד</w:t>
      </w:r>
      <w:r w:rsidRPr="00D44503">
        <w:rPr>
          <w:rFonts w:cs="David"/>
          <w:rtl/>
        </w:rPr>
        <w:t xml:space="preserve"> </w:t>
      </w:r>
      <w:r w:rsidRPr="00D44503">
        <w:rPr>
          <w:rFonts w:cs="David" w:hint="cs"/>
          <w:rtl/>
        </w:rPr>
        <w:t>לאינטרסים</w:t>
      </w:r>
      <w:r w:rsidRPr="00D44503">
        <w:rPr>
          <w:rFonts w:cs="David"/>
          <w:rtl/>
        </w:rPr>
        <w:t xml:space="preserve"> </w:t>
      </w:r>
      <w:r w:rsidRPr="00D44503">
        <w:rPr>
          <w:rFonts w:cs="David" w:hint="cs"/>
          <w:rtl/>
        </w:rPr>
        <w:t>הלאומיים</w:t>
      </w:r>
      <w:r w:rsidRPr="00D44503">
        <w:rPr>
          <w:rFonts w:cs="David"/>
          <w:rtl/>
        </w:rPr>
        <w:t xml:space="preserve"> </w:t>
      </w:r>
      <w:r w:rsidRPr="00D44503">
        <w:rPr>
          <w:rFonts w:cs="David" w:hint="cs"/>
          <w:rtl/>
        </w:rPr>
        <w:t>של</w:t>
      </w:r>
      <w:r w:rsidRPr="00D44503">
        <w:rPr>
          <w:rFonts w:cs="David"/>
          <w:rtl/>
        </w:rPr>
        <w:t xml:space="preserve"> </w:t>
      </w:r>
      <w:r w:rsidRPr="00D44503">
        <w:rPr>
          <w:rFonts w:cs="David" w:hint="cs"/>
          <w:rtl/>
        </w:rPr>
        <w:t>בריטניה</w:t>
      </w:r>
      <w:r w:rsidRPr="00D44503">
        <w:rPr>
          <w:rFonts w:cs="David"/>
          <w:rtl/>
        </w:rPr>
        <w:t>.</w:t>
      </w:r>
    </w:p>
  </w:footnote>
  <w:footnote w:id="213">
    <w:p w:rsidR="009B636F" w:rsidRPr="000F5CF3" w:rsidRDefault="009B636F" w:rsidP="00397737">
      <w:pPr>
        <w:pStyle w:val="a5"/>
        <w:jc w:val="both"/>
        <w:rPr>
          <w:rFonts w:cs="David"/>
          <w:rtl/>
        </w:rPr>
      </w:pPr>
      <w:r>
        <w:rPr>
          <w:rStyle w:val="a7"/>
        </w:rPr>
        <w:footnoteRef/>
      </w:r>
      <w:r>
        <w:rPr>
          <w:rtl/>
        </w:rPr>
        <w:t xml:space="preserve"> </w:t>
      </w:r>
      <w:r>
        <w:rPr>
          <w:rFonts w:cs="David" w:hint="cs"/>
          <w:rtl/>
        </w:rPr>
        <w:t xml:space="preserve">ניתן למצוא את ריכוז הטענות כנגד פרופסור טומושאט במסמך </w:t>
      </w:r>
      <w:r w:rsidRPr="00C72786">
        <w:t>Goldstone I</w:t>
      </w:r>
      <w:r>
        <w:t>I</w:t>
      </w:r>
      <w:r w:rsidRPr="00C72786">
        <w:t xml:space="preserve"> - Questions </w:t>
      </w:r>
      <w:r>
        <w:t>o</w:t>
      </w:r>
      <w:r w:rsidRPr="00C72786">
        <w:t xml:space="preserve">n </w:t>
      </w:r>
      <w:r>
        <w:t>t</w:t>
      </w:r>
      <w:r w:rsidRPr="00C72786">
        <w:t xml:space="preserve">he Impartiality </w:t>
      </w:r>
      <w:r>
        <w:t>o</w:t>
      </w:r>
      <w:r w:rsidRPr="00C72786">
        <w:t xml:space="preserve">f </w:t>
      </w:r>
      <w:r>
        <w:t>t</w:t>
      </w:r>
      <w:r w:rsidRPr="00C72786">
        <w:t>he U.N. Tomuschat Committee</w:t>
      </w:r>
      <w:r>
        <w:t xml:space="preserve">, UN Watch, October 21, 2010, Geneva, </w:t>
      </w:r>
      <w:r w:rsidRPr="00C72786">
        <w:t>http://iccforum.com/media/background/gaza/2010-10-21-UN_Watch-Rpt_on_Tomuschat_Impartiality.pdf</w:t>
      </w:r>
    </w:p>
  </w:footnote>
  <w:footnote w:id="214">
    <w:p w:rsidR="009B636F" w:rsidRDefault="009B636F" w:rsidP="00FC3359">
      <w:pPr>
        <w:pStyle w:val="a5"/>
        <w:jc w:val="both"/>
      </w:pPr>
      <w:r>
        <w:rPr>
          <w:rStyle w:val="a7"/>
        </w:rPr>
        <w:footnoteRef/>
      </w:r>
      <w:r>
        <w:rPr>
          <w:rtl/>
        </w:rPr>
        <w:t xml:space="preserve"> </w:t>
      </w:r>
      <w:r>
        <w:t xml:space="preserve">Weinthai Benjamin (2010), Dershowitz: Goldstone follow-up commission head a 'bigot', </w:t>
      </w:r>
      <w:r>
        <w:rPr>
          <w:b/>
          <w:bCs/>
        </w:rPr>
        <w:t>The Jerusalem Post</w:t>
      </w:r>
      <w:r>
        <w:t xml:space="preserve">, </w:t>
      </w:r>
      <w:r w:rsidRPr="00F95BBD">
        <w:t>http://www.jpost.com/Israel/Dershowitz-Goldstone-follow-up-commission-head-a-bigot</w:t>
      </w:r>
    </w:p>
  </w:footnote>
  <w:footnote w:id="215">
    <w:p w:rsidR="009B636F" w:rsidRDefault="009B636F" w:rsidP="00F95BBD">
      <w:pPr>
        <w:pStyle w:val="a5"/>
        <w:jc w:val="both"/>
      </w:pPr>
      <w:r w:rsidRPr="00203A2F">
        <w:rPr>
          <w:rStyle w:val="a7"/>
          <w:rFonts w:cs="David"/>
        </w:rPr>
        <w:footnoteRef/>
      </w:r>
      <w:r w:rsidRPr="00203A2F">
        <w:rPr>
          <w:rFonts w:cs="David"/>
          <w:rtl/>
        </w:rPr>
        <w:t xml:space="preserve"> </w:t>
      </w:r>
      <w:r w:rsidRPr="00203A2F">
        <w:rPr>
          <w:rFonts w:cs="David" w:hint="cs"/>
          <w:rtl/>
        </w:rPr>
        <w:t xml:space="preserve">הפניות לכל האמירות הללו ולעוד רבות אחרות ניתן למצוא בבקשה של הארגון </w:t>
      </w:r>
      <w:r w:rsidRPr="00203A2F">
        <w:rPr>
          <w:rFonts w:cs="David"/>
        </w:rPr>
        <w:t>UN Watch</w:t>
      </w:r>
      <w:r w:rsidRPr="00203A2F">
        <w:rPr>
          <w:rFonts w:cs="David" w:hint="cs"/>
          <w:rtl/>
        </w:rPr>
        <w:t xml:space="preserve"> מפרופסור שאבאס לפטור עצמו מוועדת צוק איתן: </w:t>
      </w:r>
      <w:r w:rsidRPr="00203A2F">
        <w:rPr>
          <w:rFonts w:cs="David"/>
        </w:rPr>
        <w:t>Request for William Schabas to Recuse Himself for Bias or the</w:t>
      </w:r>
      <w:r>
        <w:t xml:space="preserve"> Appearance Thereof, UN Watch, available at </w:t>
      </w:r>
      <w:r w:rsidRPr="008A7F32">
        <w:t>http://www.humanrightsvoices.org/assets/attachments/documents/UN_WATCH_REQUEST_TO_DISQUALIFY_WILLIAM_SCHABAS.pdf</w:t>
      </w:r>
      <w:r>
        <w:rPr>
          <w:rFonts w:hint="cs"/>
          <w:rtl/>
        </w:rPr>
        <w:t>.</w:t>
      </w:r>
    </w:p>
  </w:footnote>
  <w:footnote w:id="216">
    <w:p w:rsidR="009B636F" w:rsidRDefault="009B636F">
      <w:pPr>
        <w:spacing w:after="0" w:line="240" w:lineRule="auto"/>
        <w:jc w:val="both"/>
        <w:rPr>
          <w:rFonts w:cs="David"/>
          <w:sz w:val="20"/>
          <w:szCs w:val="20"/>
          <w:rtl/>
        </w:rPr>
      </w:pPr>
      <w:r>
        <w:rPr>
          <w:rStyle w:val="a7"/>
        </w:rPr>
        <w:footnoteRef/>
      </w:r>
      <w:r>
        <w:rPr>
          <w:rtl/>
        </w:rPr>
        <w:t xml:space="preserve"> </w:t>
      </w:r>
      <w:r w:rsidRPr="00D44503">
        <w:rPr>
          <w:rFonts w:cs="David" w:hint="cs"/>
          <w:sz w:val="20"/>
          <w:szCs w:val="20"/>
          <w:rtl/>
        </w:rPr>
        <w:t>המסמך</w:t>
      </w:r>
      <w:r w:rsidRPr="00D44503">
        <w:rPr>
          <w:rFonts w:cs="David"/>
          <w:sz w:val="20"/>
          <w:szCs w:val="20"/>
          <w:rtl/>
        </w:rPr>
        <w:t xml:space="preserve"> </w:t>
      </w:r>
      <w:r w:rsidRPr="00D44503">
        <w:rPr>
          <w:rFonts w:cs="David" w:hint="cs"/>
          <w:sz w:val="20"/>
          <w:szCs w:val="20"/>
          <w:rtl/>
        </w:rPr>
        <w:t>מפרט</w:t>
      </w:r>
      <w:r w:rsidRPr="00D44503">
        <w:rPr>
          <w:rFonts w:cs="David"/>
          <w:sz w:val="20"/>
          <w:szCs w:val="20"/>
          <w:rtl/>
        </w:rPr>
        <w:t xml:space="preserve">, </w:t>
      </w:r>
      <w:r w:rsidRPr="00D44503">
        <w:rPr>
          <w:rFonts w:cs="David" w:hint="cs"/>
          <w:sz w:val="20"/>
          <w:szCs w:val="20"/>
          <w:rtl/>
        </w:rPr>
        <w:t>בין</w:t>
      </w:r>
      <w:r w:rsidRPr="00D44503">
        <w:rPr>
          <w:rFonts w:cs="David"/>
          <w:sz w:val="20"/>
          <w:szCs w:val="20"/>
          <w:rtl/>
        </w:rPr>
        <w:t xml:space="preserve"> </w:t>
      </w:r>
      <w:r w:rsidRPr="00D44503">
        <w:rPr>
          <w:rFonts w:cs="David" w:hint="cs"/>
          <w:sz w:val="20"/>
          <w:szCs w:val="20"/>
          <w:rtl/>
        </w:rPr>
        <w:t>היתר</w:t>
      </w:r>
      <w:r w:rsidRPr="00D44503">
        <w:rPr>
          <w:rFonts w:cs="David"/>
          <w:sz w:val="20"/>
          <w:szCs w:val="20"/>
          <w:rtl/>
        </w:rPr>
        <w:t xml:space="preserve">, </w:t>
      </w:r>
      <w:r w:rsidRPr="00D44503">
        <w:rPr>
          <w:rFonts w:cs="David" w:hint="cs"/>
          <w:sz w:val="20"/>
          <w:szCs w:val="20"/>
          <w:rtl/>
        </w:rPr>
        <w:t>את</w:t>
      </w:r>
      <w:r w:rsidRPr="00D44503">
        <w:rPr>
          <w:rFonts w:cs="David"/>
          <w:sz w:val="20"/>
          <w:szCs w:val="20"/>
          <w:rtl/>
        </w:rPr>
        <w:t xml:space="preserve"> </w:t>
      </w:r>
      <w:r w:rsidRPr="00D44503">
        <w:rPr>
          <w:rFonts w:cs="David" w:hint="cs"/>
          <w:sz w:val="20"/>
          <w:szCs w:val="20"/>
          <w:rtl/>
        </w:rPr>
        <w:t>הדברים</w:t>
      </w:r>
      <w:r w:rsidRPr="00D44503">
        <w:rPr>
          <w:rFonts w:cs="David"/>
          <w:sz w:val="20"/>
          <w:szCs w:val="20"/>
          <w:rtl/>
        </w:rPr>
        <w:t xml:space="preserve"> </w:t>
      </w:r>
      <w:r w:rsidRPr="00D44503">
        <w:rPr>
          <w:rFonts w:cs="David" w:hint="cs"/>
          <w:sz w:val="20"/>
          <w:szCs w:val="20"/>
          <w:rtl/>
        </w:rPr>
        <w:t>הבאים</w:t>
      </w:r>
      <w:r w:rsidRPr="00D44503">
        <w:rPr>
          <w:rFonts w:cs="David"/>
          <w:sz w:val="20"/>
          <w:szCs w:val="20"/>
          <w:rtl/>
        </w:rPr>
        <w:t>:</w:t>
      </w:r>
    </w:p>
    <w:p w:rsidR="009B636F" w:rsidRDefault="009B636F">
      <w:pPr>
        <w:spacing w:after="0" w:line="240" w:lineRule="auto"/>
        <w:jc w:val="both"/>
        <w:rPr>
          <w:rFonts w:cs="David"/>
          <w:sz w:val="20"/>
          <w:szCs w:val="20"/>
          <w:rtl/>
        </w:rPr>
      </w:pPr>
    </w:p>
    <w:p w:rsidR="009B636F" w:rsidRDefault="009B636F">
      <w:pPr>
        <w:pStyle w:val="a9"/>
        <w:numPr>
          <w:ilvl w:val="0"/>
          <w:numId w:val="10"/>
        </w:numPr>
        <w:spacing w:after="0" w:line="240" w:lineRule="auto"/>
        <w:jc w:val="both"/>
        <w:rPr>
          <w:rFonts w:cs="David"/>
          <w:sz w:val="20"/>
          <w:szCs w:val="20"/>
        </w:rPr>
      </w:pPr>
      <w:r w:rsidRPr="00D44503">
        <w:rPr>
          <w:rFonts w:cs="David" w:hint="cs"/>
          <w:sz w:val="20"/>
          <w:szCs w:val="20"/>
          <w:rtl/>
        </w:rPr>
        <w:t>בראיון</w:t>
      </w:r>
      <w:r w:rsidRPr="00D44503">
        <w:rPr>
          <w:rFonts w:cs="David"/>
          <w:sz w:val="20"/>
          <w:szCs w:val="20"/>
          <w:rtl/>
        </w:rPr>
        <w:t xml:space="preserve"> </w:t>
      </w:r>
      <w:r w:rsidRPr="00D44503">
        <w:rPr>
          <w:rFonts w:cs="David" w:hint="cs"/>
          <w:sz w:val="20"/>
          <w:szCs w:val="20"/>
          <w:rtl/>
        </w:rPr>
        <w:t>בשנת</w:t>
      </w:r>
      <w:r w:rsidRPr="00D44503">
        <w:rPr>
          <w:rFonts w:cs="David"/>
          <w:sz w:val="20"/>
          <w:szCs w:val="20"/>
          <w:rtl/>
        </w:rPr>
        <w:t xml:space="preserve"> 2009 </w:t>
      </w:r>
      <w:r w:rsidRPr="00D44503">
        <w:rPr>
          <w:rFonts w:cs="David" w:hint="cs"/>
          <w:sz w:val="20"/>
          <w:szCs w:val="20"/>
          <w:rtl/>
        </w:rPr>
        <w:t>קרא</w:t>
      </w:r>
      <w:r w:rsidRPr="00D44503">
        <w:rPr>
          <w:rFonts w:cs="David"/>
          <w:sz w:val="20"/>
          <w:szCs w:val="20"/>
          <w:rtl/>
        </w:rPr>
        <w:t xml:space="preserve"> </w:t>
      </w:r>
      <w:r w:rsidRPr="00D44503">
        <w:rPr>
          <w:rFonts w:cs="David" w:hint="cs"/>
          <w:sz w:val="20"/>
          <w:szCs w:val="20"/>
          <w:rtl/>
        </w:rPr>
        <w:t>לרדוף</w:t>
      </w:r>
      <w:r w:rsidRPr="00D44503">
        <w:rPr>
          <w:rFonts w:cs="David"/>
          <w:sz w:val="20"/>
          <w:szCs w:val="20"/>
          <w:rtl/>
        </w:rPr>
        <w:t xml:space="preserve"> </w:t>
      </w:r>
      <w:r w:rsidRPr="00D44503">
        <w:rPr>
          <w:rFonts w:cs="David" w:hint="cs"/>
          <w:sz w:val="20"/>
          <w:szCs w:val="20"/>
          <w:rtl/>
        </w:rPr>
        <w:t>אחר</w:t>
      </w:r>
      <w:r w:rsidRPr="00D44503">
        <w:rPr>
          <w:rFonts w:cs="David"/>
          <w:sz w:val="20"/>
          <w:szCs w:val="20"/>
          <w:rtl/>
        </w:rPr>
        <w:t xml:space="preserve"> </w:t>
      </w:r>
      <w:r w:rsidRPr="00D44503">
        <w:rPr>
          <w:rFonts w:cs="David" w:hint="cs"/>
          <w:sz w:val="20"/>
          <w:szCs w:val="20"/>
          <w:rtl/>
        </w:rPr>
        <w:t>נשיא</w:t>
      </w:r>
      <w:r w:rsidRPr="00D44503">
        <w:rPr>
          <w:rFonts w:cs="David"/>
          <w:sz w:val="20"/>
          <w:szCs w:val="20"/>
          <w:rtl/>
        </w:rPr>
        <w:t xml:space="preserve"> </w:t>
      </w:r>
      <w:r w:rsidRPr="00D44503">
        <w:rPr>
          <w:rFonts w:cs="David" w:hint="cs"/>
          <w:sz w:val="20"/>
          <w:szCs w:val="20"/>
          <w:rtl/>
        </w:rPr>
        <w:t>מדינת</w:t>
      </w:r>
      <w:r w:rsidRPr="00D44503">
        <w:rPr>
          <w:rFonts w:cs="David"/>
          <w:sz w:val="20"/>
          <w:szCs w:val="20"/>
          <w:rtl/>
        </w:rPr>
        <w:t xml:space="preserve"> </w:t>
      </w:r>
      <w:r w:rsidRPr="00D44503">
        <w:rPr>
          <w:rFonts w:cs="David" w:hint="cs"/>
          <w:sz w:val="20"/>
          <w:szCs w:val="20"/>
          <w:rtl/>
        </w:rPr>
        <w:t>ישראל</w:t>
      </w:r>
      <w:r w:rsidRPr="00D44503">
        <w:rPr>
          <w:rFonts w:cs="David"/>
          <w:sz w:val="20"/>
          <w:szCs w:val="20"/>
          <w:rtl/>
        </w:rPr>
        <w:t xml:space="preserve"> </w:t>
      </w:r>
      <w:r w:rsidRPr="00D44503">
        <w:rPr>
          <w:rFonts w:cs="David" w:hint="cs"/>
          <w:sz w:val="20"/>
          <w:szCs w:val="20"/>
          <w:rtl/>
        </w:rPr>
        <w:t>בשעתו</w:t>
      </w:r>
      <w:r w:rsidRPr="00D44503">
        <w:rPr>
          <w:rFonts w:cs="David"/>
          <w:sz w:val="20"/>
          <w:szCs w:val="20"/>
          <w:rtl/>
        </w:rPr>
        <w:t xml:space="preserve">, </w:t>
      </w:r>
      <w:r w:rsidRPr="00D44503">
        <w:rPr>
          <w:rFonts w:cs="David" w:hint="cs"/>
          <w:sz w:val="20"/>
          <w:szCs w:val="20"/>
          <w:rtl/>
        </w:rPr>
        <w:t>חתן</w:t>
      </w:r>
      <w:r w:rsidRPr="00D44503">
        <w:rPr>
          <w:rFonts w:cs="David"/>
          <w:sz w:val="20"/>
          <w:szCs w:val="20"/>
          <w:rtl/>
        </w:rPr>
        <w:t xml:space="preserve"> </w:t>
      </w:r>
      <w:r w:rsidRPr="00D44503">
        <w:rPr>
          <w:rFonts w:cs="David" w:hint="cs"/>
          <w:sz w:val="20"/>
          <w:szCs w:val="20"/>
          <w:rtl/>
        </w:rPr>
        <w:t>פרס</w:t>
      </w:r>
      <w:r w:rsidRPr="00D44503">
        <w:rPr>
          <w:rFonts w:cs="David"/>
          <w:sz w:val="20"/>
          <w:szCs w:val="20"/>
          <w:rtl/>
        </w:rPr>
        <w:t xml:space="preserve"> </w:t>
      </w:r>
      <w:r w:rsidRPr="00D44503">
        <w:rPr>
          <w:rFonts w:cs="David" w:hint="cs"/>
          <w:sz w:val="20"/>
          <w:szCs w:val="20"/>
          <w:rtl/>
        </w:rPr>
        <w:t>נובל</w:t>
      </w:r>
      <w:r w:rsidRPr="00D44503">
        <w:rPr>
          <w:rFonts w:cs="David"/>
          <w:sz w:val="20"/>
          <w:szCs w:val="20"/>
          <w:rtl/>
        </w:rPr>
        <w:t xml:space="preserve"> </w:t>
      </w:r>
      <w:r w:rsidRPr="00D44503">
        <w:rPr>
          <w:rFonts w:cs="David" w:hint="cs"/>
          <w:sz w:val="20"/>
          <w:szCs w:val="20"/>
          <w:rtl/>
        </w:rPr>
        <w:t>לשלום</w:t>
      </w:r>
      <w:r w:rsidRPr="00D44503">
        <w:rPr>
          <w:rFonts w:cs="David"/>
          <w:sz w:val="20"/>
          <w:szCs w:val="20"/>
          <w:rtl/>
        </w:rPr>
        <w:t xml:space="preserve">, </w:t>
      </w:r>
      <w:r w:rsidRPr="00D44503">
        <w:rPr>
          <w:rFonts w:cs="David" w:hint="cs"/>
          <w:sz w:val="20"/>
          <w:szCs w:val="20"/>
          <w:rtl/>
        </w:rPr>
        <w:t>שמעון</w:t>
      </w:r>
      <w:r w:rsidRPr="00D44503">
        <w:rPr>
          <w:rFonts w:cs="David"/>
          <w:sz w:val="20"/>
          <w:szCs w:val="20"/>
          <w:rtl/>
        </w:rPr>
        <w:t xml:space="preserve"> </w:t>
      </w:r>
      <w:r w:rsidRPr="00D44503">
        <w:rPr>
          <w:rFonts w:cs="David" w:hint="cs"/>
          <w:sz w:val="20"/>
          <w:szCs w:val="20"/>
          <w:rtl/>
        </w:rPr>
        <w:t>פרס</w:t>
      </w:r>
      <w:r w:rsidRPr="00D44503">
        <w:rPr>
          <w:rFonts w:cs="David"/>
          <w:sz w:val="20"/>
          <w:szCs w:val="20"/>
          <w:rtl/>
        </w:rPr>
        <w:t xml:space="preserve">, </w:t>
      </w:r>
      <w:r w:rsidRPr="00D44503">
        <w:rPr>
          <w:rFonts w:cs="David" w:hint="cs"/>
          <w:sz w:val="20"/>
          <w:szCs w:val="20"/>
          <w:rtl/>
        </w:rPr>
        <w:t>ולהביאו</w:t>
      </w:r>
      <w:r w:rsidRPr="00D44503">
        <w:rPr>
          <w:rFonts w:cs="David"/>
          <w:sz w:val="20"/>
          <w:szCs w:val="20"/>
          <w:rtl/>
        </w:rPr>
        <w:t xml:space="preserve"> </w:t>
      </w:r>
      <w:r w:rsidRPr="00D44503">
        <w:rPr>
          <w:rFonts w:cs="David" w:hint="cs"/>
          <w:sz w:val="20"/>
          <w:szCs w:val="20"/>
          <w:rtl/>
        </w:rPr>
        <w:t>בפני</w:t>
      </w:r>
      <w:r w:rsidRPr="00D44503">
        <w:rPr>
          <w:rFonts w:cs="David"/>
          <w:sz w:val="20"/>
          <w:szCs w:val="20"/>
          <w:rtl/>
        </w:rPr>
        <w:t xml:space="preserve"> </w:t>
      </w:r>
      <w:r w:rsidRPr="00D44503">
        <w:rPr>
          <w:rFonts w:cs="David" w:hint="cs"/>
          <w:sz w:val="20"/>
          <w:szCs w:val="20"/>
          <w:rtl/>
        </w:rPr>
        <w:t>בית</w:t>
      </w:r>
      <w:r w:rsidRPr="00D44503">
        <w:rPr>
          <w:rFonts w:cs="David"/>
          <w:sz w:val="20"/>
          <w:szCs w:val="20"/>
          <w:rtl/>
        </w:rPr>
        <w:t xml:space="preserve"> </w:t>
      </w:r>
      <w:r w:rsidRPr="00D44503">
        <w:rPr>
          <w:rFonts w:cs="David" w:hint="cs"/>
          <w:sz w:val="20"/>
          <w:szCs w:val="20"/>
          <w:rtl/>
        </w:rPr>
        <w:t>הדין</w:t>
      </w:r>
      <w:r w:rsidRPr="00D44503">
        <w:rPr>
          <w:rFonts w:cs="David"/>
          <w:sz w:val="20"/>
          <w:szCs w:val="20"/>
          <w:rtl/>
        </w:rPr>
        <w:t xml:space="preserve"> </w:t>
      </w:r>
      <w:r w:rsidRPr="00D44503">
        <w:rPr>
          <w:rFonts w:cs="David" w:hint="cs"/>
          <w:sz w:val="20"/>
          <w:szCs w:val="20"/>
          <w:rtl/>
        </w:rPr>
        <w:t>הפלילי</w:t>
      </w:r>
      <w:r w:rsidRPr="00D44503">
        <w:rPr>
          <w:rFonts w:cs="David"/>
          <w:sz w:val="20"/>
          <w:szCs w:val="20"/>
          <w:rtl/>
        </w:rPr>
        <w:t xml:space="preserve"> </w:t>
      </w:r>
      <w:r w:rsidRPr="00D44503">
        <w:rPr>
          <w:rFonts w:cs="David" w:hint="cs"/>
          <w:sz w:val="20"/>
          <w:szCs w:val="20"/>
          <w:rtl/>
        </w:rPr>
        <w:t>הבינלאומי</w:t>
      </w:r>
      <w:r w:rsidRPr="00D44503">
        <w:rPr>
          <w:rFonts w:cs="David"/>
          <w:sz w:val="20"/>
          <w:szCs w:val="20"/>
          <w:rtl/>
        </w:rPr>
        <w:t xml:space="preserve">, </w:t>
      </w:r>
      <w:r w:rsidRPr="00D44503">
        <w:rPr>
          <w:rFonts w:cs="David" w:hint="cs"/>
          <w:sz w:val="20"/>
          <w:szCs w:val="20"/>
          <w:rtl/>
        </w:rPr>
        <w:t>באומרו</w:t>
      </w:r>
      <w:r w:rsidRPr="00D44503">
        <w:rPr>
          <w:rFonts w:cs="David"/>
          <w:sz w:val="20"/>
          <w:szCs w:val="20"/>
          <w:rtl/>
        </w:rPr>
        <w:t xml:space="preserve"> "</w:t>
      </w:r>
      <w:r w:rsidRPr="00D44503">
        <w:rPr>
          <w:rFonts w:cs="David"/>
          <w:sz w:val="20"/>
          <w:szCs w:val="20"/>
        </w:rPr>
        <w:t>Why are we going after the president of Sudan for Darfur and not the president of Israel for Gaza?</w:t>
      </w:r>
      <w:r w:rsidRPr="00D44503">
        <w:rPr>
          <w:rFonts w:cs="David"/>
          <w:sz w:val="20"/>
          <w:szCs w:val="20"/>
          <w:rtl/>
        </w:rPr>
        <w:t>";</w:t>
      </w:r>
    </w:p>
    <w:p w:rsidR="009B636F" w:rsidRDefault="009B636F">
      <w:pPr>
        <w:pStyle w:val="a9"/>
        <w:numPr>
          <w:ilvl w:val="0"/>
          <w:numId w:val="10"/>
        </w:numPr>
        <w:spacing w:after="0" w:line="240" w:lineRule="auto"/>
        <w:jc w:val="both"/>
        <w:rPr>
          <w:rFonts w:cs="David"/>
          <w:sz w:val="20"/>
          <w:szCs w:val="20"/>
        </w:rPr>
      </w:pPr>
      <w:r w:rsidRPr="00D44503">
        <w:rPr>
          <w:rFonts w:cs="David" w:hint="cs"/>
          <w:sz w:val="20"/>
          <w:szCs w:val="20"/>
          <w:rtl/>
        </w:rPr>
        <w:t>בהצהרה</w:t>
      </w:r>
      <w:r w:rsidRPr="00D44503">
        <w:rPr>
          <w:rFonts w:cs="David"/>
          <w:sz w:val="20"/>
          <w:szCs w:val="20"/>
          <w:rtl/>
        </w:rPr>
        <w:t xml:space="preserve"> </w:t>
      </w:r>
      <w:r w:rsidRPr="00D44503">
        <w:rPr>
          <w:rFonts w:cs="David" w:hint="cs"/>
          <w:sz w:val="20"/>
          <w:szCs w:val="20"/>
          <w:rtl/>
        </w:rPr>
        <w:t>בפני</w:t>
      </w:r>
      <w:r w:rsidRPr="00D44503">
        <w:rPr>
          <w:rFonts w:cs="David"/>
          <w:sz w:val="20"/>
          <w:szCs w:val="20"/>
          <w:rtl/>
        </w:rPr>
        <w:t xml:space="preserve"> "</w:t>
      </w:r>
      <w:r w:rsidRPr="00D44503">
        <w:rPr>
          <w:rFonts w:cs="David" w:hint="cs"/>
          <w:sz w:val="20"/>
          <w:szCs w:val="20"/>
          <w:rtl/>
        </w:rPr>
        <w:t>טריבונאל</w:t>
      </w:r>
      <w:r w:rsidRPr="00D44503">
        <w:rPr>
          <w:rFonts w:cs="David"/>
          <w:sz w:val="20"/>
          <w:szCs w:val="20"/>
          <w:rtl/>
        </w:rPr>
        <w:t xml:space="preserve"> </w:t>
      </w:r>
      <w:r w:rsidRPr="00D44503">
        <w:rPr>
          <w:rFonts w:cs="David" w:hint="cs"/>
          <w:sz w:val="20"/>
          <w:szCs w:val="20"/>
          <w:rtl/>
        </w:rPr>
        <w:t>ראסל</w:t>
      </w:r>
      <w:r w:rsidRPr="00D44503">
        <w:rPr>
          <w:rFonts w:cs="David"/>
          <w:sz w:val="20"/>
          <w:szCs w:val="20"/>
          <w:rtl/>
        </w:rPr>
        <w:t xml:space="preserve"> </w:t>
      </w:r>
      <w:r w:rsidRPr="00D44503">
        <w:rPr>
          <w:rFonts w:cs="David" w:hint="cs"/>
          <w:sz w:val="20"/>
          <w:szCs w:val="20"/>
          <w:rtl/>
        </w:rPr>
        <w:t>על</w:t>
      </w:r>
      <w:r w:rsidRPr="00D44503">
        <w:rPr>
          <w:rFonts w:cs="David"/>
          <w:sz w:val="20"/>
          <w:szCs w:val="20"/>
          <w:rtl/>
        </w:rPr>
        <w:t xml:space="preserve"> </w:t>
      </w:r>
      <w:r w:rsidRPr="00D44503">
        <w:rPr>
          <w:rFonts w:cs="David" w:hint="cs"/>
          <w:sz w:val="20"/>
          <w:szCs w:val="20"/>
          <w:rtl/>
        </w:rPr>
        <w:t>פלסטין</w:t>
      </w:r>
      <w:r w:rsidRPr="00D44503">
        <w:rPr>
          <w:rFonts w:cs="David"/>
          <w:sz w:val="20"/>
          <w:szCs w:val="20"/>
          <w:rtl/>
        </w:rPr>
        <w:t xml:space="preserve">" </w:t>
      </w:r>
      <w:r w:rsidRPr="00D44503">
        <w:rPr>
          <w:rFonts w:cs="David" w:hint="cs"/>
          <w:sz w:val="20"/>
          <w:szCs w:val="20"/>
          <w:rtl/>
        </w:rPr>
        <w:t>ב</w:t>
      </w:r>
      <w:r w:rsidRPr="00D44503">
        <w:rPr>
          <w:rFonts w:cs="David"/>
          <w:sz w:val="20"/>
          <w:szCs w:val="20"/>
          <w:rtl/>
        </w:rPr>
        <w:t xml:space="preserve">-2012 </w:t>
      </w:r>
      <w:r w:rsidRPr="00D44503">
        <w:rPr>
          <w:rFonts w:cs="David" w:hint="cs"/>
          <w:sz w:val="20"/>
          <w:szCs w:val="20"/>
          <w:rtl/>
        </w:rPr>
        <w:t>אמר</w:t>
      </w:r>
      <w:r w:rsidRPr="00D44503">
        <w:rPr>
          <w:rFonts w:cs="David"/>
          <w:sz w:val="20"/>
          <w:szCs w:val="20"/>
          <w:rtl/>
        </w:rPr>
        <w:t xml:space="preserve"> "</w:t>
      </w:r>
      <w:r w:rsidRPr="00D44503">
        <w:rPr>
          <w:rFonts w:cs="David"/>
          <w:sz w:val="20"/>
          <w:szCs w:val="20"/>
        </w:rPr>
        <w:t>Actually, my favorite would be Netanyahu within the dock of the International Criminal Court</w:t>
      </w:r>
      <w:r w:rsidRPr="00D44503">
        <w:rPr>
          <w:rFonts w:cs="David"/>
          <w:sz w:val="20"/>
          <w:szCs w:val="20"/>
          <w:rtl/>
        </w:rPr>
        <w:t>";</w:t>
      </w:r>
    </w:p>
    <w:p w:rsidR="009B636F" w:rsidRDefault="009B636F">
      <w:pPr>
        <w:pStyle w:val="a9"/>
        <w:numPr>
          <w:ilvl w:val="0"/>
          <w:numId w:val="10"/>
        </w:numPr>
        <w:spacing w:after="0" w:line="240" w:lineRule="auto"/>
        <w:jc w:val="both"/>
        <w:rPr>
          <w:rFonts w:cs="David"/>
          <w:sz w:val="20"/>
          <w:szCs w:val="20"/>
        </w:rPr>
      </w:pPr>
      <w:r w:rsidRPr="00D44503">
        <w:rPr>
          <w:rFonts w:cs="David" w:hint="cs"/>
          <w:sz w:val="20"/>
          <w:szCs w:val="20"/>
          <w:rtl/>
        </w:rPr>
        <w:t>בראיון</w:t>
      </w:r>
      <w:r w:rsidRPr="00D44503">
        <w:rPr>
          <w:rFonts w:cs="David"/>
          <w:sz w:val="20"/>
          <w:szCs w:val="20"/>
          <w:rtl/>
        </w:rPr>
        <w:t xml:space="preserve"> </w:t>
      </w:r>
      <w:r w:rsidRPr="00D44503">
        <w:rPr>
          <w:rFonts w:cs="David" w:hint="cs"/>
          <w:sz w:val="20"/>
          <w:szCs w:val="20"/>
          <w:rtl/>
        </w:rPr>
        <w:t>ל</w:t>
      </w:r>
      <w:r w:rsidRPr="00D44503">
        <w:rPr>
          <w:rFonts w:cs="David"/>
          <w:sz w:val="20"/>
          <w:szCs w:val="20"/>
          <w:rtl/>
        </w:rPr>
        <w:t>-</w:t>
      </w:r>
      <w:r w:rsidRPr="00D44503">
        <w:rPr>
          <w:rFonts w:cs="David"/>
          <w:sz w:val="20"/>
          <w:szCs w:val="20"/>
        </w:rPr>
        <w:t>BBC</w:t>
      </w:r>
      <w:r w:rsidRPr="00D44503">
        <w:rPr>
          <w:rFonts w:cs="David"/>
          <w:sz w:val="20"/>
          <w:szCs w:val="20"/>
          <w:rtl/>
        </w:rPr>
        <w:t xml:space="preserve"> </w:t>
      </w:r>
      <w:r w:rsidRPr="00D44503">
        <w:rPr>
          <w:rFonts w:cs="David" w:hint="cs"/>
          <w:sz w:val="20"/>
          <w:szCs w:val="20"/>
          <w:rtl/>
        </w:rPr>
        <w:t>מיום</w:t>
      </w:r>
      <w:r w:rsidRPr="00D44503">
        <w:rPr>
          <w:rFonts w:cs="David"/>
          <w:sz w:val="20"/>
          <w:szCs w:val="20"/>
          <w:rtl/>
        </w:rPr>
        <w:t xml:space="preserve"> 17.07.14 (</w:t>
      </w:r>
      <w:r w:rsidRPr="00D44503">
        <w:rPr>
          <w:rFonts w:cs="David" w:hint="cs"/>
          <w:sz w:val="20"/>
          <w:szCs w:val="20"/>
          <w:rtl/>
        </w:rPr>
        <w:t>כלומר</w:t>
      </w:r>
      <w:r w:rsidRPr="00D44503">
        <w:rPr>
          <w:rFonts w:cs="David"/>
          <w:sz w:val="20"/>
          <w:szCs w:val="20"/>
          <w:rtl/>
        </w:rPr>
        <w:t xml:space="preserve">, </w:t>
      </w:r>
      <w:r w:rsidRPr="00D44503">
        <w:rPr>
          <w:rFonts w:cs="David" w:hint="cs"/>
          <w:sz w:val="20"/>
          <w:szCs w:val="20"/>
          <w:rtl/>
        </w:rPr>
        <w:t>במהלך</w:t>
      </w:r>
      <w:r w:rsidRPr="00D44503">
        <w:rPr>
          <w:rFonts w:cs="David"/>
          <w:sz w:val="20"/>
          <w:szCs w:val="20"/>
          <w:rtl/>
        </w:rPr>
        <w:t xml:space="preserve"> </w:t>
      </w:r>
      <w:r w:rsidRPr="00D44503">
        <w:rPr>
          <w:rFonts w:cs="David" w:hint="cs"/>
          <w:sz w:val="20"/>
          <w:szCs w:val="20"/>
          <w:rtl/>
        </w:rPr>
        <w:t>מבצע</w:t>
      </w:r>
      <w:r w:rsidRPr="00D44503">
        <w:rPr>
          <w:rFonts w:cs="David"/>
          <w:sz w:val="20"/>
          <w:szCs w:val="20"/>
          <w:rtl/>
        </w:rPr>
        <w:t xml:space="preserve"> "</w:t>
      </w:r>
      <w:r w:rsidRPr="00D44503">
        <w:rPr>
          <w:rFonts w:cs="David" w:hint="cs"/>
          <w:sz w:val="20"/>
          <w:szCs w:val="20"/>
          <w:rtl/>
        </w:rPr>
        <w:t>צוק</w:t>
      </w:r>
      <w:r w:rsidRPr="00D44503">
        <w:rPr>
          <w:rFonts w:cs="David"/>
          <w:sz w:val="20"/>
          <w:szCs w:val="20"/>
          <w:rtl/>
        </w:rPr>
        <w:t xml:space="preserve"> </w:t>
      </w:r>
      <w:r w:rsidRPr="00D44503">
        <w:rPr>
          <w:rFonts w:cs="David" w:hint="cs"/>
          <w:sz w:val="20"/>
          <w:szCs w:val="20"/>
          <w:rtl/>
        </w:rPr>
        <w:t>איתן</w:t>
      </w:r>
      <w:r w:rsidRPr="00D44503">
        <w:rPr>
          <w:rFonts w:cs="David"/>
          <w:sz w:val="20"/>
          <w:szCs w:val="20"/>
          <w:rtl/>
        </w:rPr>
        <w:t xml:space="preserve">" </w:t>
      </w:r>
      <w:r w:rsidRPr="00D44503">
        <w:rPr>
          <w:rFonts w:cs="David" w:hint="cs"/>
          <w:sz w:val="20"/>
          <w:szCs w:val="20"/>
          <w:rtl/>
        </w:rPr>
        <w:t>עצמו</w:t>
      </w:r>
      <w:r w:rsidRPr="00D44503">
        <w:rPr>
          <w:rFonts w:cs="David"/>
          <w:sz w:val="20"/>
          <w:szCs w:val="20"/>
          <w:rtl/>
        </w:rPr>
        <w:t xml:space="preserve">) </w:t>
      </w:r>
      <w:r w:rsidRPr="00D44503">
        <w:rPr>
          <w:rFonts w:cs="David" w:hint="cs"/>
          <w:sz w:val="20"/>
          <w:szCs w:val="20"/>
          <w:rtl/>
        </w:rPr>
        <w:t>אמר</w:t>
      </w:r>
      <w:r w:rsidRPr="00D44503">
        <w:rPr>
          <w:rFonts w:cs="David"/>
          <w:sz w:val="20"/>
          <w:szCs w:val="20"/>
          <w:rtl/>
        </w:rPr>
        <w:t xml:space="preserve"> "</w:t>
      </w:r>
      <w:r w:rsidRPr="00D44503">
        <w:rPr>
          <w:rFonts w:cs="David"/>
          <w:sz w:val="20"/>
          <w:szCs w:val="20"/>
        </w:rPr>
        <w:t>“Prima facie, there is evidence of disproportionality in the response that Israel is undertaking in order to protect itself</w:t>
      </w:r>
      <w:r w:rsidRPr="00D44503">
        <w:rPr>
          <w:rFonts w:cs="David"/>
          <w:sz w:val="20"/>
          <w:szCs w:val="20"/>
          <w:rtl/>
        </w:rPr>
        <w:t>";</w:t>
      </w:r>
    </w:p>
    <w:p w:rsidR="009B636F" w:rsidRDefault="009B636F">
      <w:pPr>
        <w:pStyle w:val="a9"/>
        <w:numPr>
          <w:ilvl w:val="0"/>
          <w:numId w:val="10"/>
        </w:numPr>
        <w:spacing w:after="0" w:line="240" w:lineRule="auto"/>
        <w:jc w:val="both"/>
        <w:rPr>
          <w:rFonts w:cs="David"/>
          <w:rtl/>
        </w:rPr>
      </w:pPr>
      <w:r w:rsidRPr="00D44503">
        <w:rPr>
          <w:rFonts w:cs="David" w:hint="cs"/>
          <w:sz w:val="20"/>
          <w:szCs w:val="20"/>
          <w:rtl/>
        </w:rPr>
        <w:t>במאמר</w:t>
      </w:r>
      <w:r w:rsidRPr="00D44503">
        <w:rPr>
          <w:rFonts w:cs="David"/>
          <w:sz w:val="20"/>
          <w:szCs w:val="20"/>
          <w:rtl/>
        </w:rPr>
        <w:t xml:space="preserve"> </w:t>
      </w:r>
      <w:r w:rsidRPr="00D44503">
        <w:rPr>
          <w:rFonts w:cs="David" w:hint="cs"/>
          <w:sz w:val="20"/>
          <w:szCs w:val="20"/>
          <w:rtl/>
        </w:rPr>
        <w:t>בכתב</w:t>
      </w:r>
      <w:r w:rsidRPr="00D44503">
        <w:rPr>
          <w:rFonts w:cs="David"/>
          <w:sz w:val="20"/>
          <w:szCs w:val="20"/>
          <w:rtl/>
        </w:rPr>
        <w:t xml:space="preserve"> </w:t>
      </w:r>
      <w:r w:rsidRPr="00D44503">
        <w:rPr>
          <w:rFonts w:cs="David" w:hint="cs"/>
          <w:sz w:val="20"/>
          <w:szCs w:val="20"/>
          <w:rtl/>
        </w:rPr>
        <w:t>עת</w:t>
      </w:r>
      <w:r w:rsidRPr="00D44503">
        <w:rPr>
          <w:rFonts w:cs="David"/>
          <w:sz w:val="20"/>
          <w:szCs w:val="20"/>
          <w:rtl/>
        </w:rPr>
        <w:t xml:space="preserve"> </w:t>
      </w:r>
      <w:r w:rsidRPr="00D44503">
        <w:rPr>
          <w:rFonts w:cs="David" w:hint="cs"/>
          <w:sz w:val="20"/>
          <w:szCs w:val="20"/>
          <w:rtl/>
        </w:rPr>
        <w:t>משפטי</w:t>
      </w:r>
      <w:r w:rsidRPr="00D44503">
        <w:rPr>
          <w:rFonts w:cs="David"/>
          <w:sz w:val="20"/>
          <w:szCs w:val="20"/>
          <w:rtl/>
        </w:rPr>
        <w:t xml:space="preserve"> </w:t>
      </w:r>
      <w:r w:rsidRPr="00D44503">
        <w:rPr>
          <w:rFonts w:cs="David" w:hint="cs"/>
          <w:sz w:val="20"/>
          <w:szCs w:val="20"/>
          <w:rtl/>
        </w:rPr>
        <w:t>אמר</w:t>
      </w:r>
      <w:r w:rsidRPr="00D44503">
        <w:rPr>
          <w:rFonts w:cs="David"/>
          <w:sz w:val="20"/>
          <w:szCs w:val="20"/>
          <w:rtl/>
        </w:rPr>
        <w:t xml:space="preserve"> </w:t>
      </w:r>
      <w:r w:rsidRPr="00D44503">
        <w:rPr>
          <w:rFonts w:cs="David" w:hint="cs"/>
          <w:sz w:val="20"/>
          <w:szCs w:val="20"/>
          <w:rtl/>
        </w:rPr>
        <w:t>שנתניהו</w:t>
      </w:r>
      <w:r w:rsidRPr="00D44503">
        <w:rPr>
          <w:rFonts w:cs="David"/>
          <w:sz w:val="20"/>
          <w:szCs w:val="20"/>
          <w:rtl/>
        </w:rPr>
        <w:t xml:space="preserve"> </w:t>
      </w:r>
      <w:r w:rsidRPr="00D44503">
        <w:rPr>
          <w:rFonts w:cs="David" w:hint="cs"/>
          <w:sz w:val="20"/>
          <w:szCs w:val="20"/>
          <w:rtl/>
        </w:rPr>
        <w:t>יכול</w:t>
      </w:r>
      <w:r w:rsidRPr="00D44503">
        <w:rPr>
          <w:rFonts w:cs="David"/>
          <w:sz w:val="20"/>
          <w:szCs w:val="20"/>
          <w:rtl/>
        </w:rPr>
        <w:t xml:space="preserve"> </w:t>
      </w:r>
      <w:r w:rsidRPr="00D44503">
        <w:rPr>
          <w:rFonts w:cs="David" w:hint="cs"/>
          <w:sz w:val="20"/>
          <w:szCs w:val="20"/>
          <w:rtl/>
        </w:rPr>
        <w:t>להיחשב</w:t>
      </w:r>
      <w:r w:rsidRPr="00D44503">
        <w:rPr>
          <w:rFonts w:cs="David"/>
          <w:sz w:val="20"/>
          <w:szCs w:val="20"/>
          <w:rtl/>
        </w:rPr>
        <w:t xml:space="preserve"> "</w:t>
      </w:r>
      <w:r w:rsidRPr="00D44503">
        <w:rPr>
          <w:rFonts w:cs="David"/>
          <w:sz w:val="20"/>
          <w:szCs w:val="20"/>
        </w:rPr>
        <w:t>the single individual most likely to threaten the survival of Israel</w:t>
      </w:r>
      <w:r w:rsidRPr="00D44503">
        <w:rPr>
          <w:rFonts w:cs="David"/>
          <w:sz w:val="20"/>
          <w:szCs w:val="20"/>
          <w:rtl/>
        </w:rPr>
        <w:t>".</w:t>
      </w:r>
    </w:p>
  </w:footnote>
  <w:footnote w:id="217">
    <w:p w:rsidR="009B636F" w:rsidRDefault="009B636F" w:rsidP="00397737">
      <w:pPr>
        <w:pStyle w:val="a5"/>
        <w:jc w:val="both"/>
      </w:pPr>
      <w:r>
        <w:rPr>
          <w:rStyle w:val="a7"/>
        </w:rPr>
        <w:footnoteRef/>
      </w:r>
      <w:r>
        <w:rPr>
          <w:rtl/>
        </w:rPr>
        <w:t xml:space="preserve"> </w:t>
      </w:r>
      <w:r w:rsidRPr="005935C5">
        <w:rPr>
          <w:shd w:val="clear" w:color="auto" w:fill="FFFFFF"/>
        </w:rPr>
        <w:t xml:space="preserve">William Schabas quits to prevent consultancy work for Palestine Liberation Organisation overshadowing report on last summer’s military offensive, </w:t>
      </w:r>
      <w:r w:rsidRPr="005935C5">
        <w:rPr>
          <w:b/>
          <w:bCs/>
          <w:shd w:val="clear" w:color="auto" w:fill="FFFFFF"/>
        </w:rPr>
        <w:t>The Guardian</w:t>
      </w:r>
      <w:r w:rsidRPr="005935C5">
        <w:rPr>
          <w:shd w:val="clear" w:color="auto" w:fill="FFFFFF"/>
        </w:rPr>
        <w:t>, 3 February 2015, http://www.theguardian.com/world/2015/feb/02/un-war-crimes-inquiry-resigns-israel-gaza-palestine</w:t>
      </w:r>
    </w:p>
  </w:footnote>
  <w:footnote w:id="218">
    <w:p w:rsidR="009B636F" w:rsidRPr="00FE02C0" w:rsidRDefault="009B636F" w:rsidP="00397737">
      <w:pPr>
        <w:pStyle w:val="a5"/>
        <w:jc w:val="both"/>
        <w:rPr>
          <w:rFonts w:cs="David"/>
        </w:rPr>
      </w:pPr>
      <w:r>
        <w:rPr>
          <w:rStyle w:val="a7"/>
        </w:rPr>
        <w:footnoteRef/>
      </w:r>
      <w:r>
        <w:rPr>
          <w:rtl/>
        </w:rPr>
        <w:t xml:space="preserve"> </w:t>
      </w:r>
      <w:r>
        <w:rPr>
          <w:rFonts w:cs="David" w:hint="cs"/>
          <w:rtl/>
        </w:rPr>
        <w:t xml:space="preserve">ראה לדוגמה: רביד ברק (2013), </w:t>
      </w:r>
      <w:r w:rsidRPr="00FE02C0">
        <w:rPr>
          <w:rFonts w:cs="David"/>
          <w:rtl/>
        </w:rPr>
        <w:t>נתניהו שוחרר מליברמן, ארדואן נלחץ מאסד</w:t>
      </w:r>
      <w:r w:rsidRPr="00FE02C0">
        <w:rPr>
          <w:rFonts w:cs="David" w:hint="cs"/>
          <w:rtl/>
        </w:rPr>
        <w:t xml:space="preserve">, </w:t>
      </w:r>
      <w:r>
        <w:rPr>
          <w:rFonts w:cs="David" w:hint="cs"/>
          <w:b/>
          <w:bCs/>
          <w:rtl/>
        </w:rPr>
        <w:t>הארץ</w:t>
      </w:r>
      <w:r>
        <w:rPr>
          <w:rFonts w:cs="David" w:hint="cs"/>
          <w:rtl/>
        </w:rPr>
        <w:t xml:space="preserve">, </w:t>
      </w:r>
      <w:r w:rsidRPr="00FE02C0">
        <w:rPr>
          <w:rFonts w:cs="David"/>
        </w:rPr>
        <w:t>http://www.haaretz.co.il/.premium-1.1974166</w:t>
      </w:r>
      <w:r>
        <w:rPr>
          <w:rFonts w:cs="David" w:hint="cs"/>
          <w:rtl/>
        </w:rPr>
        <w:t xml:space="preserve">; </w:t>
      </w:r>
      <w:r>
        <w:rPr>
          <w:rFonts w:cs="David"/>
        </w:rPr>
        <w:t>Keinon Herb (2011), UN 'Marmara' Report Held to Allow More J'lem-Ankara Talks,</w:t>
      </w:r>
      <w:r>
        <w:rPr>
          <w:rFonts w:cs="David"/>
          <w:b/>
          <w:bCs/>
        </w:rPr>
        <w:t xml:space="preserve"> The Jerusalem Post</w:t>
      </w:r>
      <w:r>
        <w:rPr>
          <w:rFonts w:cs="David"/>
        </w:rPr>
        <w:t xml:space="preserve">, </w:t>
      </w:r>
      <w:r w:rsidRPr="00FE02C0">
        <w:rPr>
          <w:rFonts w:cs="David"/>
        </w:rPr>
        <w:t>http://www.jpost.com/Diplomacy-and-Politics/UN-Marmara-report-held-to-allow-more-Jlem-Ankara-talks</w:t>
      </w:r>
    </w:p>
  </w:footnote>
  <w:footnote w:id="219">
    <w:p w:rsidR="009B636F" w:rsidRPr="00E40A62" w:rsidRDefault="009B636F" w:rsidP="00397737">
      <w:pPr>
        <w:pStyle w:val="a5"/>
        <w:jc w:val="both"/>
        <w:rPr>
          <w:rFonts w:cs="David"/>
          <w:rtl/>
        </w:rPr>
      </w:pPr>
      <w:r>
        <w:rPr>
          <w:rStyle w:val="a7"/>
        </w:rPr>
        <w:footnoteRef/>
      </w:r>
      <w:r>
        <w:rPr>
          <w:rtl/>
        </w:rPr>
        <w:t xml:space="preserve"> </w:t>
      </w:r>
      <w:r>
        <w:rPr>
          <w:rFonts w:cs="David" w:hint="cs"/>
          <w:rtl/>
        </w:rPr>
        <w:t xml:space="preserve">טורקיה מגיבה לדוח: השגריר הישראלי מגורש, </w:t>
      </w:r>
      <w:r w:rsidRPr="00E40A62">
        <w:rPr>
          <w:rFonts w:cs="David" w:hint="cs"/>
          <w:b/>
          <w:bCs/>
        </w:rPr>
        <w:t>Y</w:t>
      </w:r>
      <w:r w:rsidRPr="00E40A62">
        <w:rPr>
          <w:rFonts w:cs="David"/>
          <w:b/>
          <w:bCs/>
        </w:rPr>
        <w:t>net</w:t>
      </w:r>
      <w:r>
        <w:rPr>
          <w:rFonts w:cs="David" w:hint="cs"/>
          <w:rtl/>
        </w:rPr>
        <w:t xml:space="preserve">, 02.09.11, </w:t>
      </w:r>
      <w:r w:rsidRPr="00E40A62">
        <w:rPr>
          <w:rFonts w:cs="David"/>
        </w:rPr>
        <w:t>http://www.ynet.co.il/articles/0,7340,L-4117043,00.html</w:t>
      </w:r>
    </w:p>
  </w:footnote>
  <w:footnote w:id="220">
    <w:p w:rsidR="009B636F" w:rsidRDefault="009B636F" w:rsidP="00397737">
      <w:pPr>
        <w:pStyle w:val="a5"/>
        <w:jc w:val="both"/>
      </w:pPr>
      <w:r>
        <w:rPr>
          <w:rStyle w:val="a7"/>
        </w:rPr>
        <w:footnoteRef/>
      </w:r>
      <w:r>
        <w:rPr>
          <w:rtl/>
        </w:rPr>
        <w:t xml:space="preserve"> </w:t>
      </w:r>
      <w:r>
        <w:t xml:space="preserve">Case concerning the location of boundary markers in Taba between Egypt and Israel, Reports of International Arbitral Awards, 29 September 1988, available at </w:t>
      </w:r>
      <w:r w:rsidRPr="008169D7">
        <w:t>http://legal.un.org/riaa/cases/vol_XX/1-118.pdf</w:t>
      </w:r>
      <w:r>
        <w:t xml:space="preserve"> </w:t>
      </w:r>
    </w:p>
  </w:footnote>
  <w:footnote w:id="221">
    <w:p w:rsidR="009B636F" w:rsidRDefault="009B636F">
      <w:pPr>
        <w:pStyle w:val="a5"/>
        <w:rPr>
          <w:rtl/>
        </w:rPr>
      </w:pPr>
      <w:r>
        <w:rPr>
          <w:rStyle w:val="a7"/>
        </w:rPr>
        <w:footnoteRef/>
      </w:r>
      <w:r>
        <w:rPr>
          <w:rtl/>
        </w:rPr>
        <w:t xml:space="preserve"> </w:t>
      </w:r>
      <w:r w:rsidRPr="001A4BDB">
        <w:rPr>
          <w:rFonts w:cs="David" w:hint="cs"/>
          <w:rtl/>
        </w:rPr>
        <w:t xml:space="preserve">סעיף 31 לחוקת בית הדין, ראה ה"ש </w:t>
      </w:r>
      <w:fldSimple w:instr=" NOTEREF _Ref449983287 \h  \* MERGEFORMAT ">
        <w:r w:rsidRPr="001A4BDB">
          <w:rPr>
            <w:rFonts w:cs="David"/>
            <w:rtl/>
          </w:rPr>
          <w:t>122</w:t>
        </w:r>
      </w:fldSimple>
      <w:r w:rsidRPr="001A4BDB">
        <w:rPr>
          <w:rFonts w:cs="David" w:hint="cs"/>
          <w:rtl/>
        </w:rPr>
        <w:t>.</w:t>
      </w:r>
    </w:p>
  </w:footnote>
  <w:footnote w:id="222">
    <w:p w:rsidR="009B636F" w:rsidRDefault="009B636F" w:rsidP="00391B49">
      <w:pPr>
        <w:pStyle w:val="a5"/>
        <w:jc w:val="both"/>
      </w:pPr>
      <w:r>
        <w:rPr>
          <w:rStyle w:val="a7"/>
        </w:rPr>
        <w:footnoteRef/>
      </w:r>
      <w:r>
        <w:rPr>
          <w:rtl/>
        </w:rPr>
        <w:t xml:space="preserve"> </w:t>
      </w:r>
      <w:r w:rsidRPr="00D44503">
        <w:rPr>
          <w:rFonts w:cs="David" w:hint="cs"/>
          <w:rtl/>
        </w:rPr>
        <w:t>ראה</w:t>
      </w:r>
      <w:r w:rsidRPr="00D44503">
        <w:rPr>
          <w:rFonts w:cs="David"/>
          <w:rtl/>
        </w:rPr>
        <w:t xml:space="preserve">, </w:t>
      </w:r>
      <w:r w:rsidRPr="00D44503">
        <w:rPr>
          <w:rFonts w:cs="David" w:hint="cs"/>
          <w:rtl/>
        </w:rPr>
        <w:t>לדוגמה</w:t>
      </w:r>
      <w:r w:rsidRPr="00D44503">
        <w:rPr>
          <w:rFonts w:cs="David"/>
          <w:rtl/>
        </w:rPr>
        <w:t xml:space="preserve">, </w:t>
      </w:r>
      <w:r w:rsidRPr="00D44503">
        <w:rPr>
          <w:rFonts w:cs="David" w:hint="cs"/>
          <w:rtl/>
        </w:rPr>
        <w:t>דיון</w:t>
      </w:r>
      <w:r w:rsidRPr="00D44503">
        <w:rPr>
          <w:rFonts w:cs="David"/>
          <w:rtl/>
        </w:rPr>
        <w:t xml:space="preserve"> </w:t>
      </w:r>
      <w:r w:rsidRPr="00D44503">
        <w:rPr>
          <w:rFonts w:cs="David" w:hint="cs"/>
          <w:rtl/>
        </w:rPr>
        <w:t>בעניין</w:t>
      </w:r>
      <w:r w:rsidRPr="00D44503">
        <w:rPr>
          <w:rFonts w:cs="David"/>
          <w:rtl/>
        </w:rPr>
        <w:t xml:space="preserve"> </w:t>
      </w:r>
      <w:r w:rsidRPr="00D44503">
        <w:rPr>
          <w:rFonts w:cs="David" w:hint="cs"/>
          <w:rtl/>
        </w:rPr>
        <w:t>בחלקו</w:t>
      </w:r>
      <w:r w:rsidRPr="00D44503">
        <w:rPr>
          <w:rFonts w:cs="David"/>
          <w:rtl/>
        </w:rPr>
        <w:t xml:space="preserve"> </w:t>
      </w:r>
      <w:r w:rsidRPr="00D44503">
        <w:rPr>
          <w:rFonts w:cs="David" w:hint="cs"/>
          <w:rtl/>
        </w:rPr>
        <w:t>הראשון</w:t>
      </w:r>
      <w:r w:rsidRPr="00D44503">
        <w:rPr>
          <w:rFonts w:cs="David"/>
          <w:rtl/>
        </w:rPr>
        <w:t xml:space="preserve"> </w:t>
      </w:r>
      <w:r w:rsidRPr="00D44503">
        <w:rPr>
          <w:rFonts w:cs="David" w:hint="cs"/>
          <w:rtl/>
        </w:rPr>
        <w:t>של</w:t>
      </w:r>
      <w:r w:rsidRPr="00D44503">
        <w:rPr>
          <w:rFonts w:cs="David"/>
          <w:rtl/>
        </w:rPr>
        <w:t xml:space="preserve"> </w:t>
      </w:r>
      <w:r w:rsidRPr="00D44503">
        <w:rPr>
          <w:rFonts w:cs="David" w:hint="cs"/>
          <w:rtl/>
        </w:rPr>
        <w:t>דוח</w:t>
      </w:r>
      <w:r w:rsidRPr="00D44503">
        <w:rPr>
          <w:rFonts w:cs="David"/>
          <w:rtl/>
        </w:rPr>
        <w:t xml:space="preserve"> </w:t>
      </w:r>
      <w:r w:rsidRPr="00D44503">
        <w:rPr>
          <w:rFonts w:cs="David" w:hint="cs"/>
          <w:rtl/>
        </w:rPr>
        <w:t>ועדת</w:t>
      </w:r>
      <w:r w:rsidRPr="00D44503">
        <w:rPr>
          <w:rFonts w:cs="David"/>
          <w:rtl/>
        </w:rPr>
        <w:t xml:space="preserve"> </w:t>
      </w:r>
      <w:r w:rsidRPr="00D44503">
        <w:rPr>
          <w:rFonts w:cs="David" w:hint="cs"/>
          <w:rtl/>
        </w:rPr>
        <w:t>טירקל</w:t>
      </w:r>
      <w:r w:rsidRPr="00D44503">
        <w:rPr>
          <w:rFonts w:cs="David"/>
          <w:rtl/>
        </w:rPr>
        <w:t xml:space="preserve">, </w:t>
      </w:r>
      <w:r w:rsidRPr="00D44503">
        <w:rPr>
          <w:rFonts w:cs="David" w:hint="cs"/>
          <w:rtl/>
        </w:rPr>
        <w:t>ה</w:t>
      </w:r>
      <w:r w:rsidRPr="00D44503">
        <w:rPr>
          <w:rFonts w:cs="David"/>
          <w:rtl/>
        </w:rPr>
        <w:t>"</w:t>
      </w:r>
      <w:r w:rsidRPr="00D44503">
        <w:rPr>
          <w:rFonts w:cs="David" w:hint="cs"/>
          <w:rtl/>
        </w:rPr>
        <w:t>ש</w:t>
      </w:r>
      <w:r>
        <w:rPr>
          <w:rFonts w:cs="David" w:hint="cs"/>
          <w:rtl/>
        </w:rPr>
        <w:t xml:space="preserve"> </w:t>
      </w:r>
      <w:r>
        <w:rPr>
          <w:rFonts w:cs="David"/>
          <w:rtl/>
        </w:rPr>
        <w:fldChar w:fldCharType="begin"/>
      </w:r>
      <w:r>
        <w:rPr>
          <w:rFonts w:cs="David"/>
          <w:rtl/>
        </w:rPr>
        <w:instrText xml:space="preserve"> </w:instrText>
      </w:r>
      <w:r>
        <w:rPr>
          <w:rFonts w:cs="David" w:hint="cs"/>
        </w:rPr>
        <w:instrText>NOTEREF</w:instrText>
      </w:r>
      <w:r>
        <w:rPr>
          <w:rFonts w:cs="David" w:hint="cs"/>
          <w:rtl/>
        </w:rPr>
        <w:instrText xml:space="preserve"> _</w:instrText>
      </w:r>
      <w:r>
        <w:rPr>
          <w:rFonts w:cs="David" w:hint="cs"/>
        </w:rPr>
        <w:instrText>Ref455329587 \h</w:instrText>
      </w:r>
      <w:r>
        <w:rPr>
          <w:rFonts w:cs="David"/>
          <w:rtl/>
        </w:rPr>
        <w:instrText xml:space="preserve"> </w:instrText>
      </w:r>
      <w:r>
        <w:rPr>
          <w:rFonts w:cs="David"/>
          <w:rtl/>
        </w:rPr>
      </w:r>
      <w:r>
        <w:rPr>
          <w:rFonts w:cs="David"/>
          <w:rtl/>
        </w:rPr>
        <w:fldChar w:fldCharType="separate"/>
      </w:r>
      <w:r>
        <w:rPr>
          <w:rFonts w:cs="David"/>
          <w:rtl/>
        </w:rPr>
        <w:t>325</w:t>
      </w:r>
      <w:r>
        <w:rPr>
          <w:rFonts w:cs="David"/>
          <w:rtl/>
        </w:rPr>
        <w:fldChar w:fldCharType="end"/>
      </w:r>
      <w:r>
        <w:rPr>
          <w:rFonts w:cs="David" w:hint="cs"/>
          <w:rtl/>
        </w:rPr>
        <w:t xml:space="preserve"> </w:t>
      </w:r>
      <w:r w:rsidRPr="00D44503">
        <w:rPr>
          <w:rFonts w:cs="David" w:hint="cs"/>
          <w:rtl/>
        </w:rPr>
        <w:t>לעיל</w:t>
      </w:r>
      <w:r w:rsidRPr="00D44503">
        <w:rPr>
          <w:rFonts w:cs="David"/>
          <w:rtl/>
        </w:rPr>
        <w:t xml:space="preserve">, </w:t>
      </w:r>
      <w:r w:rsidRPr="00D44503">
        <w:rPr>
          <w:rFonts w:cs="David" w:hint="cs"/>
          <w:rtl/>
        </w:rPr>
        <w:t>בעמוד</w:t>
      </w:r>
      <w:r w:rsidRPr="00D44503">
        <w:rPr>
          <w:rFonts w:cs="David"/>
          <w:rtl/>
        </w:rPr>
        <w:t xml:space="preserve"> 89.</w:t>
      </w:r>
    </w:p>
  </w:footnote>
  <w:footnote w:id="223">
    <w:p w:rsidR="009B636F" w:rsidRPr="00ED5F9C" w:rsidRDefault="009B636F" w:rsidP="00397737">
      <w:pPr>
        <w:pStyle w:val="a5"/>
        <w:jc w:val="both"/>
        <w:rPr>
          <w:rFonts w:cs="David"/>
        </w:rPr>
      </w:pPr>
      <w:r>
        <w:rPr>
          <w:rStyle w:val="a7"/>
        </w:rPr>
        <w:footnoteRef/>
      </w:r>
      <w:r>
        <w:rPr>
          <w:rtl/>
        </w:rPr>
        <w:t xml:space="preserve"> </w:t>
      </w:r>
      <w:r>
        <w:rPr>
          <w:rFonts w:cs="David" w:hint="cs"/>
          <w:rtl/>
        </w:rPr>
        <w:t xml:space="preserve">למרות שדוח הוועדה מונה כמה מומחים יועצים צבאיים עמם </w:t>
      </w:r>
      <w:r w:rsidRPr="00ED5F9C">
        <w:rPr>
          <w:rFonts w:cs="David" w:hint="cs"/>
          <w:b/>
          <w:bCs/>
          <w:rtl/>
        </w:rPr>
        <w:t>התייעצה</w:t>
      </w:r>
      <w:r>
        <w:rPr>
          <w:rFonts w:cs="David" w:hint="cs"/>
          <w:rtl/>
        </w:rPr>
        <w:t xml:space="preserve"> הוועדה; עם זאת, ברור כי יועץ לוועדה אינו חבר ועדה ולכל הפחות אינו נושא </w:t>
      </w:r>
      <w:r w:rsidRPr="00ED5F9C">
        <w:rPr>
          <w:rFonts w:cs="David" w:hint="cs"/>
          <w:b/>
          <w:bCs/>
          <w:rtl/>
        </w:rPr>
        <w:t>באחריות</w:t>
      </w:r>
      <w:r>
        <w:rPr>
          <w:rFonts w:cs="David" w:hint="cs"/>
          <w:rtl/>
        </w:rPr>
        <w:t xml:space="preserve"> בה נושא חבר הוועדה.</w:t>
      </w:r>
    </w:p>
  </w:footnote>
  <w:footnote w:id="224">
    <w:p w:rsidR="009B636F" w:rsidRDefault="009B636F" w:rsidP="00397737">
      <w:pPr>
        <w:pStyle w:val="a5"/>
        <w:jc w:val="both"/>
        <w:rPr>
          <w:rtl/>
        </w:rPr>
      </w:pPr>
      <w:r>
        <w:rPr>
          <w:rStyle w:val="a7"/>
        </w:rPr>
        <w:footnoteRef/>
      </w:r>
      <w:r>
        <w:rPr>
          <w:rtl/>
        </w:rPr>
        <w:t xml:space="preserve"> </w:t>
      </w:r>
      <w:r>
        <w:t xml:space="preserve">Fleet of the Irish Air Corps, </w:t>
      </w:r>
      <w:r w:rsidRPr="00C82B2D">
        <w:t>http://www.military.ie/air-corps/fleet</w:t>
      </w:r>
      <w:r w:rsidRPr="00C82B2D">
        <w:rPr>
          <w:rFonts w:cs="Arial"/>
          <w:rtl/>
        </w:rPr>
        <w:t>/</w:t>
      </w:r>
    </w:p>
  </w:footnote>
  <w:footnote w:id="225">
    <w:p w:rsidR="009B636F" w:rsidRDefault="009B636F" w:rsidP="00397737">
      <w:pPr>
        <w:pStyle w:val="a5"/>
        <w:jc w:val="both"/>
      </w:pPr>
      <w:r>
        <w:rPr>
          <w:rStyle w:val="a7"/>
        </w:rPr>
        <w:footnoteRef/>
      </w:r>
      <w:r>
        <w:rPr>
          <w:rtl/>
        </w:rPr>
        <w:t xml:space="preserve"> </w:t>
      </w:r>
      <w:r>
        <w:t xml:space="preserve">Brigadier-General (Ret’d) Kenneth Watkin, QC, </w:t>
      </w:r>
      <w:r w:rsidRPr="007D1CA0">
        <w:t>The University of Pennsylvania Law School, https://www.law.upenn.edu/live/files/3812-watkin-short</w:t>
      </w:r>
    </w:p>
  </w:footnote>
  <w:footnote w:id="226">
    <w:p w:rsidR="009B636F" w:rsidRDefault="009B636F" w:rsidP="00397737">
      <w:pPr>
        <w:pStyle w:val="a5"/>
        <w:jc w:val="both"/>
      </w:pPr>
      <w:r>
        <w:rPr>
          <w:rStyle w:val="a7"/>
        </w:rPr>
        <w:footnoteRef/>
      </w:r>
      <w:r>
        <w:rPr>
          <w:rtl/>
        </w:rPr>
        <w:t xml:space="preserve"> </w:t>
      </w:r>
      <w:r>
        <w:t xml:space="preserve">Professor Tim McCormack, Overview, The University of Melbourne, </w:t>
      </w:r>
      <w:r w:rsidRPr="00010043">
        <w:t>http://law.unimelb.edu.au/about/staff/tim-mccormack</w:t>
      </w:r>
    </w:p>
  </w:footnote>
  <w:footnote w:id="227">
    <w:p w:rsidR="009B636F" w:rsidRDefault="009B636F">
      <w:pPr>
        <w:pStyle w:val="a5"/>
        <w:jc w:val="both"/>
      </w:pPr>
      <w:r>
        <w:rPr>
          <w:rStyle w:val="a7"/>
        </w:rPr>
        <w:footnoteRef/>
      </w:r>
      <w:r>
        <w:rPr>
          <w:rtl/>
        </w:rPr>
        <w:t xml:space="preserve"> </w:t>
      </w:r>
      <w:r w:rsidRPr="00D44503">
        <w:rPr>
          <w:rFonts w:cs="David" w:hint="cs"/>
          <w:rtl/>
        </w:rPr>
        <w:t>כך</w:t>
      </w:r>
      <w:r w:rsidRPr="00D44503">
        <w:rPr>
          <w:rFonts w:cs="David"/>
          <w:rtl/>
        </w:rPr>
        <w:t xml:space="preserve">, </w:t>
      </w:r>
      <w:r w:rsidRPr="00D44503">
        <w:rPr>
          <w:rFonts w:cs="David" w:hint="cs"/>
          <w:rtl/>
        </w:rPr>
        <w:t>בראש</w:t>
      </w:r>
      <w:r w:rsidRPr="00D44503">
        <w:rPr>
          <w:rFonts w:cs="David"/>
          <w:rtl/>
        </w:rPr>
        <w:t xml:space="preserve"> </w:t>
      </w:r>
      <w:r w:rsidRPr="00D44503">
        <w:rPr>
          <w:rFonts w:cs="David" w:hint="cs"/>
          <w:rtl/>
        </w:rPr>
        <w:t>ועדת</w:t>
      </w:r>
      <w:r w:rsidRPr="00D44503">
        <w:rPr>
          <w:rFonts w:cs="David"/>
          <w:rtl/>
        </w:rPr>
        <w:t xml:space="preserve"> </w:t>
      </w:r>
      <w:r w:rsidRPr="00D44503">
        <w:rPr>
          <w:rFonts w:cs="David" w:hint="cs"/>
          <w:rtl/>
        </w:rPr>
        <w:t>כפר</w:t>
      </w:r>
      <w:r w:rsidRPr="00D44503">
        <w:rPr>
          <w:rFonts w:cs="David"/>
          <w:rtl/>
        </w:rPr>
        <w:t xml:space="preserve"> </w:t>
      </w:r>
      <w:r w:rsidRPr="00D44503">
        <w:rPr>
          <w:rFonts w:cs="David" w:hint="cs"/>
          <w:rtl/>
        </w:rPr>
        <w:t>קאנא</w:t>
      </w:r>
      <w:r w:rsidRPr="00D44503">
        <w:rPr>
          <w:rFonts w:cs="David"/>
          <w:rtl/>
        </w:rPr>
        <w:t xml:space="preserve"> </w:t>
      </w:r>
      <w:r w:rsidRPr="00D44503">
        <w:rPr>
          <w:rFonts w:cs="David" w:hint="cs"/>
          <w:rtl/>
        </w:rPr>
        <w:t>הועמד</w:t>
      </w:r>
      <w:r w:rsidRPr="00D44503">
        <w:rPr>
          <w:rFonts w:cs="David"/>
          <w:rtl/>
        </w:rPr>
        <w:t xml:space="preserve"> </w:t>
      </w:r>
      <w:r w:rsidRPr="00D44503">
        <w:rPr>
          <w:rFonts w:cs="David" w:hint="cs"/>
          <w:rtl/>
        </w:rPr>
        <w:t>הגנרל</w:t>
      </w:r>
      <w:r w:rsidRPr="00D44503">
        <w:rPr>
          <w:rFonts w:cs="David"/>
          <w:rtl/>
        </w:rPr>
        <w:t xml:space="preserve"> </w:t>
      </w:r>
      <w:r w:rsidRPr="00D44503">
        <w:rPr>
          <w:rFonts w:cs="David" w:hint="cs"/>
          <w:rtl/>
        </w:rPr>
        <w:t>ההולנדי</w:t>
      </w:r>
      <w:r w:rsidRPr="00D44503">
        <w:rPr>
          <w:rFonts w:cs="David"/>
          <w:rtl/>
        </w:rPr>
        <w:t xml:space="preserve"> </w:t>
      </w:r>
      <w:r w:rsidRPr="00D44503">
        <w:rPr>
          <w:rFonts w:cs="David"/>
        </w:rPr>
        <w:t>Franklin van Kappen</w:t>
      </w:r>
      <w:r w:rsidRPr="00D44503">
        <w:rPr>
          <w:rFonts w:cs="David"/>
          <w:rtl/>
        </w:rPr>
        <w:t xml:space="preserve">. </w:t>
      </w:r>
      <w:r w:rsidRPr="00D44503">
        <w:rPr>
          <w:rFonts w:cs="David" w:hint="cs"/>
          <w:rtl/>
        </w:rPr>
        <w:t>בראש</w:t>
      </w:r>
      <w:r w:rsidRPr="00D44503">
        <w:rPr>
          <w:rFonts w:cs="David"/>
          <w:rtl/>
        </w:rPr>
        <w:t xml:space="preserve"> </w:t>
      </w:r>
      <w:r w:rsidRPr="00D44503">
        <w:rPr>
          <w:rFonts w:cs="David" w:hint="cs"/>
          <w:rtl/>
        </w:rPr>
        <w:t>ועדת</w:t>
      </w:r>
      <w:r w:rsidRPr="00D44503">
        <w:rPr>
          <w:rFonts w:cs="David"/>
          <w:rtl/>
        </w:rPr>
        <w:t xml:space="preserve"> </w:t>
      </w:r>
      <w:r w:rsidRPr="00D44503">
        <w:rPr>
          <w:rFonts w:cs="David" w:hint="cs"/>
          <w:rtl/>
        </w:rPr>
        <w:t>החקירה</w:t>
      </w:r>
      <w:r w:rsidRPr="00D44503">
        <w:rPr>
          <w:rFonts w:cs="David"/>
          <w:rtl/>
        </w:rPr>
        <w:t xml:space="preserve"> </w:t>
      </w:r>
      <w:r w:rsidRPr="00D44503">
        <w:rPr>
          <w:rFonts w:cs="David" w:hint="cs"/>
          <w:rtl/>
        </w:rPr>
        <w:t>בעקבות</w:t>
      </w:r>
      <w:r w:rsidRPr="00D44503">
        <w:rPr>
          <w:rFonts w:cs="David"/>
          <w:rtl/>
        </w:rPr>
        <w:t xml:space="preserve"> </w:t>
      </w:r>
      <w:r w:rsidRPr="00D44503">
        <w:rPr>
          <w:rFonts w:cs="David" w:hint="cs"/>
          <w:rtl/>
        </w:rPr>
        <w:t>הפגיעות</w:t>
      </w:r>
      <w:r w:rsidRPr="00D44503">
        <w:rPr>
          <w:rFonts w:cs="David"/>
          <w:rtl/>
        </w:rPr>
        <w:t xml:space="preserve"> </w:t>
      </w:r>
      <w:r w:rsidRPr="00D44503">
        <w:rPr>
          <w:rFonts w:cs="David" w:hint="cs"/>
          <w:rtl/>
        </w:rPr>
        <w:t>במתקני</w:t>
      </w:r>
      <w:r w:rsidRPr="00D44503">
        <w:rPr>
          <w:rFonts w:cs="David"/>
          <w:rtl/>
        </w:rPr>
        <w:t xml:space="preserve"> </w:t>
      </w:r>
      <w:r w:rsidRPr="00D44503">
        <w:rPr>
          <w:rFonts w:cs="David" w:hint="cs"/>
          <w:rtl/>
        </w:rPr>
        <w:t>או</w:t>
      </w:r>
      <w:r w:rsidRPr="00D44503">
        <w:rPr>
          <w:rFonts w:cs="David"/>
          <w:rtl/>
        </w:rPr>
        <w:t>"</w:t>
      </w:r>
      <w:r w:rsidRPr="00D44503">
        <w:rPr>
          <w:rFonts w:cs="David" w:hint="cs"/>
          <w:rtl/>
        </w:rPr>
        <w:t>ם</w:t>
      </w:r>
      <w:r w:rsidRPr="00D44503">
        <w:rPr>
          <w:rFonts w:cs="David"/>
          <w:rtl/>
        </w:rPr>
        <w:t xml:space="preserve"> </w:t>
      </w:r>
      <w:r w:rsidRPr="00D44503">
        <w:rPr>
          <w:rFonts w:cs="David" w:hint="cs"/>
          <w:rtl/>
        </w:rPr>
        <w:t>או</w:t>
      </w:r>
      <w:r w:rsidRPr="00D44503">
        <w:rPr>
          <w:rFonts w:cs="David"/>
          <w:rtl/>
        </w:rPr>
        <w:t xml:space="preserve"> </w:t>
      </w:r>
      <w:r w:rsidRPr="00D44503">
        <w:rPr>
          <w:rFonts w:cs="David" w:hint="cs"/>
          <w:rtl/>
        </w:rPr>
        <w:t>באנשים</w:t>
      </w:r>
      <w:r w:rsidRPr="00D44503">
        <w:rPr>
          <w:rFonts w:cs="David"/>
          <w:rtl/>
        </w:rPr>
        <w:t xml:space="preserve"> </w:t>
      </w:r>
      <w:r w:rsidRPr="00D44503">
        <w:rPr>
          <w:rFonts w:cs="David" w:hint="cs"/>
          <w:rtl/>
        </w:rPr>
        <w:t>ששהו</w:t>
      </w:r>
      <w:r w:rsidRPr="00D44503">
        <w:rPr>
          <w:rFonts w:cs="David"/>
          <w:rtl/>
        </w:rPr>
        <w:t xml:space="preserve"> </w:t>
      </w:r>
      <w:r w:rsidRPr="00D44503">
        <w:rPr>
          <w:rFonts w:cs="David" w:hint="cs"/>
          <w:rtl/>
        </w:rPr>
        <w:t>בהם</w:t>
      </w:r>
      <w:r w:rsidRPr="00D44503">
        <w:rPr>
          <w:rFonts w:cs="David"/>
          <w:rtl/>
        </w:rPr>
        <w:t xml:space="preserve"> </w:t>
      </w:r>
      <w:r w:rsidRPr="00D44503">
        <w:rPr>
          <w:rFonts w:cs="David" w:hint="cs"/>
          <w:rtl/>
        </w:rPr>
        <w:t>במהלך</w:t>
      </w:r>
      <w:r w:rsidRPr="00D44503">
        <w:rPr>
          <w:rFonts w:cs="David"/>
          <w:rtl/>
        </w:rPr>
        <w:t xml:space="preserve"> </w:t>
      </w:r>
      <w:r w:rsidRPr="00D44503">
        <w:rPr>
          <w:rFonts w:cs="David" w:hint="cs"/>
          <w:rtl/>
        </w:rPr>
        <w:t>מבצע</w:t>
      </w:r>
      <w:r w:rsidRPr="00D44503">
        <w:rPr>
          <w:rFonts w:cs="David"/>
          <w:rtl/>
        </w:rPr>
        <w:t xml:space="preserve"> "</w:t>
      </w:r>
      <w:r w:rsidRPr="00D44503">
        <w:rPr>
          <w:rFonts w:cs="David" w:hint="cs"/>
          <w:rtl/>
        </w:rPr>
        <w:t>צוק</w:t>
      </w:r>
      <w:r w:rsidRPr="00D44503">
        <w:rPr>
          <w:rFonts w:cs="David"/>
          <w:rtl/>
        </w:rPr>
        <w:t xml:space="preserve"> </w:t>
      </w:r>
      <w:r w:rsidRPr="00D44503">
        <w:rPr>
          <w:rFonts w:cs="David" w:hint="cs"/>
          <w:rtl/>
        </w:rPr>
        <w:t>איתן</w:t>
      </w:r>
      <w:r w:rsidRPr="00D44503">
        <w:rPr>
          <w:rFonts w:cs="David"/>
          <w:rtl/>
        </w:rPr>
        <w:t xml:space="preserve">" </w:t>
      </w:r>
      <w:r w:rsidRPr="00D44503">
        <w:rPr>
          <w:rFonts w:cs="David" w:hint="cs"/>
          <w:rtl/>
        </w:rPr>
        <w:t>עמד</w:t>
      </w:r>
      <w:r w:rsidRPr="00D44503">
        <w:rPr>
          <w:rFonts w:cs="David"/>
          <w:rtl/>
        </w:rPr>
        <w:t xml:space="preserve"> </w:t>
      </w:r>
      <w:r w:rsidRPr="00D44503">
        <w:rPr>
          <w:rFonts w:cs="David" w:hint="cs"/>
          <w:rtl/>
        </w:rPr>
        <w:t>הגנרל</w:t>
      </w:r>
      <w:r w:rsidRPr="00D44503">
        <w:rPr>
          <w:rFonts w:cs="David"/>
          <w:rtl/>
        </w:rPr>
        <w:t xml:space="preserve"> </w:t>
      </w:r>
      <w:r w:rsidRPr="00D44503">
        <w:rPr>
          <w:rFonts w:cs="David" w:hint="cs"/>
          <w:rtl/>
        </w:rPr>
        <w:t>ההולנדי</w:t>
      </w:r>
      <w:r w:rsidRPr="00D44503">
        <w:rPr>
          <w:rFonts w:cs="David"/>
          <w:rtl/>
        </w:rPr>
        <w:t xml:space="preserve"> </w:t>
      </w:r>
      <w:r w:rsidRPr="00D44503">
        <w:rPr>
          <w:rFonts w:cs="David"/>
        </w:rPr>
        <w:t>Patrick Cammaert</w:t>
      </w:r>
      <w:r w:rsidRPr="00D44503">
        <w:rPr>
          <w:rFonts w:cs="David"/>
          <w:rtl/>
        </w:rPr>
        <w:t xml:space="preserve"> </w:t>
      </w:r>
      <w:r w:rsidRPr="00D44503">
        <w:rPr>
          <w:rFonts w:cs="David" w:hint="cs"/>
          <w:rtl/>
        </w:rPr>
        <w:t>וכן</w:t>
      </w:r>
      <w:r w:rsidRPr="00D44503">
        <w:rPr>
          <w:rFonts w:cs="David"/>
          <w:rtl/>
        </w:rPr>
        <w:t xml:space="preserve"> </w:t>
      </w:r>
      <w:r w:rsidRPr="00D44503">
        <w:rPr>
          <w:rFonts w:cs="David" w:hint="cs"/>
          <w:rtl/>
        </w:rPr>
        <w:t>היה</w:t>
      </w:r>
      <w:r w:rsidRPr="00D44503">
        <w:rPr>
          <w:rFonts w:cs="David"/>
          <w:rtl/>
        </w:rPr>
        <w:t xml:space="preserve"> </w:t>
      </w:r>
      <w:r w:rsidRPr="00D44503">
        <w:rPr>
          <w:rFonts w:cs="David" w:hint="cs"/>
          <w:rtl/>
        </w:rPr>
        <w:t>חבר</w:t>
      </w:r>
      <w:r w:rsidRPr="00D44503">
        <w:rPr>
          <w:rFonts w:cs="David"/>
          <w:rtl/>
        </w:rPr>
        <w:t xml:space="preserve"> </w:t>
      </w:r>
      <w:r w:rsidRPr="00D44503">
        <w:rPr>
          <w:rFonts w:cs="David" w:hint="cs"/>
          <w:rtl/>
        </w:rPr>
        <w:t>בה</w:t>
      </w:r>
      <w:r w:rsidRPr="00D44503">
        <w:rPr>
          <w:rFonts w:cs="David"/>
          <w:rtl/>
        </w:rPr>
        <w:t xml:space="preserve"> </w:t>
      </w:r>
      <w:r w:rsidRPr="00D44503">
        <w:rPr>
          <w:rFonts w:cs="David" w:hint="cs"/>
          <w:rtl/>
        </w:rPr>
        <w:t>מר</w:t>
      </w:r>
      <w:r w:rsidRPr="00D44503">
        <w:rPr>
          <w:rFonts w:cs="David"/>
          <w:rtl/>
        </w:rPr>
        <w:t xml:space="preserve"> </w:t>
      </w:r>
      <w:r w:rsidRPr="00D44503">
        <w:rPr>
          <w:rFonts w:cs="David"/>
        </w:rPr>
        <w:t>K. C. Reddy</w:t>
      </w:r>
      <w:r w:rsidRPr="00D44503">
        <w:rPr>
          <w:rFonts w:cs="David"/>
          <w:rtl/>
        </w:rPr>
        <w:t xml:space="preserve"> </w:t>
      </w:r>
      <w:r w:rsidRPr="00D44503">
        <w:rPr>
          <w:rFonts w:cs="David" w:hint="cs"/>
          <w:rtl/>
        </w:rPr>
        <w:t>מהודו</w:t>
      </w:r>
      <w:r w:rsidRPr="00D44503">
        <w:rPr>
          <w:rFonts w:cs="David"/>
          <w:rtl/>
        </w:rPr>
        <w:t xml:space="preserve">, </w:t>
      </w:r>
      <w:r w:rsidRPr="00D44503">
        <w:rPr>
          <w:rFonts w:cs="David" w:hint="cs"/>
          <w:rtl/>
        </w:rPr>
        <w:t>שהיה</w:t>
      </w:r>
      <w:r w:rsidRPr="00D44503">
        <w:rPr>
          <w:rFonts w:cs="David"/>
          <w:rtl/>
        </w:rPr>
        <w:t xml:space="preserve"> </w:t>
      </w:r>
      <w:r w:rsidRPr="00D44503">
        <w:rPr>
          <w:rFonts w:cs="David" w:hint="cs"/>
          <w:rtl/>
        </w:rPr>
        <w:t>במשך</w:t>
      </w:r>
      <w:r w:rsidRPr="00D44503">
        <w:rPr>
          <w:rFonts w:cs="David"/>
          <w:rtl/>
        </w:rPr>
        <w:t xml:space="preserve"> </w:t>
      </w:r>
      <w:r w:rsidRPr="00D44503">
        <w:rPr>
          <w:rFonts w:cs="David" w:hint="cs"/>
          <w:rtl/>
        </w:rPr>
        <w:t>שנים</w:t>
      </w:r>
      <w:r w:rsidRPr="00D44503">
        <w:rPr>
          <w:rFonts w:cs="David"/>
          <w:rtl/>
        </w:rPr>
        <w:t xml:space="preserve"> </w:t>
      </w:r>
      <w:r w:rsidRPr="00D44503">
        <w:rPr>
          <w:rFonts w:cs="David" w:hint="cs"/>
          <w:rtl/>
        </w:rPr>
        <w:t>היועץ</w:t>
      </w:r>
      <w:r w:rsidRPr="00D44503">
        <w:rPr>
          <w:rFonts w:cs="David"/>
          <w:rtl/>
        </w:rPr>
        <w:t xml:space="preserve"> </w:t>
      </w:r>
      <w:r w:rsidRPr="00D44503">
        <w:rPr>
          <w:rFonts w:cs="David" w:hint="cs"/>
          <w:rtl/>
        </w:rPr>
        <w:t>הביטחוני</w:t>
      </w:r>
      <w:r w:rsidRPr="00D44503">
        <w:rPr>
          <w:rFonts w:cs="David"/>
          <w:rtl/>
        </w:rPr>
        <w:t xml:space="preserve"> </w:t>
      </w:r>
      <w:r w:rsidRPr="00D44503">
        <w:rPr>
          <w:rFonts w:cs="David" w:hint="cs"/>
          <w:rtl/>
        </w:rPr>
        <w:t>של</w:t>
      </w:r>
      <w:r w:rsidRPr="00D44503">
        <w:rPr>
          <w:rFonts w:cs="David"/>
          <w:rtl/>
        </w:rPr>
        <w:t xml:space="preserve"> </w:t>
      </w:r>
      <w:r w:rsidRPr="00D44503">
        <w:rPr>
          <w:rFonts w:cs="David" w:hint="cs"/>
          <w:rtl/>
        </w:rPr>
        <w:t>האו</w:t>
      </w:r>
      <w:r w:rsidRPr="00D44503">
        <w:rPr>
          <w:rFonts w:cs="David"/>
          <w:rtl/>
        </w:rPr>
        <w:t>"</w:t>
      </w:r>
      <w:r w:rsidRPr="00D44503">
        <w:rPr>
          <w:rFonts w:cs="David" w:hint="cs"/>
          <w:rtl/>
        </w:rPr>
        <w:t>ם</w:t>
      </w:r>
      <w:r w:rsidRPr="00D44503">
        <w:rPr>
          <w:rFonts w:cs="David"/>
          <w:rtl/>
        </w:rPr>
        <w:t>.</w:t>
      </w:r>
    </w:p>
  </w:footnote>
  <w:footnote w:id="228">
    <w:p w:rsidR="009B636F" w:rsidRPr="00C80E27" w:rsidRDefault="009B636F" w:rsidP="00397737">
      <w:pPr>
        <w:pStyle w:val="a5"/>
        <w:jc w:val="both"/>
        <w:rPr>
          <w:rFonts w:cs="David,"/>
          <w:rtl/>
        </w:rPr>
      </w:pPr>
      <w:r>
        <w:rPr>
          <w:rStyle w:val="a7"/>
        </w:rPr>
        <w:footnoteRef/>
      </w:r>
      <w:r>
        <w:rPr>
          <w:rtl/>
        </w:rPr>
        <w:t xml:space="preserve"> </w:t>
      </w:r>
      <w:r w:rsidRPr="00C80E27">
        <w:rPr>
          <w:rFonts w:cs="David" w:hint="cs"/>
          <w:rtl/>
        </w:rPr>
        <w:t>ראה עמודים</w:t>
      </w:r>
      <w:r>
        <w:rPr>
          <w:rFonts w:cs="David" w:hint="cs"/>
          <w:rtl/>
        </w:rPr>
        <w:t xml:space="preserve"> 22-27 למדריך הנציבות</w:t>
      </w:r>
    </w:p>
  </w:footnote>
  <w:footnote w:id="229">
    <w:p w:rsidR="009B636F" w:rsidRPr="00C47491" w:rsidRDefault="009B636F" w:rsidP="00264AF0">
      <w:pPr>
        <w:pStyle w:val="a5"/>
        <w:jc w:val="both"/>
        <w:rPr>
          <w:rtl/>
        </w:rPr>
      </w:pPr>
      <w:r w:rsidRPr="00C47491">
        <w:rPr>
          <w:rStyle w:val="a7"/>
        </w:rPr>
        <w:footnoteRef/>
      </w:r>
      <w:r w:rsidRPr="00C47491">
        <w:rPr>
          <w:rtl/>
        </w:rPr>
        <w:t xml:space="preserve"> </w:t>
      </w:r>
      <w:r w:rsidRPr="00C47491">
        <w:t xml:space="preserve">Neuer Hillel (2015), Why the Schabas Report Will Be Every Bit as Biased as the Goldstone Report, </w:t>
      </w:r>
      <w:r w:rsidRPr="00C47491">
        <w:rPr>
          <w:b/>
          <w:bCs/>
        </w:rPr>
        <w:t>The Tower</w:t>
      </w:r>
      <w:r w:rsidRPr="00C47491">
        <w:t>, http://www.thetower.org/article/why-the-schabas-report-will-be-every-bit-as-biased-as-the-goldstone-report/</w:t>
      </w:r>
    </w:p>
  </w:footnote>
  <w:footnote w:id="230">
    <w:p w:rsidR="009B636F" w:rsidRDefault="009B636F">
      <w:pPr>
        <w:pStyle w:val="a5"/>
        <w:jc w:val="both"/>
      </w:pPr>
      <w:r>
        <w:rPr>
          <w:rStyle w:val="a7"/>
        </w:rPr>
        <w:footnoteRef/>
      </w:r>
      <w:r>
        <w:rPr>
          <w:rtl/>
        </w:rPr>
        <w:t xml:space="preserve"> </w:t>
      </w:r>
      <w:r w:rsidRPr="00D44503">
        <w:rPr>
          <w:rFonts w:cs="David" w:hint="cs"/>
          <w:rtl/>
        </w:rPr>
        <w:t>עם</w:t>
      </w:r>
      <w:r w:rsidRPr="00D44503">
        <w:rPr>
          <w:rFonts w:cs="David"/>
          <w:rtl/>
        </w:rPr>
        <w:t xml:space="preserve"> </w:t>
      </w:r>
      <w:r w:rsidRPr="00D44503">
        <w:rPr>
          <w:rFonts w:cs="David" w:hint="cs"/>
          <w:rtl/>
        </w:rPr>
        <w:t>זאת</w:t>
      </w:r>
      <w:r w:rsidRPr="00D44503">
        <w:rPr>
          <w:rFonts w:cs="David"/>
          <w:rtl/>
        </w:rPr>
        <w:t xml:space="preserve">, </w:t>
      </w:r>
      <w:r w:rsidRPr="00D44503">
        <w:rPr>
          <w:rFonts w:cs="David" w:hint="cs"/>
          <w:rtl/>
        </w:rPr>
        <w:t>ברור</w:t>
      </w:r>
      <w:r w:rsidRPr="00D44503">
        <w:rPr>
          <w:rFonts w:cs="David"/>
          <w:rtl/>
        </w:rPr>
        <w:t xml:space="preserve"> </w:t>
      </w:r>
      <w:r w:rsidRPr="00D44503">
        <w:rPr>
          <w:rFonts w:cs="David" w:hint="cs"/>
          <w:rtl/>
        </w:rPr>
        <w:t>כי</w:t>
      </w:r>
      <w:r w:rsidRPr="00D44503">
        <w:rPr>
          <w:rFonts w:cs="David"/>
          <w:rtl/>
        </w:rPr>
        <w:t xml:space="preserve"> </w:t>
      </w:r>
      <w:r w:rsidRPr="00D44503">
        <w:rPr>
          <w:rFonts w:cs="David" w:hint="cs"/>
          <w:rtl/>
        </w:rPr>
        <w:t>המשך</w:t>
      </w:r>
      <w:r w:rsidRPr="00D44503">
        <w:rPr>
          <w:rFonts w:cs="David"/>
          <w:rtl/>
        </w:rPr>
        <w:t xml:space="preserve"> </w:t>
      </w:r>
      <w:r w:rsidRPr="00D44503">
        <w:rPr>
          <w:rFonts w:cs="David" w:hint="cs"/>
          <w:rtl/>
        </w:rPr>
        <w:t>תפקודה</w:t>
      </w:r>
      <w:r w:rsidRPr="00D44503">
        <w:rPr>
          <w:rFonts w:cs="David"/>
          <w:rtl/>
        </w:rPr>
        <w:t xml:space="preserve"> </w:t>
      </w:r>
      <w:r w:rsidRPr="00D44503">
        <w:rPr>
          <w:rFonts w:cs="David" w:hint="cs"/>
          <w:rtl/>
        </w:rPr>
        <w:t>כראש</w:t>
      </w:r>
      <w:r w:rsidRPr="00D44503">
        <w:rPr>
          <w:rFonts w:cs="David"/>
          <w:rtl/>
        </w:rPr>
        <w:t xml:space="preserve"> </w:t>
      </w:r>
      <w:r w:rsidRPr="00D44503">
        <w:rPr>
          <w:rFonts w:cs="David" w:hint="cs"/>
          <w:rtl/>
        </w:rPr>
        <w:t>המזכירות</w:t>
      </w:r>
      <w:r w:rsidRPr="00D44503">
        <w:rPr>
          <w:rFonts w:cs="David"/>
          <w:rtl/>
        </w:rPr>
        <w:t xml:space="preserve"> </w:t>
      </w:r>
      <w:r w:rsidRPr="00D44503">
        <w:rPr>
          <w:rFonts w:cs="David" w:hint="cs"/>
          <w:rtl/>
        </w:rPr>
        <w:t>השפיע</w:t>
      </w:r>
      <w:r w:rsidRPr="00D44503">
        <w:rPr>
          <w:rFonts w:cs="David"/>
          <w:rtl/>
        </w:rPr>
        <w:t xml:space="preserve"> </w:t>
      </w:r>
      <w:r w:rsidRPr="00D44503">
        <w:rPr>
          <w:rFonts w:cs="David" w:hint="cs"/>
          <w:rtl/>
        </w:rPr>
        <w:t>על</w:t>
      </w:r>
      <w:r w:rsidRPr="00D44503">
        <w:rPr>
          <w:rFonts w:cs="David"/>
          <w:rtl/>
        </w:rPr>
        <w:t xml:space="preserve"> </w:t>
      </w:r>
      <w:r w:rsidRPr="00D44503">
        <w:rPr>
          <w:rFonts w:cs="David" w:hint="cs"/>
          <w:rtl/>
        </w:rPr>
        <w:t>תפקודה</w:t>
      </w:r>
      <w:r w:rsidRPr="00D44503">
        <w:rPr>
          <w:rFonts w:cs="David"/>
          <w:rtl/>
        </w:rPr>
        <w:t xml:space="preserve"> </w:t>
      </w:r>
      <w:r w:rsidRPr="00D44503">
        <w:rPr>
          <w:rFonts w:cs="David" w:hint="cs"/>
          <w:rtl/>
        </w:rPr>
        <w:t>של</w:t>
      </w:r>
      <w:r w:rsidRPr="00D44503">
        <w:rPr>
          <w:rFonts w:cs="David"/>
          <w:rtl/>
        </w:rPr>
        <w:t xml:space="preserve"> </w:t>
      </w:r>
      <w:r w:rsidRPr="00D44503">
        <w:rPr>
          <w:rFonts w:cs="David" w:hint="cs"/>
          <w:rtl/>
        </w:rPr>
        <w:t>המזכירות</w:t>
      </w:r>
      <w:r w:rsidRPr="00D44503">
        <w:rPr>
          <w:rFonts w:cs="David"/>
          <w:rtl/>
        </w:rPr>
        <w:t xml:space="preserve"> </w:t>
      </w:r>
      <w:r w:rsidRPr="00D44503">
        <w:rPr>
          <w:rFonts w:cs="David" w:hint="cs"/>
          <w:rtl/>
        </w:rPr>
        <w:t>כולה</w:t>
      </w:r>
      <w:r w:rsidRPr="00D44503">
        <w:rPr>
          <w:rFonts w:cs="David"/>
          <w:rtl/>
        </w:rPr>
        <w:t xml:space="preserve"> </w:t>
      </w:r>
      <w:r w:rsidRPr="00D44503">
        <w:rPr>
          <w:rFonts w:cs="David" w:hint="cs"/>
          <w:rtl/>
        </w:rPr>
        <w:t>ואפשר</w:t>
      </w:r>
      <w:r w:rsidRPr="00D44503">
        <w:rPr>
          <w:rFonts w:cs="David"/>
          <w:rtl/>
        </w:rPr>
        <w:t xml:space="preserve"> </w:t>
      </w:r>
      <w:r w:rsidRPr="00D44503">
        <w:rPr>
          <w:rFonts w:cs="David" w:hint="cs"/>
          <w:rtl/>
        </w:rPr>
        <w:t>לה</w:t>
      </w:r>
      <w:r w:rsidRPr="00D44503">
        <w:rPr>
          <w:rFonts w:cs="David"/>
          <w:rtl/>
        </w:rPr>
        <w:t xml:space="preserve"> </w:t>
      </w:r>
      <w:r w:rsidRPr="00D44503">
        <w:rPr>
          <w:rFonts w:cs="David" w:hint="cs"/>
          <w:rtl/>
        </w:rPr>
        <w:t>להשגיח</w:t>
      </w:r>
      <w:r w:rsidRPr="00D44503">
        <w:rPr>
          <w:rFonts w:cs="David"/>
          <w:rtl/>
        </w:rPr>
        <w:t xml:space="preserve"> </w:t>
      </w:r>
      <w:r w:rsidRPr="00D44503">
        <w:rPr>
          <w:rFonts w:cs="David" w:hint="cs"/>
          <w:rtl/>
        </w:rPr>
        <w:t>על</w:t>
      </w:r>
      <w:r w:rsidRPr="00D44503">
        <w:rPr>
          <w:rFonts w:cs="David"/>
          <w:rtl/>
        </w:rPr>
        <w:t xml:space="preserve"> </w:t>
      </w:r>
      <w:r w:rsidRPr="00D44503">
        <w:rPr>
          <w:rFonts w:cs="David" w:hint="cs"/>
          <w:rtl/>
        </w:rPr>
        <w:t>הדברים</w:t>
      </w:r>
      <w:r w:rsidRPr="00D44503">
        <w:rPr>
          <w:rFonts w:cs="David"/>
          <w:rtl/>
        </w:rPr>
        <w:t xml:space="preserve"> </w:t>
      </w:r>
      <w:r w:rsidRPr="00D44503">
        <w:rPr>
          <w:rFonts w:cs="David" w:hint="cs"/>
          <w:rtl/>
        </w:rPr>
        <w:t>שייכתבו</w:t>
      </w:r>
      <w:r w:rsidRPr="00D44503">
        <w:rPr>
          <w:rFonts w:cs="David"/>
          <w:rtl/>
        </w:rPr>
        <w:t xml:space="preserve"> </w:t>
      </w:r>
      <w:r w:rsidRPr="00D44503">
        <w:rPr>
          <w:rFonts w:cs="David" w:hint="cs"/>
          <w:rtl/>
        </w:rPr>
        <w:t>בדוח</w:t>
      </w:r>
      <w:r w:rsidRPr="00D44503">
        <w:rPr>
          <w:rFonts w:cs="David"/>
          <w:rtl/>
        </w:rPr>
        <w:t>.</w:t>
      </w:r>
    </w:p>
  </w:footnote>
  <w:footnote w:id="231">
    <w:p w:rsidR="009B636F" w:rsidRPr="00C81005" w:rsidRDefault="009B636F" w:rsidP="00397737">
      <w:pPr>
        <w:pStyle w:val="a5"/>
        <w:jc w:val="both"/>
        <w:rPr>
          <w:rFonts w:cs="David"/>
        </w:rPr>
      </w:pPr>
      <w:r>
        <w:rPr>
          <w:rStyle w:val="a7"/>
        </w:rPr>
        <w:footnoteRef/>
      </w:r>
      <w:r>
        <w:rPr>
          <w:rtl/>
        </w:rPr>
        <w:t xml:space="preserve"> </w:t>
      </w:r>
      <w:r>
        <w:rPr>
          <w:rFonts w:cs="David" w:hint="cs"/>
          <w:rtl/>
        </w:rPr>
        <w:t>פלסטינית ששימשה בעברה כמנכ"לית ארגון זכויות האדם הפלסטיני אל חאק בגדה המערבית. לטענת נוייר, בעבר פרסמה מאמרים בהם השוותה בין ישראלים לנאצים.</w:t>
      </w:r>
    </w:p>
  </w:footnote>
  <w:footnote w:id="232">
    <w:p w:rsidR="009B636F" w:rsidRDefault="009B636F">
      <w:pPr>
        <w:pStyle w:val="a5"/>
        <w:jc w:val="both"/>
        <w:rPr>
          <w:rtl/>
        </w:rPr>
      </w:pPr>
      <w:r>
        <w:rPr>
          <w:rStyle w:val="a7"/>
        </w:rPr>
        <w:footnoteRef/>
      </w:r>
      <w:r>
        <w:rPr>
          <w:rtl/>
        </w:rPr>
        <w:t xml:space="preserve"> </w:t>
      </w:r>
      <w:r w:rsidRPr="00D44503">
        <w:rPr>
          <w:rFonts w:cs="David" w:hint="cs"/>
          <w:rtl/>
        </w:rPr>
        <w:t>אשרף</w:t>
      </w:r>
      <w:r w:rsidRPr="00D44503">
        <w:rPr>
          <w:rFonts w:cs="David"/>
          <w:rtl/>
        </w:rPr>
        <w:t xml:space="preserve"> </w:t>
      </w:r>
      <w:r w:rsidRPr="00D44503">
        <w:rPr>
          <w:rFonts w:cs="David" w:hint="cs"/>
          <w:rtl/>
        </w:rPr>
        <w:t>חברה</w:t>
      </w:r>
      <w:r w:rsidRPr="00D44503">
        <w:rPr>
          <w:rFonts w:cs="David"/>
          <w:rtl/>
        </w:rPr>
        <w:t xml:space="preserve"> </w:t>
      </w:r>
      <w:r w:rsidRPr="00D44503">
        <w:rPr>
          <w:rFonts w:cs="David" w:hint="cs"/>
          <w:rtl/>
        </w:rPr>
        <w:t>בארגון</w:t>
      </w:r>
      <w:r w:rsidRPr="00D44503">
        <w:rPr>
          <w:rFonts w:cs="David"/>
          <w:rtl/>
        </w:rPr>
        <w:t xml:space="preserve"> </w:t>
      </w:r>
      <w:r w:rsidRPr="00D44503">
        <w:rPr>
          <w:rFonts w:cs="David" w:hint="cs"/>
          <w:rtl/>
        </w:rPr>
        <w:t>אמנסטי</w:t>
      </w:r>
      <w:r w:rsidRPr="00D44503">
        <w:rPr>
          <w:rFonts w:cs="David"/>
          <w:rtl/>
        </w:rPr>
        <w:t xml:space="preserve"> </w:t>
      </w:r>
      <w:r w:rsidRPr="00D44503">
        <w:rPr>
          <w:rFonts w:cs="David" w:hint="cs"/>
          <w:rtl/>
        </w:rPr>
        <w:t>אינטרנשיונאל</w:t>
      </w:r>
      <w:r w:rsidRPr="00D44503">
        <w:rPr>
          <w:rFonts w:cs="David"/>
          <w:rtl/>
        </w:rPr>
        <w:t xml:space="preserve">, </w:t>
      </w:r>
      <w:r w:rsidRPr="00D44503">
        <w:rPr>
          <w:rFonts w:cs="David" w:hint="cs"/>
          <w:rtl/>
        </w:rPr>
        <w:t>שקיים</w:t>
      </w:r>
      <w:r w:rsidRPr="00D44503">
        <w:rPr>
          <w:rFonts w:cs="David"/>
          <w:rtl/>
        </w:rPr>
        <w:t xml:space="preserve"> </w:t>
      </w:r>
      <w:r w:rsidRPr="00D44503">
        <w:rPr>
          <w:rFonts w:cs="David" w:hint="cs"/>
          <w:rtl/>
        </w:rPr>
        <w:t>חקירה</w:t>
      </w:r>
      <w:r w:rsidRPr="00D44503">
        <w:rPr>
          <w:rFonts w:cs="David"/>
          <w:rtl/>
        </w:rPr>
        <w:t xml:space="preserve"> </w:t>
      </w:r>
      <w:r w:rsidRPr="00D44503">
        <w:rPr>
          <w:rFonts w:cs="David" w:hint="cs"/>
          <w:rtl/>
        </w:rPr>
        <w:t>משל</w:t>
      </w:r>
      <w:r w:rsidRPr="00D44503">
        <w:rPr>
          <w:rFonts w:cs="David"/>
          <w:rtl/>
        </w:rPr>
        <w:t xml:space="preserve"> </w:t>
      </w:r>
      <w:r w:rsidRPr="00D44503">
        <w:rPr>
          <w:rFonts w:cs="David" w:hint="cs"/>
          <w:rtl/>
        </w:rPr>
        <w:t>עצמו</w:t>
      </w:r>
      <w:r w:rsidRPr="00D44503">
        <w:rPr>
          <w:rFonts w:cs="David"/>
          <w:rtl/>
        </w:rPr>
        <w:t xml:space="preserve"> </w:t>
      </w:r>
      <w:r w:rsidRPr="00D44503">
        <w:rPr>
          <w:rFonts w:cs="David" w:hint="cs"/>
          <w:rtl/>
        </w:rPr>
        <w:t>בעקבות</w:t>
      </w:r>
      <w:r w:rsidRPr="00D44503">
        <w:rPr>
          <w:rFonts w:cs="David"/>
          <w:rtl/>
        </w:rPr>
        <w:t xml:space="preserve"> </w:t>
      </w:r>
      <w:r w:rsidRPr="00D44503">
        <w:rPr>
          <w:rFonts w:cs="David" w:hint="cs"/>
          <w:rtl/>
        </w:rPr>
        <w:t>מבצע</w:t>
      </w:r>
      <w:r w:rsidRPr="00D44503">
        <w:rPr>
          <w:rFonts w:cs="David"/>
          <w:rtl/>
        </w:rPr>
        <w:t xml:space="preserve"> "</w:t>
      </w:r>
      <w:r w:rsidRPr="00D44503">
        <w:rPr>
          <w:rFonts w:cs="David" w:hint="cs"/>
          <w:rtl/>
        </w:rPr>
        <w:t>עופרת</w:t>
      </w:r>
      <w:r w:rsidRPr="00D44503">
        <w:rPr>
          <w:rFonts w:cs="David"/>
          <w:rtl/>
        </w:rPr>
        <w:t xml:space="preserve"> </w:t>
      </w:r>
      <w:r w:rsidRPr="00D44503">
        <w:rPr>
          <w:rFonts w:cs="David" w:hint="cs"/>
          <w:rtl/>
        </w:rPr>
        <w:t>יצוקה</w:t>
      </w:r>
      <w:r w:rsidRPr="00D44503">
        <w:rPr>
          <w:rFonts w:cs="David"/>
          <w:rtl/>
        </w:rPr>
        <w:t xml:space="preserve">" </w:t>
      </w:r>
      <w:r w:rsidRPr="00D44503">
        <w:rPr>
          <w:rFonts w:cs="David" w:hint="cs"/>
          <w:rtl/>
        </w:rPr>
        <w:t>ודחף</w:t>
      </w:r>
      <w:r w:rsidRPr="00D44503">
        <w:rPr>
          <w:rFonts w:cs="David"/>
          <w:rtl/>
        </w:rPr>
        <w:t xml:space="preserve"> </w:t>
      </w:r>
      <w:r w:rsidRPr="00D44503">
        <w:rPr>
          <w:rFonts w:cs="David" w:hint="cs"/>
          <w:rtl/>
        </w:rPr>
        <w:t>גם</w:t>
      </w:r>
      <w:r w:rsidRPr="00D44503">
        <w:rPr>
          <w:rFonts w:cs="David"/>
          <w:rtl/>
        </w:rPr>
        <w:t xml:space="preserve"> </w:t>
      </w:r>
      <w:r w:rsidRPr="00D44503">
        <w:rPr>
          <w:rFonts w:cs="David" w:hint="cs"/>
          <w:rtl/>
        </w:rPr>
        <w:t>לחקירה</w:t>
      </w:r>
      <w:r w:rsidRPr="00D44503">
        <w:rPr>
          <w:rFonts w:cs="David"/>
          <w:rtl/>
        </w:rPr>
        <w:t xml:space="preserve"> </w:t>
      </w:r>
      <w:r w:rsidRPr="00D44503">
        <w:rPr>
          <w:rFonts w:cs="David" w:hint="cs"/>
          <w:rtl/>
        </w:rPr>
        <w:t>של</w:t>
      </w:r>
      <w:r w:rsidRPr="00D44503">
        <w:rPr>
          <w:rFonts w:cs="David"/>
          <w:rtl/>
        </w:rPr>
        <w:t xml:space="preserve"> </w:t>
      </w:r>
      <w:r w:rsidRPr="00D44503">
        <w:rPr>
          <w:rFonts w:cs="David" w:hint="cs"/>
          <w:rtl/>
        </w:rPr>
        <w:t>האו</w:t>
      </w:r>
      <w:r w:rsidRPr="00D44503">
        <w:rPr>
          <w:rFonts w:cs="David"/>
          <w:rtl/>
        </w:rPr>
        <w:t>"</w:t>
      </w:r>
      <w:r w:rsidRPr="00D44503">
        <w:rPr>
          <w:rFonts w:cs="David" w:hint="cs"/>
          <w:rtl/>
        </w:rPr>
        <w:t>ם</w:t>
      </w:r>
      <w:r w:rsidRPr="00D44503">
        <w:rPr>
          <w:rFonts w:cs="David"/>
          <w:rtl/>
        </w:rPr>
        <w:t xml:space="preserve">. </w:t>
      </w:r>
      <w:r w:rsidRPr="00D44503">
        <w:rPr>
          <w:rFonts w:cs="David" w:hint="cs"/>
          <w:rtl/>
        </w:rPr>
        <w:t>היא</w:t>
      </w:r>
      <w:r w:rsidRPr="00D44503">
        <w:rPr>
          <w:rFonts w:cs="David"/>
          <w:rtl/>
        </w:rPr>
        <w:t xml:space="preserve"> </w:t>
      </w:r>
      <w:r w:rsidRPr="00D44503">
        <w:rPr>
          <w:rFonts w:cs="David" w:hint="cs"/>
          <w:rtl/>
        </w:rPr>
        <w:t>גם</w:t>
      </w:r>
      <w:r w:rsidRPr="00D44503">
        <w:rPr>
          <w:rFonts w:cs="David"/>
          <w:rtl/>
        </w:rPr>
        <w:t xml:space="preserve"> </w:t>
      </w:r>
      <w:r w:rsidRPr="00D44503">
        <w:rPr>
          <w:rFonts w:cs="David" w:hint="cs"/>
          <w:rtl/>
        </w:rPr>
        <w:t>ארגנה</w:t>
      </w:r>
      <w:r w:rsidRPr="00D44503">
        <w:rPr>
          <w:rFonts w:cs="David"/>
          <w:rtl/>
        </w:rPr>
        <w:t xml:space="preserve"> </w:t>
      </w:r>
      <w:r w:rsidRPr="00D44503">
        <w:rPr>
          <w:rFonts w:cs="David" w:hint="cs"/>
          <w:rtl/>
        </w:rPr>
        <w:t>בלונדון</w:t>
      </w:r>
      <w:r w:rsidRPr="00D44503">
        <w:rPr>
          <w:rFonts w:cs="David"/>
          <w:rtl/>
        </w:rPr>
        <w:t xml:space="preserve"> </w:t>
      </w:r>
      <w:r w:rsidRPr="00D44503">
        <w:rPr>
          <w:rFonts w:cs="David" w:hint="cs"/>
          <w:rtl/>
        </w:rPr>
        <w:t>הרצאה</w:t>
      </w:r>
      <w:r w:rsidRPr="00D44503">
        <w:rPr>
          <w:rFonts w:cs="David"/>
          <w:rtl/>
        </w:rPr>
        <w:t xml:space="preserve"> </w:t>
      </w:r>
      <w:r w:rsidRPr="00D44503">
        <w:rPr>
          <w:rFonts w:cs="David" w:hint="cs"/>
          <w:rtl/>
        </w:rPr>
        <w:t>ל</w:t>
      </w:r>
      <w:r w:rsidRPr="00D44503">
        <w:rPr>
          <w:rFonts w:cs="David"/>
          <w:rtl/>
        </w:rPr>
        <w:t>"</w:t>
      </w:r>
      <w:r w:rsidRPr="00D44503">
        <w:rPr>
          <w:rFonts w:cs="David" w:hint="cs"/>
          <w:rtl/>
        </w:rPr>
        <w:t>עורכי</w:t>
      </w:r>
      <w:r w:rsidRPr="00D44503">
        <w:rPr>
          <w:rFonts w:cs="David"/>
          <w:rtl/>
        </w:rPr>
        <w:t xml:space="preserve"> </w:t>
      </w:r>
      <w:r w:rsidRPr="00D44503">
        <w:rPr>
          <w:rFonts w:cs="David" w:hint="cs"/>
          <w:rtl/>
        </w:rPr>
        <w:t>דין</w:t>
      </w:r>
      <w:r w:rsidRPr="00D44503">
        <w:rPr>
          <w:rFonts w:cs="David"/>
          <w:rtl/>
        </w:rPr>
        <w:t xml:space="preserve"> </w:t>
      </w:r>
      <w:r w:rsidRPr="00D44503">
        <w:rPr>
          <w:rFonts w:cs="David" w:hint="cs"/>
          <w:rtl/>
        </w:rPr>
        <w:t>למען</w:t>
      </w:r>
      <w:r w:rsidRPr="00D44503">
        <w:rPr>
          <w:rFonts w:cs="David"/>
          <w:rtl/>
        </w:rPr>
        <w:t xml:space="preserve"> </w:t>
      </w:r>
      <w:r w:rsidRPr="00D44503">
        <w:rPr>
          <w:rFonts w:cs="David" w:hint="cs"/>
          <w:rtl/>
        </w:rPr>
        <w:t>זכויות</w:t>
      </w:r>
      <w:r w:rsidRPr="00D44503">
        <w:rPr>
          <w:rFonts w:cs="David"/>
          <w:rtl/>
        </w:rPr>
        <w:t xml:space="preserve"> </w:t>
      </w:r>
      <w:r w:rsidRPr="00D44503">
        <w:rPr>
          <w:rFonts w:cs="David" w:hint="cs"/>
          <w:rtl/>
        </w:rPr>
        <w:t>אדם</w:t>
      </w:r>
      <w:r w:rsidRPr="00D44503">
        <w:rPr>
          <w:rFonts w:cs="David"/>
          <w:rtl/>
        </w:rPr>
        <w:t xml:space="preserve"> </w:t>
      </w:r>
      <w:r w:rsidRPr="00D44503">
        <w:rPr>
          <w:rFonts w:cs="David" w:hint="cs"/>
          <w:rtl/>
        </w:rPr>
        <w:t>בפלסטין</w:t>
      </w:r>
      <w:r w:rsidRPr="00D44503">
        <w:rPr>
          <w:rFonts w:cs="David"/>
          <w:rtl/>
        </w:rPr>
        <w:t xml:space="preserve">" </w:t>
      </w:r>
      <w:r w:rsidRPr="00D44503">
        <w:rPr>
          <w:rFonts w:cs="David" w:hint="cs"/>
          <w:rtl/>
        </w:rPr>
        <w:t>והזמינה</w:t>
      </w:r>
      <w:r w:rsidRPr="00D44503">
        <w:rPr>
          <w:rFonts w:cs="David"/>
          <w:rtl/>
        </w:rPr>
        <w:t xml:space="preserve"> </w:t>
      </w:r>
      <w:r w:rsidRPr="00D44503">
        <w:rPr>
          <w:rFonts w:cs="David" w:hint="cs"/>
          <w:rtl/>
        </w:rPr>
        <w:t>אליה</w:t>
      </w:r>
      <w:r w:rsidRPr="00D44503">
        <w:rPr>
          <w:rFonts w:cs="David"/>
          <w:rtl/>
        </w:rPr>
        <w:t xml:space="preserve"> </w:t>
      </w:r>
      <w:r w:rsidRPr="00D44503">
        <w:rPr>
          <w:rFonts w:cs="David" w:hint="cs"/>
          <w:rtl/>
        </w:rPr>
        <w:t>פעילי</w:t>
      </w:r>
      <w:r w:rsidRPr="00D44503">
        <w:rPr>
          <w:rFonts w:cs="David"/>
          <w:rtl/>
        </w:rPr>
        <w:t xml:space="preserve"> </w:t>
      </w:r>
      <w:r w:rsidRPr="00D44503">
        <w:rPr>
          <w:rFonts w:cs="David" w:hint="cs"/>
          <w:rtl/>
        </w:rPr>
        <w:t>לוחמת</w:t>
      </w:r>
      <w:r w:rsidRPr="00D44503">
        <w:rPr>
          <w:rFonts w:cs="David"/>
          <w:rtl/>
        </w:rPr>
        <w:t xml:space="preserve"> </w:t>
      </w:r>
      <w:r w:rsidRPr="00D44503">
        <w:rPr>
          <w:rFonts w:cs="David" w:hint="cs"/>
          <w:rtl/>
        </w:rPr>
        <w:t>משפט</w:t>
      </w:r>
      <w:r w:rsidRPr="00D44503">
        <w:rPr>
          <w:rFonts w:cs="David"/>
          <w:rtl/>
        </w:rPr>
        <w:t xml:space="preserve"> </w:t>
      </w:r>
      <w:r w:rsidRPr="00D44503">
        <w:rPr>
          <w:rFonts w:cs="David" w:hint="cs"/>
          <w:rtl/>
        </w:rPr>
        <w:t>כנגד</w:t>
      </w:r>
      <w:r w:rsidRPr="00D44503">
        <w:rPr>
          <w:rFonts w:cs="David"/>
          <w:rtl/>
        </w:rPr>
        <w:t xml:space="preserve"> </w:t>
      </w:r>
      <w:r w:rsidRPr="00D44503">
        <w:rPr>
          <w:rFonts w:cs="David" w:hint="cs"/>
          <w:rtl/>
        </w:rPr>
        <w:t>ישראל</w:t>
      </w:r>
      <w:r w:rsidRPr="00D44503">
        <w:rPr>
          <w:rFonts w:cs="David"/>
          <w:rtl/>
        </w:rPr>
        <w:t xml:space="preserve">. </w:t>
      </w:r>
      <w:r w:rsidRPr="00D44503">
        <w:rPr>
          <w:rFonts w:cs="David" w:hint="cs"/>
          <w:rtl/>
        </w:rPr>
        <w:t>אשרף</w:t>
      </w:r>
      <w:r w:rsidRPr="00D44503">
        <w:rPr>
          <w:rFonts w:cs="David"/>
          <w:rtl/>
        </w:rPr>
        <w:t xml:space="preserve"> </w:t>
      </w:r>
      <w:r w:rsidRPr="00D44503">
        <w:rPr>
          <w:rFonts w:cs="David" w:hint="cs"/>
          <w:rtl/>
        </w:rPr>
        <w:t>גם</w:t>
      </w:r>
      <w:r w:rsidRPr="00D44503">
        <w:rPr>
          <w:rFonts w:cs="David"/>
          <w:rtl/>
        </w:rPr>
        <w:t xml:space="preserve"> </w:t>
      </w:r>
      <w:r w:rsidRPr="00D44503">
        <w:rPr>
          <w:rFonts w:cs="David" w:hint="cs"/>
          <w:rtl/>
        </w:rPr>
        <w:t>עבדה</w:t>
      </w:r>
      <w:r w:rsidRPr="00D44503">
        <w:rPr>
          <w:rFonts w:cs="David"/>
          <w:rtl/>
        </w:rPr>
        <w:t xml:space="preserve"> </w:t>
      </w:r>
      <w:r w:rsidRPr="00D44503">
        <w:rPr>
          <w:rFonts w:cs="David" w:hint="cs"/>
          <w:rtl/>
        </w:rPr>
        <w:t>בגדה</w:t>
      </w:r>
      <w:r w:rsidRPr="00D44503">
        <w:rPr>
          <w:rFonts w:cs="David"/>
          <w:rtl/>
        </w:rPr>
        <w:t xml:space="preserve"> </w:t>
      </w:r>
      <w:r w:rsidRPr="00D44503">
        <w:rPr>
          <w:rFonts w:cs="David" w:hint="cs"/>
          <w:rtl/>
        </w:rPr>
        <w:t>המערבית</w:t>
      </w:r>
      <w:r w:rsidRPr="00D44503">
        <w:rPr>
          <w:rFonts w:cs="David"/>
          <w:rtl/>
        </w:rPr>
        <w:t xml:space="preserve"> </w:t>
      </w:r>
      <w:r w:rsidRPr="00D44503">
        <w:rPr>
          <w:rFonts w:cs="David" w:hint="cs"/>
          <w:rtl/>
        </w:rPr>
        <w:t>ב</w:t>
      </w:r>
      <w:r w:rsidRPr="00D44503">
        <w:rPr>
          <w:rFonts w:cs="David"/>
          <w:rtl/>
        </w:rPr>
        <w:t>"</w:t>
      </w:r>
      <w:r w:rsidRPr="00D44503">
        <w:rPr>
          <w:rFonts w:cs="David" w:hint="cs"/>
          <w:rtl/>
        </w:rPr>
        <w:t>חקירות</w:t>
      </w:r>
      <w:r w:rsidRPr="00D44503">
        <w:rPr>
          <w:rFonts w:cs="David"/>
          <w:rtl/>
        </w:rPr>
        <w:t xml:space="preserve"> </w:t>
      </w:r>
      <w:r w:rsidRPr="00D44503">
        <w:rPr>
          <w:rFonts w:cs="David" w:hint="cs"/>
          <w:rtl/>
        </w:rPr>
        <w:t>של</w:t>
      </w:r>
      <w:r w:rsidRPr="00D44503">
        <w:rPr>
          <w:rFonts w:cs="David"/>
          <w:rtl/>
        </w:rPr>
        <w:t xml:space="preserve"> </w:t>
      </w:r>
      <w:r w:rsidRPr="00D44503">
        <w:rPr>
          <w:rFonts w:cs="David" w:hint="cs"/>
          <w:rtl/>
        </w:rPr>
        <w:t>טענות</w:t>
      </w:r>
      <w:r w:rsidRPr="00D44503">
        <w:rPr>
          <w:rFonts w:cs="David"/>
          <w:rtl/>
        </w:rPr>
        <w:t xml:space="preserve"> </w:t>
      </w:r>
      <w:r w:rsidRPr="00D44503">
        <w:rPr>
          <w:rFonts w:cs="David" w:hint="cs"/>
          <w:rtl/>
        </w:rPr>
        <w:t>להפרת</w:t>
      </w:r>
      <w:r w:rsidRPr="00D44503">
        <w:rPr>
          <w:rFonts w:cs="David"/>
          <w:rtl/>
        </w:rPr>
        <w:t xml:space="preserve"> </w:t>
      </w:r>
      <w:r w:rsidRPr="00D44503">
        <w:rPr>
          <w:rFonts w:cs="David" w:hint="cs"/>
          <w:rtl/>
        </w:rPr>
        <w:t>המשפט</w:t>
      </w:r>
      <w:r w:rsidRPr="00D44503">
        <w:rPr>
          <w:rFonts w:cs="David"/>
          <w:rtl/>
        </w:rPr>
        <w:t xml:space="preserve"> </w:t>
      </w:r>
      <w:r w:rsidRPr="00D44503">
        <w:rPr>
          <w:rFonts w:cs="David" w:hint="cs"/>
          <w:rtl/>
        </w:rPr>
        <w:t>הבינלאומי</w:t>
      </w:r>
      <w:r w:rsidRPr="00D44503">
        <w:rPr>
          <w:rFonts w:cs="David"/>
          <w:rtl/>
        </w:rPr>
        <w:t xml:space="preserve"> </w:t>
      </w:r>
      <w:r w:rsidRPr="00D44503">
        <w:rPr>
          <w:rFonts w:cs="David" w:hint="cs"/>
          <w:rtl/>
        </w:rPr>
        <w:t>ההומניטארי</w:t>
      </w:r>
      <w:r w:rsidRPr="00D44503">
        <w:rPr>
          <w:rFonts w:cs="David"/>
          <w:rtl/>
        </w:rPr>
        <w:t xml:space="preserve"> </w:t>
      </w:r>
      <w:r w:rsidRPr="00D44503">
        <w:rPr>
          <w:rFonts w:cs="David" w:hint="cs"/>
          <w:rtl/>
        </w:rPr>
        <w:t>לאחר</w:t>
      </w:r>
      <w:r w:rsidRPr="00D44503">
        <w:rPr>
          <w:rFonts w:cs="David"/>
          <w:rtl/>
        </w:rPr>
        <w:t xml:space="preserve"> </w:t>
      </w:r>
      <w:r w:rsidRPr="00D44503">
        <w:rPr>
          <w:rFonts w:cs="David" w:hint="cs"/>
          <w:rtl/>
        </w:rPr>
        <w:t>מבצע</w:t>
      </w:r>
      <w:r w:rsidRPr="00D44503">
        <w:rPr>
          <w:rFonts w:cs="David"/>
          <w:rtl/>
        </w:rPr>
        <w:t xml:space="preserve"> "</w:t>
      </w:r>
      <w:r w:rsidRPr="00D44503">
        <w:rPr>
          <w:rFonts w:cs="David" w:hint="cs"/>
          <w:rtl/>
        </w:rPr>
        <w:t>חומת</w:t>
      </w:r>
      <w:r w:rsidRPr="00D44503">
        <w:rPr>
          <w:rFonts w:cs="David"/>
          <w:rtl/>
        </w:rPr>
        <w:t xml:space="preserve"> </w:t>
      </w:r>
      <w:r w:rsidRPr="00D44503">
        <w:rPr>
          <w:rFonts w:cs="David" w:hint="cs"/>
          <w:rtl/>
        </w:rPr>
        <w:t>מגן</w:t>
      </w:r>
      <w:r w:rsidRPr="00D44503">
        <w:rPr>
          <w:rFonts w:cs="David"/>
          <w:rtl/>
        </w:rPr>
        <w:t xml:space="preserve">" </w:t>
      </w:r>
      <w:r w:rsidRPr="00D44503">
        <w:rPr>
          <w:rFonts w:cs="David" w:hint="cs"/>
          <w:rtl/>
        </w:rPr>
        <w:t>ב</w:t>
      </w:r>
      <w:r w:rsidRPr="00D44503">
        <w:rPr>
          <w:rFonts w:cs="David"/>
          <w:rtl/>
        </w:rPr>
        <w:t>-2002".</w:t>
      </w:r>
    </w:p>
  </w:footnote>
  <w:footnote w:id="233">
    <w:p w:rsidR="009B636F" w:rsidRDefault="009B636F">
      <w:pPr>
        <w:pStyle w:val="a5"/>
        <w:jc w:val="both"/>
        <w:rPr>
          <w:rtl/>
        </w:rPr>
      </w:pPr>
      <w:r>
        <w:rPr>
          <w:rStyle w:val="a7"/>
        </w:rPr>
        <w:footnoteRef/>
      </w:r>
      <w:r>
        <w:rPr>
          <w:rtl/>
        </w:rPr>
        <w:t xml:space="preserve"> </w:t>
      </w:r>
      <w:r w:rsidRPr="00D44503">
        <w:rPr>
          <w:rFonts w:cs="David" w:hint="cs"/>
          <w:rtl/>
        </w:rPr>
        <w:t>באארס</w:t>
      </w:r>
      <w:r w:rsidRPr="00D44503">
        <w:rPr>
          <w:rFonts w:cs="David"/>
          <w:rtl/>
        </w:rPr>
        <w:t xml:space="preserve"> </w:t>
      </w:r>
      <w:r w:rsidRPr="00D44503">
        <w:rPr>
          <w:rFonts w:cs="David" w:hint="cs"/>
          <w:rtl/>
        </w:rPr>
        <w:t>לימדה</w:t>
      </w:r>
      <w:r w:rsidRPr="00D44503">
        <w:rPr>
          <w:rFonts w:cs="David"/>
          <w:rtl/>
        </w:rPr>
        <w:t xml:space="preserve"> </w:t>
      </w:r>
      <w:r w:rsidRPr="00D44503">
        <w:rPr>
          <w:rFonts w:cs="David" w:hint="cs"/>
          <w:rtl/>
        </w:rPr>
        <w:t>משפטים</w:t>
      </w:r>
      <w:r w:rsidRPr="00D44503">
        <w:rPr>
          <w:rFonts w:cs="David"/>
          <w:rtl/>
        </w:rPr>
        <w:t xml:space="preserve"> </w:t>
      </w:r>
      <w:r w:rsidRPr="00D44503">
        <w:rPr>
          <w:rFonts w:cs="David" w:hint="cs"/>
          <w:rtl/>
        </w:rPr>
        <w:t>בכמה</w:t>
      </w:r>
      <w:r w:rsidRPr="00D44503">
        <w:rPr>
          <w:rFonts w:cs="David"/>
          <w:rtl/>
        </w:rPr>
        <w:t xml:space="preserve"> </w:t>
      </w:r>
      <w:r w:rsidRPr="00D44503">
        <w:rPr>
          <w:rFonts w:cs="David" w:hint="cs"/>
          <w:rtl/>
        </w:rPr>
        <w:t>אוניברסיטאות</w:t>
      </w:r>
      <w:r w:rsidRPr="00D44503">
        <w:rPr>
          <w:rFonts w:cs="David"/>
          <w:rtl/>
        </w:rPr>
        <w:t xml:space="preserve"> </w:t>
      </w:r>
      <w:r w:rsidRPr="00D44503">
        <w:rPr>
          <w:rFonts w:cs="David" w:hint="cs"/>
          <w:rtl/>
        </w:rPr>
        <w:t>בולטות</w:t>
      </w:r>
      <w:r w:rsidRPr="00D44503">
        <w:rPr>
          <w:rFonts w:cs="David"/>
          <w:rtl/>
        </w:rPr>
        <w:t xml:space="preserve"> </w:t>
      </w:r>
      <w:r w:rsidRPr="00D44503">
        <w:rPr>
          <w:rFonts w:cs="David" w:hint="cs"/>
          <w:rtl/>
        </w:rPr>
        <w:t>בלונדון</w:t>
      </w:r>
      <w:r w:rsidRPr="00D44503">
        <w:rPr>
          <w:rFonts w:cs="David"/>
          <w:rtl/>
        </w:rPr>
        <w:t xml:space="preserve">. </w:t>
      </w:r>
      <w:r w:rsidRPr="00D44503">
        <w:rPr>
          <w:rFonts w:cs="David" w:hint="cs"/>
          <w:rtl/>
        </w:rPr>
        <w:t>מוקד</w:t>
      </w:r>
      <w:r w:rsidRPr="00D44503">
        <w:rPr>
          <w:rFonts w:cs="David"/>
          <w:rtl/>
        </w:rPr>
        <w:t xml:space="preserve"> </w:t>
      </w:r>
      <w:r w:rsidRPr="00D44503">
        <w:rPr>
          <w:rFonts w:cs="David" w:hint="cs"/>
          <w:rtl/>
        </w:rPr>
        <w:t>העניין</w:t>
      </w:r>
      <w:r w:rsidRPr="00D44503">
        <w:rPr>
          <w:rFonts w:cs="David"/>
          <w:rtl/>
        </w:rPr>
        <w:t xml:space="preserve"> </w:t>
      </w:r>
      <w:r w:rsidRPr="00D44503">
        <w:rPr>
          <w:rFonts w:cs="David" w:hint="cs"/>
          <w:rtl/>
        </w:rPr>
        <w:t>האקדמי</w:t>
      </w:r>
      <w:r w:rsidRPr="00D44503">
        <w:rPr>
          <w:rFonts w:cs="David"/>
          <w:rtl/>
        </w:rPr>
        <w:t xml:space="preserve"> </w:t>
      </w:r>
      <w:r w:rsidRPr="00D44503">
        <w:rPr>
          <w:rFonts w:cs="David" w:hint="cs"/>
          <w:rtl/>
        </w:rPr>
        <w:t>שלה</w:t>
      </w:r>
      <w:r w:rsidRPr="00D44503">
        <w:rPr>
          <w:rFonts w:cs="David"/>
          <w:rtl/>
        </w:rPr>
        <w:t xml:space="preserve"> </w:t>
      </w:r>
      <w:r w:rsidRPr="00D44503">
        <w:rPr>
          <w:rFonts w:cs="David" w:hint="cs"/>
          <w:rtl/>
        </w:rPr>
        <w:t>הוא</w:t>
      </w:r>
      <w:r w:rsidRPr="00D44503">
        <w:rPr>
          <w:rFonts w:cs="David"/>
          <w:rtl/>
        </w:rPr>
        <w:t xml:space="preserve"> "</w:t>
      </w:r>
      <w:r w:rsidRPr="00D44503">
        <w:rPr>
          <w:rFonts w:cs="David" w:hint="cs"/>
          <w:rtl/>
        </w:rPr>
        <w:t>מאבקים</w:t>
      </w:r>
      <w:r w:rsidRPr="00D44503">
        <w:rPr>
          <w:rFonts w:cs="David"/>
          <w:rtl/>
        </w:rPr>
        <w:t xml:space="preserve"> </w:t>
      </w:r>
      <w:r w:rsidRPr="00D44503">
        <w:rPr>
          <w:rFonts w:cs="David" w:hint="cs"/>
          <w:rtl/>
        </w:rPr>
        <w:t>נגד</w:t>
      </w:r>
      <w:r w:rsidRPr="00D44503">
        <w:rPr>
          <w:rFonts w:cs="David"/>
          <w:rtl/>
        </w:rPr>
        <w:t xml:space="preserve"> </w:t>
      </w:r>
      <w:r w:rsidRPr="00D44503">
        <w:rPr>
          <w:rFonts w:cs="David" w:hint="cs"/>
          <w:rtl/>
        </w:rPr>
        <w:t>כיבוש</w:t>
      </w:r>
      <w:r w:rsidRPr="00D44503">
        <w:rPr>
          <w:rFonts w:cs="David"/>
          <w:rtl/>
        </w:rPr>
        <w:t xml:space="preserve"> </w:t>
      </w:r>
      <w:r w:rsidRPr="00D44503">
        <w:rPr>
          <w:rFonts w:cs="David" w:hint="cs"/>
          <w:rtl/>
        </w:rPr>
        <w:t>והצטלבותם</w:t>
      </w:r>
      <w:r w:rsidRPr="00D44503">
        <w:rPr>
          <w:rFonts w:cs="David"/>
          <w:rtl/>
        </w:rPr>
        <w:t xml:space="preserve"> </w:t>
      </w:r>
      <w:r w:rsidRPr="00D44503">
        <w:rPr>
          <w:rFonts w:cs="David" w:hint="cs"/>
          <w:rtl/>
        </w:rPr>
        <w:t>עם</w:t>
      </w:r>
      <w:r w:rsidRPr="00D44503">
        <w:rPr>
          <w:rFonts w:cs="David"/>
          <w:rtl/>
        </w:rPr>
        <w:t xml:space="preserve"> </w:t>
      </w:r>
      <w:r w:rsidRPr="00D44503">
        <w:rPr>
          <w:rFonts w:cs="David" w:hint="cs"/>
          <w:rtl/>
        </w:rPr>
        <w:t>מאבקי</w:t>
      </w:r>
      <w:r w:rsidRPr="00D44503">
        <w:rPr>
          <w:rFonts w:cs="David"/>
          <w:rtl/>
        </w:rPr>
        <w:t xml:space="preserve"> </w:t>
      </w:r>
      <w:r w:rsidRPr="00D44503">
        <w:rPr>
          <w:rFonts w:cs="David" w:hint="cs"/>
          <w:rtl/>
        </w:rPr>
        <w:t>סולידאריות</w:t>
      </w:r>
      <w:r w:rsidRPr="00D44503">
        <w:rPr>
          <w:rFonts w:cs="David"/>
          <w:rtl/>
        </w:rPr>
        <w:t>/</w:t>
      </w:r>
      <w:r w:rsidRPr="00D44503">
        <w:rPr>
          <w:rFonts w:cs="David" w:hint="cs"/>
          <w:rtl/>
        </w:rPr>
        <w:t>שחרור</w:t>
      </w:r>
      <w:r w:rsidRPr="00D44503">
        <w:rPr>
          <w:rFonts w:cs="David"/>
          <w:rtl/>
        </w:rPr>
        <w:t xml:space="preserve"> </w:t>
      </w:r>
      <w:r w:rsidRPr="00D44503">
        <w:rPr>
          <w:rFonts w:cs="David" w:hint="cs"/>
          <w:rtl/>
        </w:rPr>
        <w:t>אחרים</w:t>
      </w:r>
      <w:r w:rsidRPr="00D44503">
        <w:rPr>
          <w:rFonts w:cs="David"/>
          <w:rtl/>
        </w:rPr>
        <w:t xml:space="preserve">". </w:t>
      </w:r>
      <w:r w:rsidRPr="00D44503">
        <w:rPr>
          <w:rFonts w:cs="David" w:hint="cs"/>
          <w:rtl/>
        </w:rPr>
        <w:t>ב</w:t>
      </w:r>
      <w:r w:rsidRPr="00D44503">
        <w:rPr>
          <w:rFonts w:cs="David"/>
          <w:rtl/>
        </w:rPr>
        <w:t xml:space="preserve">-2007 </w:t>
      </w:r>
      <w:r w:rsidRPr="00D44503">
        <w:rPr>
          <w:rFonts w:cs="David" w:hint="cs"/>
          <w:rtl/>
        </w:rPr>
        <w:t>היא</w:t>
      </w:r>
      <w:r w:rsidRPr="00D44503">
        <w:rPr>
          <w:rFonts w:cs="David"/>
          <w:rtl/>
        </w:rPr>
        <w:t xml:space="preserve"> </w:t>
      </w:r>
      <w:r w:rsidRPr="00D44503">
        <w:rPr>
          <w:rFonts w:cs="David" w:hint="cs"/>
          <w:rtl/>
        </w:rPr>
        <w:t>פרסמה</w:t>
      </w:r>
      <w:r w:rsidRPr="00D44503">
        <w:rPr>
          <w:rFonts w:cs="David"/>
          <w:rtl/>
        </w:rPr>
        <w:t xml:space="preserve"> </w:t>
      </w:r>
      <w:r w:rsidRPr="00D44503">
        <w:rPr>
          <w:rFonts w:cs="David" w:hint="cs"/>
          <w:rtl/>
        </w:rPr>
        <w:t>מאמר</w:t>
      </w:r>
      <w:r w:rsidRPr="00D44503">
        <w:rPr>
          <w:rFonts w:cs="David"/>
          <w:rtl/>
        </w:rPr>
        <w:t xml:space="preserve"> </w:t>
      </w:r>
      <w:r w:rsidRPr="00D44503">
        <w:rPr>
          <w:rFonts w:cs="David" w:hint="cs"/>
          <w:rtl/>
        </w:rPr>
        <w:t>באשר</w:t>
      </w:r>
      <w:r w:rsidRPr="00D44503">
        <w:rPr>
          <w:rFonts w:cs="David"/>
          <w:rtl/>
        </w:rPr>
        <w:t xml:space="preserve"> </w:t>
      </w:r>
      <w:r w:rsidRPr="00D44503">
        <w:rPr>
          <w:rFonts w:cs="David" w:hint="cs"/>
          <w:rtl/>
        </w:rPr>
        <w:t>לשיטות</w:t>
      </w:r>
      <w:r w:rsidRPr="00D44503">
        <w:rPr>
          <w:rFonts w:cs="David"/>
          <w:rtl/>
        </w:rPr>
        <w:t xml:space="preserve"> </w:t>
      </w:r>
      <w:r w:rsidRPr="00D44503">
        <w:rPr>
          <w:rFonts w:cs="David" w:hint="cs"/>
          <w:rtl/>
        </w:rPr>
        <w:t>ללוחמת</w:t>
      </w:r>
      <w:r w:rsidRPr="00D44503">
        <w:rPr>
          <w:rFonts w:cs="David"/>
          <w:rtl/>
        </w:rPr>
        <w:t xml:space="preserve"> </w:t>
      </w:r>
      <w:r w:rsidRPr="00D44503">
        <w:rPr>
          <w:rFonts w:cs="David" w:hint="cs"/>
          <w:rtl/>
        </w:rPr>
        <w:t>משפט</w:t>
      </w:r>
      <w:r w:rsidRPr="00D44503">
        <w:rPr>
          <w:rFonts w:cs="David"/>
          <w:rtl/>
        </w:rPr>
        <w:t xml:space="preserve"> </w:t>
      </w:r>
      <w:r w:rsidRPr="00D44503">
        <w:rPr>
          <w:rFonts w:cs="David" w:hint="cs"/>
          <w:rtl/>
        </w:rPr>
        <w:t>נגד</w:t>
      </w:r>
      <w:r w:rsidRPr="00D44503">
        <w:rPr>
          <w:rFonts w:cs="David"/>
          <w:rtl/>
        </w:rPr>
        <w:t xml:space="preserve"> </w:t>
      </w:r>
      <w:r w:rsidRPr="00D44503">
        <w:rPr>
          <w:rFonts w:cs="David" w:hint="cs"/>
          <w:rtl/>
        </w:rPr>
        <w:t>ישראל</w:t>
      </w:r>
      <w:r w:rsidRPr="00D44503">
        <w:rPr>
          <w:rFonts w:cs="David"/>
          <w:rtl/>
        </w:rPr>
        <w:t xml:space="preserve"> </w:t>
      </w:r>
      <w:r w:rsidRPr="00D44503">
        <w:rPr>
          <w:rFonts w:cs="David" w:hint="cs"/>
          <w:rtl/>
        </w:rPr>
        <w:t>והדרך</w:t>
      </w:r>
      <w:r w:rsidRPr="00D44503">
        <w:rPr>
          <w:rFonts w:cs="David"/>
          <w:rtl/>
        </w:rPr>
        <w:t xml:space="preserve"> </w:t>
      </w:r>
      <w:r w:rsidRPr="00D44503">
        <w:rPr>
          <w:rFonts w:cs="David" w:hint="cs"/>
          <w:rtl/>
        </w:rPr>
        <w:t>להחרים</w:t>
      </w:r>
      <w:r w:rsidRPr="00D44503">
        <w:rPr>
          <w:rFonts w:cs="David"/>
          <w:rtl/>
        </w:rPr>
        <w:t xml:space="preserve"> </w:t>
      </w:r>
      <w:r w:rsidRPr="00D44503">
        <w:rPr>
          <w:rFonts w:cs="David" w:hint="cs"/>
          <w:rtl/>
        </w:rPr>
        <w:t>חברות</w:t>
      </w:r>
      <w:r w:rsidRPr="00D44503">
        <w:rPr>
          <w:rFonts w:cs="David"/>
          <w:rtl/>
        </w:rPr>
        <w:t xml:space="preserve"> </w:t>
      </w:r>
      <w:r w:rsidRPr="00D44503">
        <w:rPr>
          <w:rFonts w:cs="David" w:hint="cs"/>
          <w:rtl/>
        </w:rPr>
        <w:t>שעושות</w:t>
      </w:r>
      <w:r w:rsidRPr="00D44503">
        <w:rPr>
          <w:rFonts w:cs="David"/>
          <w:rtl/>
        </w:rPr>
        <w:t xml:space="preserve"> </w:t>
      </w:r>
      <w:r w:rsidRPr="00D44503">
        <w:rPr>
          <w:rFonts w:cs="David" w:hint="cs"/>
          <w:rtl/>
        </w:rPr>
        <w:t>עסקים</w:t>
      </w:r>
      <w:r w:rsidRPr="00D44503">
        <w:rPr>
          <w:rFonts w:cs="David"/>
          <w:rtl/>
        </w:rPr>
        <w:t xml:space="preserve"> </w:t>
      </w:r>
      <w:r w:rsidRPr="00D44503">
        <w:rPr>
          <w:rFonts w:cs="David" w:hint="cs"/>
          <w:rtl/>
        </w:rPr>
        <w:t>עם</w:t>
      </w:r>
      <w:r w:rsidRPr="00D44503">
        <w:rPr>
          <w:rFonts w:cs="David"/>
          <w:rtl/>
        </w:rPr>
        <w:t xml:space="preserve"> </w:t>
      </w:r>
      <w:r w:rsidRPr="00D44503">
        <w:rPr>
          <w:rFonts w:cs="David" w:hint="cs"/>
          <w:rtl/>
        </w:rPr>
        <w:t>ישראל</w:t>
      </w:r>
      <w:r w:rsidRPr="00D44503">
        <w:rPr>
          <w:rFonts w:cs="David"/>
          <w:rtl/>
        </w:rPr>
        <w:t xml:space="preserve">, </w:t>
      </w:r>
      <w:r w:rsidRPr="00D44503">
        <w:rPr>
          <w:rFonts w:cs="David" w:hint="cs"/>
          <w:rtl/>
        </w:rPr>
        <w:t>תוך</w:t>
      </w:r>
      <w:r w:rsidRPr="00D44503">
        <w:rPr>
          <w:rFonts w:cs="David"/>
          <w:rtl/>
        </w:rPr>
        <w:t xml:space="preserve"> </w:t>
      </w:r>
      <w:r w:rsidRPr="00D44503">
        <w:rPr>
          <w:rFonts w:cs="David" w:hint="cs"/>
          <w:rtl/>
        </w:rPr>
        <w:t>השוואה</w:t>
      </w:r>
      <w:r w:rsidRPr="00D44503">
        <w:rPr>
          <w:rFonts w:cs="David"/>
          <w:rtl/>
        </w:rPr>
        <w:t xml:space="preserve"> </w:t>
      </w:r>
      <w:r w:rsidRPr="00D44503">
        <w:rPr>
          <w:rFonts w:cs="David" w:hint="cs"/>
          <w:rtl/>
        </w:rPr>
        <w:t>למשפטי</w:t>
      </w:r>
      <w:r w:rsidRPr="00D44503">
        <w:rPr>
          <w:rFonts w:cs="David"/>
          <w:rtl/>
        </w:rPr>
        <w:t xml:space="preserve"> </w:t>
      </w:r>
      <w:r w:rsidRPr="00D44503">
        <w:rPr>
          <w:rFonts w:cs="David" w:hint="cs"/>
          <w:rtl/>
        </w:rPr>
        <w:t>נירנברג</w:t>
      </w:r>
      <w:r w:rsidRPr="00D44503">
        <w:rPr>
          <w:rFonts w:cs="David"/>
          <w:rtl/>
        </w:rPr>
        <w:t xml:space="preserve"> </w:t>
      </w:r>
      <w:r w:rsidRPr="00D44503">
        <w:rPr>
          <w:rFonts w:cs="David" w:hint="cs"/>
          <w:rtl/>
        </w:rPr>
        <w:t>נגד</w:t>
      </w:r>
      <w:r w:rsidRPr="00D44503">
        <w:rPr>
          <w:rFonts w:cs="David"/>
          <w:rtl/>
        </w:rPr>
        <w:t xml:space="preserve"> </w:t>
      </w:r>
      <w:r w:rsidRPr="00D44503">
        <w:rPr>
          <w:rFonts w:cs="David" w:hint="cs"/>
          <w:rtl/>
        </w:rPr>
        <w:t>הנאצים</w:t>
      </w:r>
      <w:r w:rsidRPr="00D44503">
        <w:rPr>
          <w:rFonts w:cs="David"/>
          <w:rtl/>
        </w:rPr>
        <w:t xml:space="preserve">. </w:t>
      </w:r>
      <w:r w:rsidRPr="00D44503">
        <w:rPr>
          <w:rFonts w:cs="David" w:hint="cs"/>
          <w:rtl/>
        </w:rPr>
        <w:t>בפרסומים</w:t>
      </w:r>
      <w:r w:rsidRPr="00D44503">
        <w:rPr>
          <w:rFonts w:cs="David"/>
          <w:rtl/>
        </w:rPr>
        <w:t xml:space="preserve"> </w:t>
      </w:r>
      <w:r w:rsidRPr="00D44503">
        <w:rPr>
          <w:rFonts w:cs="David" w:hint="cs"/>
          <w:rtl/>
        </w:rPr>
        <w:t>שלה</w:t>
      </w:r>
      <w:r w:rsidRPr="00D44503">
        <w:rPr>
          <w:rFonts w:cs="David"/>
          <w:rtl/>
        </w:rPr>
        <w:t xml:space="preserve"> </w:t>
      </w:r>
      <w:r w:rsidRPr="00D44503">
        <w:rPr>
          <w:rFonts w:cs="David" w:hint="cs"/>
          <w:rtl/>
        </w:rPr>
        <w:t>לאחר</w:t>
      </w:r>
      <w:r w:rsidRPr="00D44503">
        <w:rPr>
          <w:rFonts w:cs="David"/>
          <w:rtl/>
        </w:rPr>
        <w:t xml:space="preserve"> </w:t>
      </w:r>
      <w:r w:rsidRPr="00D44503">
        <w:rPr>
          <w:rFonts w:cs="David" w:hint="cs"/>
          <w:rtl/>
        </w:rPr>
        <w:t>שהתפרסם</w:t>
      </w:r>
      <w:r w:rsidRPr="00D44503">
        <w:rPr>
          <w:rFonts w:cs="David"/>
          <w:rtl/>
        </w:rPr>
        <w:t xml:space="preserve"> </w:t>
      </w:r>
      <w:r w:rsidRPr="00D44503">
        <w:rPr>
          <w:rFonts w:cs="David" w:hint="cs"/>
          <w:rtl/>
        </w:rPr>
        <w:t>דוח</w:t>
      </w:r>
      <w:r w:rsidRPr="00D44503">
        <w:rPr>
          <w:rFonts w:cs="David"/>
          <w:rtl/>
        </w:rPr>
        <w:t xml:space="preserve"> </w:t>
      </w:r>
      <w:r w:rsidRPr="00D44503">
        <w:rPr>
          <w:rFonts w:cs="David" w:hint="cs"/>
          <w:rtl/>
        </w:rPr>
        <w:t>גולדסטון</w:t>
      </w:r>
      <w:r w:rsidRPr="00D44503">
        <w:rPr>
          <w:rFonts w:cs="David"/>
          <w:rtl/>
        </w:rPr>
        <w:t xml:space="preserve">, </w:t>
      </w:r>
      <w:r w:rsidRPr="00D44503">
        <w:rPr>
          <w:rFonts w:cs="David" w:hint="cs"/>
          <w:rtl/>
        </w:rPr>
        <w:t>היא</w:t>
      </w:r>
      <w:r w:rsidRPr="00D44503">
        <w:rPr>
          <w:rFonts w:cs="David"/>
          <w:rtl/>
        </w:rPr>
        <w:t xml:space="preserve"> </w:t>
      </w:r>
      <w:r w:rsidRPr="00D44503">
        <w:rPr>
          <w:rFonts w:cs="David" w:hint="cs"/>
          <w:rtl/>
        </w:rPr>
        <w:t>האשימה</w:t>
      </w:r>
      <w:r w:rsidRPr="00D44503">
        <w:rPr>
          <w:rFonts w:cs="David"/>
          <w:rtl/>
        </w:rPr>
        <w:t xml:space="preserve"> </w:t>
      </w:r>
      <w:r w:rsidRPr="00D44503">
        <w:rPr>
          <w:rFonts w:cs="David" w:hint="cs"/>
          <w:rtl/>
        </w:rPr>
        <w:t>את</w:t>
      </w:r>
      <w:r w:rsidRPr="00D44503">
        <w:rPr>
          <w:rFonts w:cs="David"/>
          <w:rtl/>
        </w:rPr>
        <w:t xml:space="preserve"> </w:t>
      </w:r>
      <w:r w:rsidRPr="00D44503">
        <w:rPr>
          <w:rFonts w:cs="David" w:hint="cs"/>
          <w:rtl/>
        </w:rPr>
        <w:t>ישראל</w:t>
      </w:r>
      <w:r w:rsidRPr="00D44503">
        <w:rPr>
          <w:rFonts w:cs="David"/>
          <w:rtl/>
        </w:rPr>
        <w:t xml:space="preserve"> </w:t>
      </w:r>
      <w:r w:rsidRPr="00D44503">
        <w:rPr>
          <w:rFonts w:cs="David" w:hint="cs"/>
          <w:rtl/>
        </w:rPr>
        <w:t>בביצוע</w:t>
      </w:r>
      <w:r w:rsidRPr="00D44503">
        <w:rPr>
          <w:rFonts w:cs="David"/>
          <w:rtl/>
        </w:rPr>
        <w:t xml:space="preserve"> </w:t>
      </w:r>
      <w:r w:rsidRPr="00D44503">
        <w:rPr>
          <w:rFonts w:cs="David" w:hint="cs"/>
          <w:rtl/>
        </w:rPr>
        <w:t>פשעי</w:t>
      </w:r>
      <w:r w:rsidRPr="00D44503">
        <w:rPr>
          <w:rFonts w:cs="David"/>
          <w:rtl/>
        </w:rPr>
        <w:t xml:space="preserve"> </w:t>
      </w:r>
      <w:r w:rsidRPr="00D44503">
        <w:rPr>
          <w:rFonts w:cs="David" w:hint="cs"/>
          <w:rtl/>
        </w:rPr>
        <w:t>מלחמה</w:t>
      </w:r>
      <w:r w:rsidRPr="00D44503">
        <w:rPr>
          <w:rFonts w:cs="David"/>
          <w:rtl/>
        </w:rPr>
        <w:t xml:space="preserve"> </w:t>
      </w:r>
      <w:r w:rsidRPr="00D44503">
        <w:rPr>
          <w:rFonts w:cs="David" w:hint="cs"/>
          <w:rtl/>
        </w:rPr>
        <w:t>ופשעים</w:t>
      </w:r>
      <w:r w:rsidRPr="00D44503">
        <w:rPr>
          <w:rFonts w:cs="David"/>
          <w:rtl/>
        </w:rPr>
        <w:t xml:space="preserve"> </w:t>
      </w:r>
      <w:r w:rsidRPr="00D44503">
        <w:rPr>
          <w:rFonts w:cs="David" w:hint="cs"/>
          <w:rtl/>
        </w:rPr>
        <w:t>נגד</w:t>
      </w:r>
      <w:r w:rsidRPr="00D44503">
        <w:rPr>
          <w:rFonts w:cs="David"/>
          <w:rtl/>
        </w:rPr>
        <w:t xml:space="preserve"> </w:t>
      </w:r>
      <w:r w:rsidRPr="00D44503">
        <w:rPr>
          <w:rFonts w:cs="David" w:hint="cs"/>
          <w:rtl/>
        </w:rPr>
        <w:t>האנושות</w:t>
      </w:r>
      <w:r w:rsidRPr="00D44503">
        <w:rPr>
          <w:rFonts w:cs="David"/>
          <w:rtl/>
        </w:rPr>
        <w:t xml:space="preserve">. </w:t>
      </w:r>
      <w:r w:rsidRPr="00D44503">
        <w:rPr>
          <w:rFonts w:cs="David" w:hint="cs"/>
          <w:rtl/>
        </w:rPr>
        <w:t>מעבר</w:t>
      </w:r>
      <w:r w:rsidRPr="00D44503">
        <w:rPr>
          <w:rFonts w:cs="David"/>
          <w:rtl/>
        </w:rPr>
        <w:t xml:space="preserve"> </w:t>
      </w:r>
      <w:r w:rsidRPr="00D44503">
        <w:rPr>
          <w:rFonts w:cs="David" w:hint="cs"/>
          <w:rtl/>
        </w:rPr>
        <w:t>לכך</w:t>
      </w:r>
      <w:r w:rsidRPr="00D44503">
        <w:rPr>
          <w:rFonts w:cs="David"/>
          <w:rtl/>
        </w:rPr>
        <w:t xml:space="preserve">, </w:t>
      </w:r>
      <w:r w:rsidRPr="00D44503">
        <w:rPr>
          <w:rFonts w:cs="David" w:hint="cs"/>
          <w:rtl/>
        </w:rPr>
        <w:t>באארס</w:t>
      </w:r>
      <w:r w:rsidRPr="00D44503">
        <w:rPr>
          <w:rFonts w:cs="David"/>
          <w:rtl/>
        </w:rPr>
        <w:t xml:space="preserve"> </w:t>
      </w:r>
      <w:r w:rsidRPr="00D44503">
        <w:rPr>
          <w:rFonts w:cs="David" w:hint="cs"/>
          <w:rtl/>
        </w:rPr>
        <w:t>היא</w:t>
      </w:r>
      <w:r w:rsidRPr="00D44503">
        <w:rPr>
          <w:rFonts w:cs="David"/>
          <w:rtl/>
        </w:rPr>
        <w:t xml:space="preserve"> </w:t>
      </w:r>
      <w:r w:rsidRPr="00D44503">
        <w:rPr>
          <w:rFonts w:cs="David" w:hint="cs"/>
          <w:rtl/>
        </w:rPr>
        <w:t>אחת</w:t>
      </w:r>
      <w:r w:rsidRPr="00D44503">
        <w:rPr>
          <w:rFonts w:cs="David"/>
          <w:rtl/>
        </w:rPr>
        <w:t xml:space="preserve"> </w:t>
      </w:r>
      <w:r w:rsidRPr="00D44503">
        <w:rPr>
          <w:rFonts w:cs="David" w:hint="cs"/>
          <w:rtl/>
        </w:rPr>
        <w:t>מפעילות</w:t>
      </w:r>
      <w:r w:rsidRPr="00D44503">
        <w:rPr>
          <w:rFonts w:cs="David"/>
          <w:rtl/>
        </w:rPr>
        <w:t xml:space="preserve"> </w:t>
      </w:r>
      <w:r w:rsidRPr="00D44503">
        <w:rPr>
          <w:rFonts w:cs="David" w:hint="cs"/>
          <w:rtl/>
        </w:rPr>
        <w:t>לוחמת</w:t>
      </w:r>
      <w:r w:rsidRPr="00D44503">
        <w:rPr>
          <w:rFonts w:cs="David"/>
          <w:rtl/>
        </w:rPr>
        <w:t xml:space="preserve"> </w:t>
      </w:r>
      <w:r w:rsidRPr="00D44503">
        <w:rPr>
          <w:rFonts w:cs="David" w:hint="cs"/>
          <w:rtl/>
        </w:rPr>
        <w:t>המשפט</w:t>
      </w:r>
      <w:r w:rsidRPr="00D44503">
        <w:rPr>
          <w:rFonts w:cs="David"/>
          <w:rtl/>
        </w:rPr>
        <w:t xml:space="preserve"> </w:t>
      </w:r>
      <w:r w:rsidRPr="00D44503">
        <w:rPr>
          <w:rFonts w:cs="David" w:hint="cs"/>
          <w:rtl/>
        </w:rPr>
        <w:t>הבולטות</w:t>
      </w:r>
      <w:r w:rsidRPr="00D44503">
        <w:rPr>
          <w:rFonts w:cs="David"/>
          <w:rtl/>
        </w:rPr>
        <w:t xml:space="preserve"> </w:t>
      </w:r>
      <w:r w:rsidRPr="00D44503">
        <w:rPr>
          <w:rFonts w:cs="David" w:hint="cs"/>
          <w:rtl/>
        </w:rPr>
        <w:t>כנגד</w:t>
      </w:r>
      <w:r w:rsidRPr="00D44503">
        <w:rPr>
          <w:rFonts w:cs="David"/>
          <w:rtl/>
        </w:rPr>
        <w:t xml:space="preserve"> </w:t>
      </w:r>
      <w:r w:rsidRPr="00D44503">
        <w:rPr>
          <w:rFonts w:cs="David" w:hint="cs"/>
          <w:rtl/>
        </w:rPr>
        <w:t>ישראל</w:t>
      </w:r>
      <w:r w:rsidRPr="00D44503">
        <w:rPr>
          <w:rFonts w:cs="David"/>
          <w:rtl/>
        </w:rPr>
        <w:t xml:space="preserve"> </w:t>
      </w:r>
      <w:r w:rsidRPr="00D44503">
        <w:rPr>
          <w:rFonts w:cs="David" w:hint="cs"/>
          <w:rtl/>
        </w:rPr>
        <w:t>בעולם</w:t>
      </w:r>
      <w:r w:rsidRPr="00D44503">
        <w:rPr>
          <w:rFonts w:cs="David"/>
          <w:rtl/>
        </w:rPr>
        <w:t xml:space="preserve"> </w:t>
      </w:r>
      <w:r w:rsidRPr="00D44503">
        <w:rPr>
          <w:rFonts w:cs="David" w:hint="cs"/>
          <w:rtl/>
        </w:rPr>
        <w:t>ואף</w:t>
      </w:r>
      <w:r w:rsidRPr="00D44503">
        <w:rPr>
          <w:rFonts w:cs="David"/>
          <w:rtl/>
        </w:rPr>
        <w:t xml:space="preserve"> </w:t>
      </w:r>
      <w:r w:rsidRPr="00D44503">
        <w:rPr>
          <w:rFonts w:cs="David" w:hint="cs"/>
          <w:rtl/>
        </w:rPr>
        <w:t>ארגנה</w:t>
      </w:r>
      <w:r w:rsidRPr="00D44503">
        <w:rPr>
          <w:rFonts w:cs="David"/>
          <w:rtl/>
        </w:rPr>
        <w:t xml:space="preserve"> </w:t>
      </w:r>
      <w:r w:rsidRPr="00D44503">
        <w:rPr>
          <w:rFonts w:cs="David" w:hint="cs"/>
          <w:rtl/>
        </w:rPr>
        <w:t>כנס</w:t>
      </w:r>
      <w:r w:rsidRPr="00D44503">
        <w:rPr>
          <w:rFonts w:cs="David"/>
          <w:rtl/>
        </w:rPr>
        <w:t xml:space="preserve"> </w:t>
      </w:r>
      <w:r w:rsidRPr="00D44503">
        <w:rPr>
          <w:rFonts w:cs="David" w:hint="cs"/>
          <w:rtl/>
        </w:rPr>
        <w:t>בינלאומי</w:t>
      </w:r>
      <w:r w:rsidRPr="00D44503">
        <w:rPr>
          <w:rFonts w:cs="David"/>
          <w:rtl/>
        </w:rPr>
        <w:t xml:space="preserve"> </w:t>
      </w:r>
      <w:r w:rsidRPr="00D44503">
        <w:rPr>
          <w:rFonts w:cs="David" w:hint="cs"/>
          <w:rtl/>
        </w:rPr>
        <w:t>רב</w:t>
      </w:r>
      <w:r w:rsidRPr="00D44503">
        <w:rPr>
          <w:rFonts w:cs="David"/>
          <w:rtl/>
        </w:rPr>
        <w:t xml:space="preserve"> </w:t>
      </w:r>
      <w:r w:rsidRPr="00D44503">
        <w:rPr>
          <w:rFonts w:cs="David" w:hint="cs"/>
          <w:rtl/>
        </w:rPr>
        <w:t>משתתפים</w:t>
      </w:r>
      <w:r w:rsidRPr="00D44503">
        <w:rPr>
          <w:rFonts w:cs="David"/>
          <w:rtl/>
        </w:rPr>
        <w:t xml:space="preserve"> </w:t>
      </w:r>
      <w:r w:rsidRPr="00D44503">
        <w:rPr>
          <w:rFonts w:cs="David" w:hint="cs"/>
          <w:rtl/>
        </w:rPr>
        <w:t>בעניין</w:t>
      </w:r>
      <w:r w:rsidRPr="00D44503">
        <w:rPr>
          <w:rFonts w:cs="David"/>
          <w:rtl/>
        </w:rPr>
        <w:t xml:space="preserve">. </w:t>
      </w:r>
      <w:r w:rsidRPr="00D44503">
        <w:rPr>
          <w:rFonts w:cs="David" w:hint="cs"/>
          <w:rtl/>
        </w:rPr>
        <w:t>היא</w:t>
      </w:r>
      <w:r w:rsidRPr="00D44503">
        <w:rPr>
          <w:rFonts w:cs="David"/>
          <w:rtl/>
        </w:rPr>
        <w:t xml:space="preserve"> </w:t>
      </w:r>
      <w:r w:rsidRPr="00D44503">
        <w:rPr>
          <w:rFonts w:cs="David" w:hint="cs"/>
          <w:rtl/>
        </w:rPr>
        <w:t>סיפקה</w:t>
      </w:r>
      <w:r w:rsidRPr="00D44503">
        <w:rPr>
          <w:rFonts w:cs="David"/>
          <w:rtl/>
        </w:rPr>
        <w:t xml:space="preserve"> </w:t>
      </w:r>
      <w:r w:rsidRPr="00D44503">
        <w:rPr>
          <w:rFonts w:cs="David" w:hint="cs"/>
          <w:rtl/>
        </w:rPr>
        <w:t>עצות</w:t>
      </w:r>
      <w:r w:rsidRPr="00D44503">
        <w:rPr>
          <w:rFonts w:cs="David"/>
          <w:rtl/>
        </w:rPr>
        <w:t xml:space="preserve"> </w:t>
      </w:r>
      <w:r w:rsidRPr="00D44503">
        <w:rPr>
          <w:rFonts w:cs="David" w:hint="cs"/>
          <w:rtl/>
        </w:rPr>
        <w:t>לפעילים</w:t>
      </w:r>
      <w:r w:rsidRPr="00D44503">
        <w:rPr>
          <w:rFonts w:cs="David"/>
          <w:rtl/>
        </w:rPr>
        <w:t xml:space="preserve"> </w:t>
      </w:r>
      <w:r w:rsidRPr="00D44503">
        <w:rPr>
          <w:rFonts w:cs="David" w:hint="cs"/>
          <w:rtl/>
        </w:rPr>
        <w:t>רבים</w:t>
      </w:r>
      <w:r w:rsidRPr="00D44503">
        <w:rPr>
          <w:rFonts w:cs="David"/>
          <w:rtl/>
        </w:rPr>
        <w:t xml:space="preserve"> </w:t>
      </w:r>
      <w:r w:rsidRPr="00D44503">
        <w:rPr>
          <w:rFonts w:cs="David" w:hint="cs"/>
          <w:rtl/>
        </w:rPr>
        <w:t>שביקשו</w:t>
      </w:r>
      <w:r w:rsidRPr="00D44503">
        <w:rPr>
          <w:rFonts w:cs="David"/>
          <w:rtl/>
        </w:rPr>
        <w:t xml:space="preserve"> </w:t>
      </w:r>
      <w:r w:rsidRPr="00D44503">
        <w:rPr>
          <w:rFonts w:cs="David" w:hint="cs"/>
          <w:rtl/>
        </w:rPr>
        <w:t>לפעול</w:t>
      </w:r>
      <w:r w:rsidRPr="00D44503">
        <w:rPr>
          <w:rFonts w:cs="David"/>
          <w:rtl/>
        </w:rPr>
        <w:t xml:space="preserve"> </w:t>
      </w:r>
      <w:r w:rsidRPr="00D44503">
        <w:rPr>
          <w:rFonts w:cs="David" w:hint="cs"/>
          <w:rtl/>
        </w:rPr>
        <w:t>ביהודה</w:t>
      </w:r>
      <w:r w:rsidRPr="00D44503">
        <w:rPr>
          <w:rFonts w:cs="David"/>
          <w:rtl/>
        </w:rPr>
        <w:t xml:space="preserve"> </w:t>
      </w:r>
      <w:r w:rsidRPr="00D44503">
        <w:rPr>
          <w:rFonts w:cs="David" w:hint="cs"/>
          <w:rtl/>
        </w:rPr>
        <w:t>ושומרון</w:t>
      </w:r>
      <w:r w:rsidRPr="00D44503">
        <w:rPr>
          <w:rFonts w:cs="David"/>
          <w:rtl/>
        </w:rPr>
        <w:t xml:space="preserve"> </w:t>
      </w:r>
      <w:r w:rsidRPr="00D44503">
        <w:rPr>
          <w:rFonts w:cs="David" w:hint="cs"/>
          <w:rtl/>
        </w:rPr>
        <w:t>או</w:t>
      </w:r>
      <w:r w:rsidRPr="00D44503">
        <w:rPr>
          <w:rFonts w:cs="David"/>
          <w:rtl/>
        </w:rPr>
        <w:t xml:space="preserve"> </w:t>
      </w:r>
      <w:r w:rsidRPr="00D44503">
        <w:rPr>
          <w:rFonts w:cs="David" w:hint="cs"/>
          <w:rtl/>
        </w:rPr>
        <w:t>להיכנס</w:t>
      </w:r>
      <w:r w:rsidRPr="00D44503">
        <w:rPr>
          <w:rFonts w:cs="David"/>
          <w:rtl/>
        </w:rPr>
        <w:t xml:space="preserve"> </w:t>
      </w:r>
      <w:r w:rsidRPr="00D44503">
        <w:rPr>
          <w:rFonts w:cs="David" w:hint="cs"/>
          <w:rtl/>
        </w:rPr>
        <w:t>לעזה</w:t>
      </w:r>
      <w:r w:rsidRPr="00D44503">
        <w:rPr>
          <w:rFonts w:cs="David"/>
          <w:rtl/>
        </w:rPr>
        <w:t xml:space="preserve"> </w:t>
      </w:r>
      <w:r w:rsidRPr="00D44503">
        <w:rPr>
          <w:rFonts w:cs="David" w:hint="cs"/>
          <w:rtl/>
        </w:rPr>
        <w:t>ללא</w:t>
      </w:r>
      <w:r w:rsidRPr="00D44503">
        <w:rPr>
          <w:rFonts w:cs="David"/>
          <w:rtl/>
        </w:rPr>
        <w:t xml:space="preserve"> </w:t>
      </w:r>
      <w:r w:rsidRPr="00D44503">
        <w:rPr>
          <w:rFonts w:cs="David" w:hint="cs"/>
          <w:rtl/>
        </w:rPr>
        <w:t>היתרים</w:t>
      </w:r>
      <w:r w:rsidRPr="00D44503">
        <w:rPr>
          <w:rFonts w:cs="David"/>
          <w:rtl/>
        </w:rPr>
        <w:t xml:space="preserve">. </w:t>
      </w:r>
      <w:r w:rsidRPr="00D44503">
        <w:rPr>
          <w:rFonts w:cs="David" w:hint="cs"/>
          <w:rtl/>
        </w:rPr>
        <w:t>בזמן</w:t>
      </w:r>
      <w:r w:rsidRPr="00D44503">
        <w:rPr>
          <w:rFonts w:cs="David"/>
          <w:rtl/>
        </w:rPr>
        <w:t xml:space="preserve"> </w:t>
      </w:r>
      <w:r w:rsidRPr="00D44503">
        <w:rPr>
          <w:rFonts w:cs="David" w:hint="cs"/>
          <w:rtl/>
        </w:rPr>
        <w:t>מבצע</w:t>
      </w:r>
      <w:r w:rsidRPr="00D44503">
        <w:rPr>
          <w:rFonts w:cs="David"/>
          <w:rtl/>
        </w:rPr>
        <w:t xml:space="preserve"> "</w:t>
      </w:r>
      <w:r w:rsidRPr="00D44503">
        <w:rPr>
          <w:rFonts w:cs="David" w:hint="cs"/>
          <w:rtl/>
        </w:rPr>
        <w:t>עופרת</w:t>
      </w:r>
      <w:r w:rsidRPr="00D44503">
        <w:rPr>
          <w:rFonts w:cs="David"/>
          <w:rtl/>
        </w:rPr>
        <w:t xml:space="preserve"> </w:t>
      </w:r>
      <w:r w:rsidRPr="00D44503">
        <w:rPr>
          <w:rFonts w:cs="David" w:hint="cs"/>
          <w:rtl/>
        </w:rPr>
        <w:t>יצוקה</w:t>
      </w:r>
      <w:r w:rsidRPr="00D44503">
        <w:rPr>
          <w:rFonts w:cs="David"/>
          <w:rtl/>
        </w:rPr>
        <w:t xml:space="preserve">" </w:t>
      </w:r>
      <w:r w:rsidRPr="00D44503">
        <w:rPr>
          <w:rFonts w:cs="David" w:hint="cs"/>
          <w:rtl/>
        </w:rPr>
        <w:t>היא</w:t>
      </w:r>
      <w:r w:rsidRPr="00D44503">
        <w:rPr>
          <w:rFonts w:cs="David"/>
          <w:rtl/>
        </w:rPr>
        <w:t xml:space="preserve"> </w:t>
      </w:r>
      <w:r w:rsidRPr="00D44503">
        <w:rPr>
          <w:rFonts w:cs="David" w:hint="cs"/>
          <w:rtl/>
        </w:rPr>
        <w:t>שלחה</w:t>
      </w:r>
      <w:r w:rsidRPr="00D44503">
        <w:rPr>
          <w:rFonts w:cs="David"/>
          <w:rtl/>
        </w:rPr>
        <w:t xml:space="preserve"> </w:t>
      </w:r>
      <w:r w:rsidRPr="00D44503">
        <w:rPr>
          <w:rFonts w:cs="David" w:hint="cs"/>
          <w:rtl/>
        </w:rPr>
        <w:t>הודעת</w:t>
      </w:r>
      <w:r w:rsidRPr="00D44503">
        <w:rPr>
          <w:rFonts w:cs="David"/>
          <w:rtl/>
        </w:rPr>
        <w:t xml:space="preserve"> </w:t>
      </w:r>
      <w:r w:rsidRPr="00D44503">
        <w:rPr>
          <w:rFonts w:cs="David" w:hint="cs"/>
          <w:rtl/>
        </w:rPr>
        <w:t>דוא</w:t>
      </w:r>
      <w:r w:rsidRPr="00D44503">
        <w:rPr>
          <w:rFonts w:cs="David"/>
          <w:rtl/>
        </w:rPr>
        <w:t>"</w:t>
      </w:r>
      <w:r w:rsidRPr="00D44503">
        <w:rPr>
          <w:rFonts w:cs="David" w:hint="cs"/>
          <w:rtl/>
        </w:rPr>
        <w:t>ל</w:t>
      </w:r>
      <w:r w:rsidRPr="00D44503">
        <w:rPr>
          <w:rFonts w:cs="David"/>
          <w:rtl/>
        </w:rPr>
        <w:t xml:space="preserve"> </w:t>
      </w:r>
      <w:r w:rsidRPr="00D44503">
        <w:rPr>
          <w:rFonts w:cs="David" w:hint="cs"/>
          <w:rtl/>
        </w:rPr>
        <w:t>לחבריה</w:t>
      </w:r>
      <w:r w:rsidRPr="00D44503">
        <w:rPr>
          <w:rFonts w:cs="David"/>
          <w:rtl/>
        </w:rPr>
        <w:t xml:space="preserve"> </w:t>
      </w:r>
      <w:r w:rsidRPr="00D44503">
        <w:rPr>
          <w:rFonts w:cs="David" w:hint="cs"/>
          <w:rtl/>
        </w:rPr>
        <w:t>הפעילים</w:t>
      </w:r>
      <w:r w:rsidRPr="00D44503">
        <w:rPr>
          <w:rFonts w:cs="David"/>
          <w:rtl/>
        </w:rPr>
        <w:t xml:space="preserve"> </w:t>
      </w:r>
      <w:r w:rsidRPr="00D44503">
        <w:rPr>
          <w:rFonts w:cs="David" w:hint="cs"/>
          <w:rtl/>
        </w:rPr>
        <w:t>ובה</w:t>
      </w:r>
      <w:r w:rsidRPr="00D44503">
        <w:rPr>
          <w:rFonts w:cs="David"/>
          <w:rtl/>
        </w:rPr>
        <w:t xml:space="preserve"> </w:t>
      </w:r>
      <w:r w:rsidRPr="00D44503">
        <w:rPr>
          <w:rFonts w:cs="David" w:hint="cs"/>
          <w:rtl/>
        </w:rPr>
        <w:t>כתבה</w:t>
      </w:r>
      <w:r w:rsidRPr="00D44503">
        <w:rPr>
          <w:rFonts w:cs="David"/>
          <w:rtl/>
        </w:rPr>
        <w:t xml:space="preserve"> </w:t>
      </w:r>
      <w:r w:rsidRPr="00D44503">
        <w:rPr>
          <w:rFonts w:cs="David" w:hint="cs"/>
          <w:rtl/>
        </w:rPr>
        <w:t>שהישראלים</w:t>
      </w:r>
      <w:r w:rsidRPr="00D44503">
        <w:rPr>
          <w:rFonts w:cs="David"/>
          <w:rtl/>
        </w:rPr>
        <w:t xml:space="preserve"> </w:t>
      </w:r>
      <w:r w:rsidRPr="00D44503">
        <w:rPr>
          <w:rFonts w:cs="David" w:hint="cs"/>
          <w:rtl/>
        </w:rPr>
        <w:t>מבצעים</w:t>
      </w:r>
      <w:r w:rsidRPr="00D44503">
        <w:rPr>
          <w:rFonts w:cs="David"/>
          <w:rtl/>
        </w:rPr>
        <w:t xml:space="preserve"> </w:t>
      </w:r>
      <w:r w:rsidRPr="00D44503">
        <w:rPr>
          <w:rFonts w:cs="David" w:hint="cs"/>
          <w:rtl/>
        </w:rPr>
        <w:t>טבח</w:t>
      </w:r>
      <w:r w:rsidRPr="00D44503">
        <w:rPr>
          <w:rFonts w:cs="David"/>
          <w:rtl/>
        </w:rPr>
        <w:t xml:space="preserve"> </w:t>
      </w:r>
      <w:r w:rsidRPr="00D44503">
        <w:rPr>
          <w:rFonts w:cs="David" w:hint="cs"/>
          <w:rtl/>
        </w:rPr>
        <w:t>בעזה</w:t>
      </w:r>
      <w:r w:rsidRPr="00D44503">
        <w:rPr>
          <w:rFonts w:cs="David"/>
          <w:rtl/>
        </w:rPr>
        <w:t xml:space="preserve"> </w:t>
      </w:r>
      <w:r w:rsidRPr="00D44503">
        <w:rPr>
          <w:rFonts w:cs="David" w:hint="cs"/>
          <w:rtl/>
        </w:rPr>
        <w:t>ושיש</w:t>
      </w:r>
      <w:r w:rsidRPr="00D44503">
        <w:rPr>
          <w:rFonts w:cs="David"/>
          <w:rtl/>
        </w:rPr>
        <w:t xml:space="preserve"> </w:t>
      </w:r>
      <w:r w:rsidRPr="00D44503">
        <w:rPr>
          <w:rFonts w:cs="David" w:hint="cs"/>
          <w:rtl/>
        </w:rPr>
        <w:t>להילחם</w:t>
      </w:r>
      <w:r w:rsidRPr="00D44503">
        <w:rPr>
          <w:rFonts w:cs="David"/>
          <w:rtl/>
        </w:rPr>
        <w:t xml:space="preserve"> </w:t>
      </w:r>
      <w:r w:rsidRPr="00D44503">
        <w:rPr>
          <w:rFonts w:cs="David" w:hint="cs"/>
          <w:rtl/>
        </w:rPr>
        <w:t>ב</w:t>
      </w:r>
      <w:r w:rsidRPr="00D44503">
        <w:rPr>
          <w:rFonts w:cs="David"/>
          <w:rtl/>
        </w:rPr>
        <w:t>"</w:t>
      </w:r>
      <w:r w:rsidRPr="00D44503">
        <w:rPr>
          <w:rFonts w:cs="David" w:hint="cs"/>
          <w:rtl/>
        </w:rPr>
        <w:t>שקרים</w:t>
      </w:r>
      <w:r w:rsidRPr="00D44503">
        <w:rPr>
          <w:rFonts w:cs="David"/>
          <w:rtl/>
        </w:rPr>
        <w:t xml:space="preserve">" </w:t>
      </w:r>
      <w:r w:rsidRPr="00D44503">
        <w:rPr>
          <w:rFonts w:cs="David" w:hint="cs"/>
          <w:rtl/>
        </w:rPr>
        <w:t>הישראליים</w:t>
      </w:r>
      <w:r w:rsidRPr="00D44503">
        <w:rPr>
          <w:rFonts w:cs="David"/>
          <w:rtl/>
        </w:rPr>
        <w:t>.</w:t>
      </w:r>
    </w:p>
  </w:footnote>
  <w:footnote w:id="234">
    <w:p w:rsidR="009B636F" w:rsidRDefault="009B636F">
      <w:pPr>
        <w:pStyle w:val="a5"/>
        <w:jc w:val="both"/>
      </w:pPr>
      <w:r>
        <w:rPr>
          <w:rStyle w:val="a7"/>
        </w:rPr>
        <w:footnoteRef/>
      </w:r>
      <w:r>
        <w:rPr>
          <w:rStyle w:val="a7"/>
        </w:rPr>
        <w:footnoteRef/>
      </w:r>
      <w:r>
        <w:rPr>
          <w:rtl/>
        </w:rPr>
        <w:t xml:space="preserve"> </w:t>
      </w:r>
      <w:r w:rsidRPr="00D44503">
        <w:rPr>
          <w:rFonts w:cs="David" w:hint="cs"/>
          <w:rtl/>
        </w:rPr>
        <w:t>רבות</w:t>
      </w:r>
      <w:r w:rsidRPr="00D44503">
        <w:rPr>
          <w:rFonts w:cs="David"/>
          <w:rtl/>
        </w:rPr>
        <w:t xml:space="preserve"> </w:t>
      </w:r>
      <w:r w:rsidRPr="00D44503">
        <w:rPr>
          <w:rFonts w:cs="David" w:hint="cs"/>
          <w:rtl/>
        </w:rPr>
        <w:t>מקבוצות</w:t>
      </w:r>
      <w:r w:rsidRPr="00D44503">
        <w:rPr>
          <w:rFonts w:cs="David"/>
          <w:rtl/>
        </w:rPr>
        <w:t xml:space="preserve"> </w:t>
      </w:r>
      <w:r w:rsidRPr="00D44503">
        <w:rPr>
          <w:rFonts w:cs="David" w:hint="cs"/>
          <w:rtl/>
        </w:rPr>
        <w:t>לוחמת</w:t>
      </w:r>
      <w:r w:rsidRPr="00D44503">
        <w:rPr>
          <w:rFonts w:cs="David"/>
          <w:rtl/>
        </w:rPr>
        <w:t xml:space="preserve"> </w:t>
      </w:r>
      <w:r w:rsidRPr="00D44503">
        <w:rPr>
          <w:rFonts w:cs="David" w:hint="cs"/>
          <w:rtl/>
        </w:rPr>
        <w:t>המשפט</w:t>
      </w:r>
      <w:r w:rsidRPr="00D44503">
        <w:rPr>
          <w:rFonts w:cs="David"/>
          <w:rtl/>
        </w:rPr>
        <w:t xml:space="preserve"> </w:t>
      </w:r>
      <w:r w:rsidRPr="00D44503">
        <w:rPr>
          <w:rFonts w:cs="David" w:hint="cs"/>
          <w:rtl/>
        </w:rPr>
        <w:t>נגד</w:t>
      </w:r>
      <w:r w:rsidRPr="00D44503">
        <w:rPr>
          <w:rFonts w:cs="David"/>
          <w:rtl/>
        </w:rPr>
        <w:t xml:space="preserve"> </w:t>
      </w:r>
      <w:r w:rsidRPr="00D44503">
        <w:rPr>
          <w:rFonts w:cs="David" w:hint="cs"/>
          <w:rtl/>
        </w:rPr>
        <w:t>ישראל</w:t>
      </w:r>
      <w:r w:rsidRPr="00D44503">
        <w:rPr>
          <w:rFonts w:cs="David"/>
          <w:rtl/>
        </w:rPr>
        <w:t xml:space="preserve"> </w:t>
      </w:r>
      <w:r w:rsidRPr="00D44503">
        <w:rPr>
          <w:rFonts w:cs="David" w:hint="cs"/>
          <w:rtl/>
        </w:rPr>
        <w:t>שהשתתפו</w:t>
      </w:r>
      <w:r w:rsidRPr="00D44503">
        <w:rPr>
          <w:rFonts w:cs="David"/>
          <w:rtl/>
        </w:rPr>
        <w:t xml:space="preserve"> </w:t>
      </w:r>
      <w:r w:rsidRPr="00D44503">
        <w:rPr>
          <w:rFonts w:cs="David" w:hint="cs"/>
          <w:rtl/>
        </w:rPr>
        <w:t>בכנס</w:t>
      </w:r>
      <w:r w:rsidRPr="00D44503">
        <w:rPr>
          <w:rFonts w:cs="David"/>
          <w:rtl/>
        </w:rPr>
        <w:t xml:space="preserve"> </w:t>
      </w:r>
      <w:r w:rsidRPr="00D44503">
        <w:rPr>
          <w:rFonts w:cs="David" w:hint="cs"/>
          <w:rtl/>
        </w:rPr>
        <w:t>שארגנה</w:t>
      </w:r>
      <w:r w:rsidRPr="00D44503">
        <w:rPr>
          <w:rFonts w:cs="David"/>
          <w:rtl/>
        </w:rPr>
        <w:t xml:space="preserve"> </w:t>
      </w:r>
      <w:r w:rsidRPr="00D44503">
        <w:rPr>
          <w:rFonts w:cs="David" w:hint="cs"/>
          <w:rtl/>
        </w:rPr>
        <w:t>באארס</w:t>
      </w:r>
      <w:r w:rsidRPr="00D44503">
        <w:rPr>
          <w:rFonts w:cs="David"/>
          <w:rtl/>
        </w:rPr>
        <w:t xml:space="preserve"> </w:t>
      </w:r>
      <w:r w:rsidRPr="00D44503">
        <w:rPr>
          <w:rFonts w:cs="David" w:hint="cs"/>
          <w:rtl/>
        </w:rPr>
        <w:t>גם</w:t>
      </w:r>
      <w:r w:rsidRPr="00D44503">
        <w:rPr>
          <w:rFonts w:cs="David"/>
          <w:rtl/>
        </w:rPr>
        <w:t xml:space="preserve"> </w:t>
      </w:r>
      <w:r w:rsidRPr="00D44503">
        <w:rPr>
          <w:rFonts w:cs="David" w:hint="cs"/>
          <w:rtl/>
        </w:rPr>
        <w:t>הופיעו</w:t>
      </w:r>
      <w:r w:rsidRPr="00D44503">
        <w:rPr>
          <w:rFonts w:cs="David"/>
          <w:rtl/>
        </w:rPr>
        <w:t xml:space="preserve"> </w:t>
      </w:r>
      <w:r w:rsidRPr="00D44503">
        <w:rPr>
          <w:rFonts w:cs="David" w:hint="cs"/>
          <w:rtl/>
        </w:rPr>
        <w:t>ברשימת</w:t>
      </w:r>
      <w:r w:rsidRPr="00D44503">
        <w:rPr>
          <w:rFonts w:cs="David"/>
          <w:rtl/>
        </w:rPr>
        <w:t xml:space="preserve"> </w:t>
      </w:r>
      <w:r w:rsidRPr="00D44503">
        <w:rPr>
          <w:rFonts w:cs="David" w:hint="cs"/>
          <w:rtl/>
        </w:rPr>
        <w:t>המקורות</w:t>
      </w:r>
      <w:r w:rsidRPr="00D44503">
        <w:rPr>
          <w:rFonts w:cs="David"/>
          <w:rtl/>
        </w:rPr>
        <w:t xml:space="preserve"> </w:t>
      </w:r>
      <w:r w:rsidRPr="00D44503">
        <w:rPr>
          <w:rFonts w:cs="David" w:hint="cs"/>
          <w:rtl/>
        </w:rPr>
        <w:t>לדוח</w:t>
      </w:r>
      <w:r w:rsidRPr="00D44503">
        <w:rPr>
          <w:rFonts w:cs="David"/>
          <w:rtl/>
        </w:rPr>
        <w:t>.</w:t>
      </w:r>
    </w:p>
  </w:footnote>
  <w:footnote w:id="235">
    <w:p w:rsidR="009B636F" w:rsidRPr="004976DA" w:rsidRDefault="009B636F" w:rsidP="00397737">
      <w:pPr>
        <w:pStyle w:val="a5"/>
        <w:jc w:val="both"/>
        <w:rPr>
          <w:rFonts w:cs="David"/>
          <w:rtl/>
        </w:rPr>
      </w:pPr>
      <w:r>
        <w:rPr>
          <w:rStyle w:val="a7"/>
        </w:rPr>
        <w:footnoteRef/>
      </w:r>
      <w:r>
        <w:rPr>
          <w:rtl/>
        </w:rPr>
        <w:t xml:space="preserve"> </w:t>
      </w:r>
      <w:r>
        <w:rPr>
          <w:rFonts w:cs="David" w:hint="cs"/>
          <w:rtl/>
        </w:rPr>
        <w:t xml:space="preserve">בעלה של חמוד הוא נציג האיחוד האירופי שטיפל בניסוח הצעת ההחלטה בנוגע לדוח הוועדה, מה שעורר טענות לניגוד עניינים מצדו. ראה </w:t>
      </w:r>
      <w:r>
        <w:rPr>
          <w:rFonts w:cs="David"/>
        </w:rPr>
        <w:t xml:space="preserve">Miller Elhanan (2015), </w:t>
      </w:r>
      <w:r w:rsidRPr="004976DA">
        <w:t xml:space="preserve">EU official who negotiated on UN Gaza resolution is married to UN inquiry team member, </w:t>
      </w:r>
      <w:hyperlink r:id="rId29" w:history="1">
        <w:r w:rsidRPr="004976DA">
          <w:rPr>
            <w:b/>
            <w:bCs/>
          </w:rPr>
          <w:t>The Times of Israel</w:t>
        </w:r>
      </w:hyperlink>
      <w:r w:rsidRPr="004976DA">
        <w:t>, http://www.timesofisrael.com/eu-official-who-negotiated-uns-gaza-resolution-married-to-un-inquiry-team-member/</w:t>
      </w:r>
      <w:r>
        <w:rPr>
          <w:rFonts w:hint="cs"/>
          <w:rtl/>
        </w:rPr>
        <w:t>.</w:t>
      </w:r>
    </w:p>
  </w:footnote>
  <w:footnote w:id="236">
    <w:p w:rsidR="009B636F" w:rsidRDefault="009B636F" w:rsidP="00165037">
      <w:pPr>
        <w:pStyle w:val="a5"/>
        <w:jc w:val="both"/>
        <w:rPr>
          <w:rtl/>
        </w:rPr>
      </w:pPr>
      <w:r w:rsidRPr="00036692">
        <w:rPr>
          <w:rStyle w:val="a7"/>
        </w:rPr>
        <w:footnoteRef/>
      </w:r>
      <w:r w:rsidRPr="00036692">
        <w:rPr>
          <w:rtl/>
        </w:rPr>
        <w:t xml:space="preserve"> </w:t>
      </w:r>
      <w:r w:rsidRPr="00036692">
        <w:rPr>
          <w:rFonts w:cs="David" w:hint="cs"/>
          <w:rtl/>
        </w:rPr>
        <w:t xml:space="preserve">ראה פראנק, ה"ש </w:t>
      </w:r>
      <w:r>
        <w:fldChar w:fldCharType="begin"/>
      </w:r>
      <w:r>
        <w:rPr>
          <w:rFonts w:cs="David"/>
          <w:rtl/>
        </w:rPr>
        <w:instrText xml:space="preserve"> </w:instrText>
      </w:r>
      <w:r>
        <w:rPr>
          <w:rFonts w:cs="David" w:hint="cs"/>
        </w:rPr>
        <w:instrText>NOTEREF</w:instrText>
      </w:r>
      <w:r>
        <w:rPr>
          <w:rFonts w:cs="David" w:hint="cs"/>
          <w:rtl/>
        </w:rPr>
        <w:instrText xml:space="preserve"> _</w:instrText>
      </w:r>
      <w:r>
        <w:rPr>
          <w:rFonts w:cs="David" w:hint="cs"/>
        </w:rPr>
        <w:instrText>Ref450296810 \h</w:instrText>
      </w:r>
      <w:r>
        <w:rPr>
          <w:rFonts w:cs="David"/>
          <w:rtl/>
        </w:rPr>
        <w:instrText xml:space="preserve"> </w:instrText>
      </w:r>
      <w:r>
        <w:fldChar w:fldCharType="separate"/>
      </w:r>
      <w:r>
        <w:rPr>
          <w:rFonts w:cs="David"/>
          <w:rtl/>
        </w:rPr>
        <w:t>183</w:t>
      </w:r>
      <w:r>
        <w:fldChar w:fldCharType="end"/>
      </w:r>
      <w:r w:rsidRPr="00036692">
        <w:rPr>
          <w:rFonts w:cs="David" w:hint="cs"/>
          <w:rtl/>
        </w:rPr>
        <w:t>, עמוד 316</w:t>
      </w:r>
    </w:p>
  </w:footnote>
  <w:footnote w:id="237">
    <w:p w:rsidR="009B636F" w:rsidRPr="003E5C0B" w:rsidRDefault="009B636F" w:rsidP="004544A6">
      <w:pPr>
        <w:pStyle w:val="a5"/>
        <w:jc w:val="both"/>
        <w:rPr>
          <w:rFonts w:cs="David"/>
          <w:rtl/>
        </w:rPr>
      </w:pPr>
      <w:r>
        <w:rPr>
          <w:rStyle w:val="a7"/>
        </w:rPr>
        <w:footnoteRef/>
      </w:r>
      <w:r>
        <w:rPr>
          <w:rtl/>
        </w:rPr>
        <w:t xml:space="preserve"> </w:t>
      </w:r>
      <w:r w:rsidRPr="00F9050B">
        <w:rPr>
          <w:rFonts w:cs="David" w:hint="cs"/>
          <w:rtl/>
        </w:rPr>
        <w:t xml:space="preserve">ראה בסיוני, ה"ש </w:t>
      </w:r>
      <w:r>
        <w:fldChar w:fldCharType="begin"/>
      </w:r>
      <w:r>
        <w:rPr>
          <w:rFonts w:cs="David"/>
          <w:rtl/>
        </w:rPr>
        <w:instrText xml:space="preserve"> </w:instrText>
      </w:r>
      <w:r>
        <w:rPr>
          <w:rFonts w:cs="David" w:hint="cs"/>
        </w:rPr>
        <w:instrText>NOTEREF</w:instrText>
      </w:r>
      <w:r>
        <w:rPr>
          <w:rFonts w:cs="David" w:hint="cs"/>
          <w:rtl/>
        </w:rPr>
        <w:instrText xml:space="preserve"> _</w:instrText>
      </w:r>
      <w:r>
        <w:rPr>
          <w:rFonts w:cs="David" w:hint="cs"/>
        </w:rPr>
        <w:instrText>Ref450959869 \h</w:instrText>
      </w:r>
      <w:r>
        <w:rPr>
          <w:rFonts w:cs="David"/>
          <w:rtl/>
        </w:rPr>
        <w:instrText xml:space="preserve"> </w:instrText>
      </w:r>
      <w:r>
        <w:fldChar w:fldCharType="separate"/>
      </w:r>
      <w:r>
        <w:rPr>
          <w:rFonts w:cs="David"/>
          <w:rtl/>
        </w:rPr>
        <w:t>179</w:t>
      </w:r>
      <w:r>
        <w:fldChar w:fldCharType="end"/>
      </w:r>
      <w:r w:rsidRPr="00F9050B">
        <w:rPr>
          <w:rFonts w:cs="David" w:hint="cs"/>
          <w:rtl/>
        </w:rPr>
        <w:t>, עמוד 40</w:t>
      </w:r>
    </w:p>
    <w:p w:rsidR="009B636F" w:rsidRDefault="009B636F" w:rsidP="00397737">
      <w:pPr>
        <w:pStyle w:val="a5"/>
        <w:jc w:val="both"/>
      </w:pPr>
    </w:p>
  </w:footnote>
  <w:footnote w:id="238">
    <w:p w:rsidR="009B636F" w:rsidRPr="00F83211" w:rsidRDefault="009B636F" w:rsidP="00397737">
      <w:pPr>
        <w:pStyle w:val="a5"/>
        <w:jc w:val="both"/>
        <w:rPr>
          <w:rFonts w:cs="David"/>
        </w:rPr>
      </w:pPr>
      <w:r>
        <w:rPr>
          <w:rStyle w:val="a7"/>
        </w:rPr>
        <w:footnoteRef/>
      </w:r>
      <w:r>
        <w:rPr>
          <w:rtl/>
        </w:rPr>
        <w:t xml:space="preserve"> </w:t>
      </w:r>
      <w:r>
        <w:rPr>
          <w:rFonts w:cs="David" w:hint="cs"/>
          <w:rtl/>
        </w:rPr>
        <w:t xml:space="preserve">לגבי חלקם של ארגונים לא ממשלתיים בדוח גולדסטון ראה </w:t>
      </w:r>
      <w:r>
        <w:rPr>
          <w:rFonts w:cs="David"/>
        </w:rPr>
        <w:t xml:space="preserve">Herzberg Anne (2011), NGOs &amp; The Goldstone Report, </w:t>
      </w:r>
      <w:r>
        <w:rPr>
          <w:rFonts w:cs="David"/>
          <w:b/>
          <w:bCs/>
        </w:rPr>
        <w:t>The Goldstone Report "Reconsidered" – A Critical Analysis</w:t>
      </w:r>
      <w:r>
        <w:rPr>
          <w:rFonts w:cs="David"/>
        </w:rPr>
        <w:t xml:space="preserve">, Jerusalem, NGO Monitor &amp; Jerusalem Center for Public Affairs, pp. 69-88, available at </w:t>
      </w:r>
      <w:r w:rsidRPr="00F83211">
        <w:rPr>
          <w:rFonts w:cs="David"/>
        </w:rPr>
        <w:t>http://www.ngo-monitor.org.il/data/images/File/The_Goldstone_Report_Reconsidered.pdf</w:t>
      </w:r>
      <w:r>
        <w:rPr>
          <w:rFonts w:cs="David" w:hint="cs"/>
          <w:rtl/>
        </w:rPr>
        <w:t>.</w:t>
      </w:r>
    </w:p>
  </w:footnote>
  <w:footnote w:id="239">
    <w:p w:rsidR="009B636F" w:rsidRPr="00433F90" w:rsidRDefault="009B636F" w:rsidP="004544A6">
      <w:pPr>
        <w:pStyle w:val="a5"/>
        <w:jc w:val="both"/>
        <w:rPr>
          <w:rFonts w:cs="David"/>
          <w:rtl/>
        </w:rPr>
      </w:pPr>
      <w:r>
        <w:rPr>
          <w:rStyle w:val="a7"/>
        </w:rPr>
        <w:footnoteRef/>
      </w:r>
      <w:r>
        <w:rPr>
          <w:rtl/>
        </w:rPr>
        <w:t xml:space="preserve"> </w:t>
      </w:r>
      <w:r>
        <w:rPr>
          <w:rFonts w:cs="David" w:hint="cs"/>
          <w:rtl/>
        </w:rPr>
        <w:t xml:space="preserve">ראה בסיוני, ה"ש </w:t>
      </w:r>
      <w:r>
        <w:fldChar w:fldCharType="begin"/>
      </w:r>
      <w:r>
        <w:rPr>
          <w:rFonts w:cs="David"/>
          <w:rtl/>
        </w:rPr>
        <w:instrText xml:space="preserve"> </w:instrText>
      </w:r>
      <w:r>
        <w:rPr>
          <w:rFonts w:cs="David" w:hint="cs"/>
        </w:rPr>
        <w:instrText>NOTEREF</w:instrText>
      </w:r>
      <w:r>
        <w:rPr>
          <w:rFonts w:cs="David" w:hint="cs"/>
          <w:rtl/>
        </w:rPr>
        <w:instrText xml:space="preserve"> _</w:instrText>
      </w:r>
      <w:r>
        <w:rPr>
          <w:rFonts w:cs="David" w:hint="cs"/>
        </w:rPr>
        <w:instrText>Ref450959869 \h</w:instrText>
      </w:r>
      <w:r>
        <w:rPr>
          <w:rFonts w:cs="David"/>
          <w:rtl/>
        </w:rPr>
        <w:instrText xml:space="preserve"> </w:instrText>
      </w:r>
      <w:r>
        <w:fldChar w:fldCharType="separate"/>
      </w:r>
      <w:r>
        <w:rPr>
          <w:rFonts w:cs="David"/>
          <w:rtl/>
        </w:rPr>
        <w:t>179</w:t>
      </w:r>
      <w:r>
        <w:fldChar w:fldCharType="end"/>
      </w:r>
      <w:r>
        <w:rPr>
          <w:rFonts w:cs="David" w:hint="cs"/>
          <w:rtl/>
        </w:rPr>
        <w:t>, עמוד 40</w:t>
      </w:r>
    </w:p>
  </w:footnote>
  <w:footnote w:id="240">
    <w:p w:rsidR="009B636F" w:rsidRDefault="009B636F" w:rsidP="004544A6">
      <w:pPr>
        <w:pStyle w:val="a5"/>
        <w:jc w:val="both"/>
        <w:rPr>
          <w:rtl/>
        </w:rPr>
      </w:pPr>
      <w:r>
        <w:rPr>
          <w:rStyle w:val="a7"/>
        </w:rPr>
        <w:footnoteRef/>
      </w:r>
      <w:r>
        <w:rPr>
          <w:rtl/>
        </w:rPr>
        <w:t xml:space="preserve"> </w:t>
      </w:r>
      <w:r>
        <w:rPr>
          <w:rFonts w:cs="David" w:hint="cs"/>
          <w:rtl/>
        </w:rPr>
        <w:t xml:space="preserve">ראה בסיוני, ה"ש </w:t>
      </w:r>
      <w:r>
        <w:fldChar w:fldCharType="begin"/>
      </w:r>
      <w:r>
        <w:rPr>
          <w:rFonts w:cs="David"/>
          <w:rtl/>
        </w:rPr>
        <w:instrText xml:space="preserve"> </w:instrText>
      </w:r>
      <w:r>
        <w:rPr>
          <w:rFonts w:cs="David" w:hint="cs"/>
        </w:rPr>
        <w:instrText>NOTEREF</w:instrText>
      </w:r>
      <w:r>
        <w:rPr>
          <w:rFonts w:cs="David" w:hint="cs"/>
          <w:rtl/>
        </w:rPr>
        <w:instrText xml:space="preserve"> _</w:instrText>
      </w:r>
      <w:r>
        <w:rPr>
          <w:rFonts w:cs="David" w:hint="cs"/>
        </w:rPr>
        <w:instrText>Ref450959869 \h</w:instrText>
      </w:r>
      <w:r>
        <w:rPr>
          <w:rFonts w:cs="David"/>
          <w:rtl/>
        </w:rPr>
        <w:instrText xml:space="preserve"> </w:instrText>
      </w:r>
      <w:r>
        <w:fldChar w:fldCharType="separate"/>
      </w:r>
      <w:r>
        <w:rPr>
          <w:rFonts w:cs="David"/>
          <w:rtl/>
        </w:rPr>
        <w:t>179</w:t>
      </w:r>
      <w:r>
        <w:fldChar w:fldCharType="end"/>
      </w:r>
      <w:r>
        <w:rPr>
          <w:rFonts w:cs="David" w:hint="cs"/>
          <w:rtl/>
        </w:rPr>
        <w:t>, עמוד 42</w:t>
      </w:r>
    </w:p>
  </w:footnote>
  <w:footnote w:id="241">
    <w:p w:rsidR="009B636F" w:rsidRDefault="009B636F" w:rsidP="00397737">
      <w:pPr>
        <w:pStyle w:val="a5"/>
        <w:jc w:val="both"/>
        <w:rPr>
          <w:rtl/>
        </w:rPr>
      </w:pPr>
      <w:r>
        <w:rPr>
          <w:rStyle w:val="a7"/>
        </w:rPr>
        <w:footnoteRef/>
      </w:r>
      <w:r>
        <w:rPr>
          <w:rtl/>
        </w:rPr>
        <w:t xml:space="preserve"> </w:t>
      </w:r>
      <w:r>
        <w:t xml:space="preserve">Families Under the Rubble - Israeli Attacks on Inhabited Homes, Amnesty International, 5 November 2014, available at </w:t>
      </w:r>
      <w:r w:rsidRPr="006A00B5">
        <w:t>https://www.amnesty.org/download/Documents/MDE150322014ENGLISH.PDF</w:t>
      </w:r>
    </w:p>
  </w:footnote>
  <w:footnote w:id="242">
    <w:p w:rsidR="009B636F" w:rsidRDefault="009B636F" w:rsidP="00397737">
      <w:pPr>
        <w:pStyle w:val="a5"/>
        <w:jc w:val="both"/>
      </w:pPr>
      <w:r>
        <w:rPr>
          <w:rStyle w:val="a7"/>
        </w:rPr>
        <w:footnoteRef/>
      </w:r>
      <w:r>
        <w:rPr>
          <w:rtl/>
        </w:rPr>
        <w:t xml:space="preserve"> </w:t>
      </w:r>
      <w:r>
        <w:t>‘Nothing Is Immune’ - Israel’s Destruction of Landmark Buildings in Gaza, Amnesty International, 9 December 2014, available at</w:t>
      </w:r>
      <w:r w:rsidRPr="006A00B5">
        <w:t xml:space="preserve"> file:///C:/Users/user/Downloads/MDE1500292014ENGLISH.PDF</w:t>
      </w:r>
    </w:p>
  </w:footnote>
  <w:footnote w:id="243">
    <w:p w:rsidR="009B636F" w:rsidRDefault="009B636F" w:rsidP="00397737">
      <w:pPr>
        <w:pStyle w:val="a5"/>
        <w:jc w:val="both"/>
      </w:pPr>
      <w:r>
        <w:rPr>
          <w:rStyle w:val="a7"/>
        </w:rPr>
        <w:footnoteRef/>
      </w:r>
      <w:r>
        <w:rPr>
          <w:rtl/>
        </w:rPr>
        <w:t xml:space="preserve"> </w:t>
      </w:r>
      <w:r>
        <w:t xml:space="preserve">Unlawful and Deadly - Rocket and Mortar Attacks by Palestinian Armed Groups During the 2014 Gaza/Israel Conflict, Amnesty International, 26 March 2015, available at </w:t>
      </w:r>
      <w:r w:rsidRPr="006A00B5">
        <w:t>file:///C:/Users/user/Downloads/MDE2111782015ENGLISH.PDF</w:t>
      </w:r>
    </w:p>
  </w:footnote>
  <w:footnote w:id="244">
    <w:p w:rsidR="009B636F" w:rsidRDefault="009B636F" w:rsidP="00397737">
      <w:pPr>
        <w:pStyle w:val="a5"/>
        <w:jc w:val="both"/>
      </w:pPr>
      <w:r>
        <w:rPr>
          <w:rStyle w:val="a7"/>
        </w:rPr>
        <w:footnoteRef/>
      </w:r>
      <w:r>
        <w:rPr>
          <w:rtl/>
        </w:rPr>
        <w:t xml:space="preserve"> </w:t>
      </w:r>
      <w:r>
        <w:t xml:space="preserve">‘Strangling Necks’ - Abductions, Torture and Summary Killings of Palestinians by Hamas Forces During the 2014 Gaza/Israel Conflict, Amnesty International, 27 May 2015, available at </w:t>
      </w:r>
      <w:r w:rsidRPr="00043985">
        <w:t>file:///C:/Users/user/Downloads/MDE2116432015ENGLISH.PDF</w:t>
      </w:r>
    </w:p>
  </w:footnote>
  <w:footnote w:id="245">
    <w:p w:rsidR="009B636F" w:rsidRDefault="009B636F" w:rsidP="00397737">
      <w:pPr>
        <w:pStyle w:val="a5"/>
        <w:jc w:val="both"/>
        <w:rPr>
          <w:rtl/>
        </w:rPr>
      </w:pPr>
      <w:r>
        <w:rPr>
          <w:rStyle w:val="a7"/>
        </w:rPr>
        <w:footnoteRef/>
      </w:r>
      <w:r>
        <w:rPr>
          <w:rtl/>
        </w:rPr>
        <w:t xml:space="preserve"> </w:t>
      </w:r>
      <w:r>
        <w:t xml:space="preserve">Clark Ann Marie (2001), </w:t>
      </w:r>
      <w:r w:rsidRPr="00EA7880">
        <w:rPr>
          <w:b/>
          <w:bCs/>
        </w:rPr>
        <w:t>Diplomacy of Conscience: Amnesty International and Changing Human Rights Norms</w:t>
      </w:r>
      <w:r>
        <w:t>, Princeton University Press, p. 19</w:t>
      </w:r>
    </w:p>
  </w:footnote>
  <w:footnote w:id="246">
    <w:p w:rsidR="009B636F" w:rsidRPr="005911E4" w:rsidRDefault="009B636F" w:rsidP="00397737">
      <w:pPr>
        <w:pStyle w:val="a5"/>
        <w:jc w:val="both"/>
        <w:rPr>
          <w:rtl/>
        </w:rPr>
      </w:pPr>
      <w:r>
        <w:rPr>
          <w:rStyle w:val="a7"/>
        </w:rPr>
        <w:footnoteRef/>
      </w:r>
      <w:r>
        <w:rPr>
          <w:rtl/>
        </w:rPr>
        <w:t xml:space="preserve"> </w:t>
      </w:r>
      <w:r>
        <w:t xml:space="preserve">Tahmindjis Am Phillip (?), The Development of the Lund-London Guidelines on Human Rights Fact Finding: A Brief History, </w:t>
      </w:r>
      <w:r w:rsidRPr="00A60125">
        <w:t>file:///C:/Users/user/Downloads/Lund-London%20Guidelines%20development.pdf</w:t>
      </w:r>
    </w:p>
  </w:footnote>
  <w:footnote w:id="247">
    <w:p w:rsidR="009B636F" w:rsidRPr="004154F0" w:rsidRDefault="009B636F" w:rsidP="00397737">
      <w:pPr>
        <w:pStyle w:val="a5"/>
        <w:jc w:val="both"/>
        <w:rPr>
          <w:rtl/>
        </w:rPr>
      </w:pPr>
      <w:r>
        <w:rPr>
          <w:rStyle w:val="a7"/>
        </w:rPr>
        <w:footnoteRef/>
      </w:r>
      <w:r>
        <w:rPr>
          <w:rtl/>
        </w:rPr>
        <w:t xml:space="preserve"> </w:t>
      </w:r>
      <w:r>
        <w:t xml:space="preserve">Guidelines on International Human Rights Fact-Finding Visits and Reports by Non-Governmental Organisations (The Lund-London Guidelines), International Bar Association, Raoul Wallenberg Institute of Human Rights and Humanitarian Law, available at </w:t>
      </w:r>
      <w:r w:rsidRPr="00622072">
        <w:t>file:///C:/Users/user/Downloads/Lund-London%20Guidelines%202015%20ENGLISH.pdf</w:t>
      </w:r>
    </w:p>
  </w:footnote>
  <w:footnote w:id="248">
    <w:p w:rsidR="009B636F" w:rsidRPr="00066AD7" w:rsidRDefault="009B636F" w:rsidP="00397737">
      <w:pPr>
        <w:pStyle w:val="a5"/>
        <w:jc w:val="both"/>
        <w:rPr>
          <w:rFonts w:cs="David"/>
        </w:rPr>
      </w:pPr>
      <w:r>
        <w:rPr>
          <w:rStyle w:val="a7"/>
        </w:rPr>
        <w:footnoteRef/>
      </w:r>
      <w:r>
        <w:rPr>
          <w:rtl/>
        </w:rPr>
        <w:t xml:space="preserve"> </w:t>
      </w:r>
      <w:r>
        <w:rPr>
          <w:rFonts w:cs="David" w:hint="cs"/>
          <w:rtl/>
        </w:rPr>
        <w:t xml:space="preserve">ראה </w:t>
      </w:r>
      <w:r>
        <w:rPr>
          <w:rFonts w:cs="David"/>
        </w:rPr>
        <w:t>Steinberg Gerald, Herzberg Anne &amp; Berman Jordan (2012), Best Practices for Human Rights and Humanitarian NGO Fact Finding, Leiden, Martinus Nijhof Publishers</w:t>
      </w:r>
    </w:p>
  </w:footnote>
  <w:footnote w:id="249">
    <w:p w:rsidR="009B636F" w:rsidRPr="00AA52DD" w:rsidRDefault="009B636F" w:rsidP="00397737">
      <w:pPr>
        <w:pStyle w:val="a5"/>
        <w:jc w:val="both"/>
        <w:rPr>
          <w:rtl/>
        </w:rPr>
      </w:pPr>
      <w:r>
        <w:rPr>
          <w:rStyle w:val="a7"/>
        </w:rPr>
        <w:footnoteRef/>
      </w:r>
      <w:r>
        <w:rPr>
          <w:rtl/>
        </w:rPr>
        <w:t xml:space="preserve"> </w:t>
      </w:r>
      <w:r w:rsidRPr="007D1702">
        <w:t>International Non-Governmental Organisations Accountability Charter, December 20, 2005, available at http://www.ingoaccountabilitycharter.org/wpcms/wp-content/uploads/INGO_CHARTER_web.pdf</w:t>
      </w:r>
    </w:p>
  </w:footnote>
  <w:footnote w:id="250">
    <w:p w:rsidR="009B636F" w:rsidRPr="009C2FCA" w:rsidRDefault="009B636F" w:rsidP="00397737">
      <w:pPr>
        <w:pStyle w:val="a5"/>
        <w:jc w:val="both"/>
        <w:rPr>
          <w:rFonts w:cs="David"/>
          <w:rtl/>
        </w:rPr>
      </w:pPr>
      <w:r>
        <w:rPr>
          <w:rStyle w:val="a7"/>
        </w:rPr>
        <w:footnoteRef/>
      </w:r>
      <w:r>
        <w:rPr>
          <w:rtl/>
        </w:rPr>
        <w:t xml:space="preserve"> </w:t>
      </w:r>
      <w:r>
        <w:rPr>
          <w:rFonts w:cs="David" w:hint="cs"/>
          <w:rtl/>
        </w:rPr>
        <w:t xml:space="preserve">ראה </w:t>
      </w:r>
      <w:r>
        <w:rPr>
          <w:rFonts w:cs="David"/>
        </w:rPr>
        <w:t xml:space="preserve">Public Hearings, </w:t>
      </w:r>
      <w:r w:rsidRPr="00410A0E">
        <w:rPr>
          <w:rFonts w:eastAsia="Times New Roman" w:cs="Times New Roman"/>
        </w:rPr>
        <w:t>United Nations Fact Finding Mission on the Gaza conflict, http://www.ohchr.org/EN/HRBodies/HRC/SpecialSessions/Session9/Pages/FactFindingMission.aspx</w:t>
      </w:r>
      <w:r>
        <w:rPr>
          <w:rFonts w:cs="David"/>
        </w:rPr>
        <w:t xml:space="preserve"> </w:t>
      </w:r>
    </w:p>
  </w:footnote>
  <w:footnote w:id="251">
    <w:p w:rsidR="009B636F" w:rsidRDefault="009B636F" w:rsidP="00397737">
      <w:pPr>
        <w:pStyle w:val="a5"/>
        <w:jc w:val="both"/>
      </w:pPr>
      <w:r>
        <w:rPr>
          <w:rStyle w:val="a7"/>
        </w:rPr>
        <w:footnoteRef/>
      </w:r>
      <w:r>
        <w:rPr>
          <w:rtl/>
        </w:rPr>
        <w:t xml:space="preserve"> </w:t>
      </w:r>
      <w:r>
        <w:t>The Draft Model Rules of Fact-Finding Procedure for UN Bodies Dealing with Violations of Human Rights, issued in 1970 by the Secretary General and adopted in 1974 by the UN Economic and Social Council</w:t>
      </w:r>
    </w:p>
  </w:footnote>
  <w:footnote w:id="252">
    <w:p w:rsidR="009B636F" w:rsidRPr="002E0B7E" w:rsidRDefault="009B636F" w:rsidP="00397737">
      <w:pPr>
        <w:pStyle w:val="a5"/>
        <w:jc w:val="both"/>
        <w:rPr>
          <w:rtl/>
        </w:rPr>
      </w:pPr>
      <w:r>
        <w:rPr>
          <w:rStyle w:val="a7"/>
        </w:rPr>
        <w:footnoteRef/>
      </w:r>
      <w:r>
        <w:rPr>
          <w:rtl/>
        </w:rPr>
        <w:t xml:space="preserve"> </w:t>
      </w:r>
      <w:r>
        <w:t xml:space="preserve">The Belgrade Minimal Rules of Procedure for International Human Rights Fact-Finding Missions, Adopted at the Belgrade Session of the International Law Association in 1980, available at </w:t>
      </w:r>
      <w:r w:rsidRPr="00BA2111">
        <w:t>http://www3.nd.edu/~sobrien2/the_belgrade_minimum_rules_o.pdf</w:t>
      </w:r>
    </w:p>
  </w:footnote>
  <w:footnote w:id="253">
    <w:p w:rsidR="009B636F" w:rsidRPr="00074AC7" w:rsidRDefault="009B636F" w:rsidP="00397737">
      <w:pPr>
        <w:pStyle w:val="a5"/>
        <w:jc w:val="both"/>
      </w:pPr>
      <w:r>
        <w:rPr>
          <w:rStyle w:val="a7"/>
        </w:rPr>
        <w:footnoteRef/>
      </w:r>
      <w:r>
        <w:rPr>
          <w:rtl/>
        </w:rPr>
        <w:t xml:space="preserve"> </w:t>
      </w:r>
      <w:r w:rsidRPr="00074AC7">
        <w:t>Rules of the International Humanitarian Fact-Finding Commission</w:t>
      </w:r>
      <w:r>
        <w:rPr>
          <w:rStyle w:val="apple-converted-space"/>
          <w:rFonts w:ascii="Arial" w:hAnsi="Arial" w:cs="Arial"/>
          <w:b/>
          <w:bCs/>
          <w:color w:val="63676B"/>
          <w:sz w:val="9"/>
          <w:szCs w:val="9"/>
          <w:bdr w:val="none" w:sz="0" w:space="0" w:color="auto" w:frame="1"/>
          <w:shd w:val="clear" w:color="auto" w:fill="FFFFFF"/>
        </w:rPr>
        <w:t> </w:t>
      </w:r>
      <w:r w:rsidRPr="00074AC7">
        <w:br/>
        <w:t>(as adopted by the Commission on 8 July 1992 in Berne and</w:t>
      </w:r>
      <w:r w:rsidRPr="00074AC7">
        <w:br/>
        <w:t>amended on 11 March 2003, 13 February 2009, 11 February 2011 and 26 March 2014 in Geneva)</w:t>
      </w:r>
      <w:r>
        <w:t xml:space="preserve">, available at </w:t>
      </w:r>
      <w:r w:rsidRPr="00074AC7">
        <w:t>http://www.ihffc.org/index.asp?page=rules_of_commission</w:t>
      </w:r>
    </w:p>
  </w:footnote>
  <w:footnote w:id="254">
    <w:p w:rsidR="009B636F" w:rsidRDefault="009B636F" w:rsidP="00397737">
      <w:pPr>
        <w:pStyle w:val="a5"/>
        <w:jc w:val="both"/>
        <w:rPr>
          <w:rtl/>
        </w:rPr>
      </w:pPr>
      <w:r>
        <w:rPr>
          <w:rStyle w:val="a7"/>
        </w:rPr>
        <w:footnoteRef/>
      </w:r>
      <w:r>
        <w:rPr>
          <w:rtl/>
        </w:rPr>
        <w:t xml:space="preserve"> </w:t>
      </w:r>
      <w:r>
        <w:t>Guidelines for the Conduct of UN Inquiries into Allegations of Massacres (1995) – DPI/1710</w:t>
      </w:r>
    </w:p>
  </w:footnote>
  <w:footnote w:id="255">
    <w:p w:rsidR="009B636F" w:rsidRDefault="009B636F" w:rsidP="00397737">
      <w:pPr>
        <w:pStyle w:val="a5"/>
        <w:jc w:val="both"/>
      </w:pPr>
      <w:r>
        <w:rPr>
          <w:rStyle w:val="a7"/>
        </w:rPr>
        <w:footnoteRef/>
      </w:r>
      <w:r>
        <w:rPr>
          <w:rtl/>
        </w:rPr>
        <w:t xml:space="preserve"> </w:t>
      </w:r>
      <w:r>
        <w:t xml:space="preserve">Bassiouni Cherif and Abraham Christina (2013), </w:t>
      </w:r>
      <w:r w:rsidRPr="00BA2111">
        <w:t>Siracusa Guidelines for International, Regional and National Fact-Finding Bodies</w:t>
      </w:r>
      <w:r>
        <w:t>, International Institute of Higher Studies in Criminal Sciences, Intersentia</w:t>
      </w:r>
    </w:p>
  </w:footnote>
  <w:footnote w:id="256">
    <w:p w:rsidR="009B636F" w:rsidRDefault="009B636F" w:rsidP="006D633D">
      <w:pPr>
        <w:pStyle w:val="a5"/>
        <w:jc w:val="both"/>
        <w:rPr>
          <w:rtl/>
        </w:rPr>
      </w:pPr>
      <w:r>
        <w:rPr>
          <w:rStyle w:val="a7"/>
        </w:rPr>
        <w:footnoteRef/>
      </w:r>
      <w:r>
        <w:rPr>
          <w:rtl/>
        </w:rPr>
        <w:t xml:space="preserve"> </w:t>
      </w:r>
      <w:r w:rsidRPr="00BC5059">
        <w:rPr>
          <w:rFonts w:cs="David" w:hint="cs"/>
          <w:rtl/>
        </w:rPr>
        <w:t xml:space="preserve">ראה ה"ש </w:t>
      </w:r>
      <w:r>
        <w:rPr>
          <w:rFonts w:cs="David"/>
          <w:rtl/>
        </w:rPr>
        <w:fldChar w:fldCharType="begin"/>
      </w:r>
      <w:r>
        <w:rPr>
          <w:rFonts w:cs="David"/>
          <w:rtl/>
        </w:rPr>
        <w:instrText xml:space="preserve"> </w:instrText>
      </w:r>
      <w:r>
        <w:rPr>
          <w:rFonts w:cs="David" w:hint="cs"/>
        </w:rPr>
        <w:instrText>NOTEREF</w:instrText>
      </w:r>
      <w:r>
        <w:rPr>
          <w:rFonts w:cs="David" w:hint="cs"/>
          <w:rtl/>
        </w:rPr>
        <w:instrText xml:space="preserve"> _</w:instrText>
      </w:r>
      <w:r>
        <w:rPr>
          <w:rFonts w:cs="David" w:hint="cs"/>
        </w:rPr>
        <w:instrText>Ref450801583 \h</w:instrText>
      </w:r>
      <w:r>
        <w:rPr>
          <w:rFonts w:cs="David"/>
          <w:rtl/>
        </w:rPr>
        <w:instrText xml:space="preserve"> </w:instrText>
      </w:r>
      <w:r>
        <w:rPr>
          <w:rFonts w:cs="David"/>
          <w:rtl/>
        </w:rPr>
      </w:r>
      <w:r>
        <w:rPr>
          <w:rFonts w:cs="David"/>
          <w:rtl/>
        </w:rPr>
        <w:fldChar w:fldCharType="separate"/>
      </w:r>
      <w:r>
        <w:rPr>
          <w:rFonts w:cs="David"/>
          <w:rtl/>
        </w:rPr>
        <w:t>189</w:t>
      </w:r>
      <w:r>
        <w:rPr>
          <w:rFonts w:cs="David"/>
          <w:rtl/>
        </w:rPr>
        <w:fldChar w:fldCharType="end"/>
      </w:r>
      <w:r>
        <w:rPr>
          <w:rFonts w:cs="David" w:hint="cs"/>
          <w:rtl/>
        </w:rPr>
        <w:t xml:space="preserve"> </w:t>
      </w:r>
      <w:r w:rsidRPr="00BC5059">
        <w:rPr>
          <w:rFonts w:cs="David" w:hint="cs"/>
          <w:rtl/>
        </w:rPr>
        <w:t>לעיל.</w:t>
      </w:r>
    </w:p>
  </w:footnote>
  <w:footnote w:id="257">
    <w:p w:rsidR="009B636F" w:rsidRPr="00A87372" w:rsidRDefault="009B636F" w:rsidP="006D633D">
      <w:pPr>
        <w:pStyle w:val="a5"/>
        <w:jc w:val="both"/>
        <w:rPr>
          <w:rFonts w:cs="David"/>
        </w:rPr>
      </w:pPr>
      <w:r w:rsidRPr="00BC5059">
        <w:rPr>
          <w:rStyle w:val="a7"/>
        </w:rPr>
        <w:footnoteRef/>
      </w:r>
      <w:r w:rsidRPr="00BC5059">
        <w:rPr>
          <w:rtl/>
        </w:rPr>
        <w:t xml:space="preserve"> </w:t>
      </w:r>
      <w:r w:rsidRPr="00BC5059">
        <w:rPr>
          <w:rFonts w:cs="David" w:hint="cs"/>
          <w:rtl/>
        </w:rPr>
        <w:t xml:space="preserve">ראה ה"ש </w:t>
      </w:r>
      <w:r>
        <w:rPr>
          <w:rFonts w:cs="David"/>
          <w:rtl/>
        </w:rPr>
        <w:fldChar w:fldCharType="begin"/>
      </w:r>
      <w:r>
        <w:rPr>
          <w:rFonts w:cs="David"/>
          <w:rtl/>
        </w:rPr>
        <w:instrText xml:space="preserve"> </w:instrText>
      </w:r>
      <w:r>
        <w:rPr>
          <w:rFonts w:cs="David" w:hint="cs"/>
        </w:rPr>
        <w:instrText>NOTEREF</w:instrText>
      </w:r>
      <w:r>
        <w:rPr>
          <w:rFonts w:cs="David" w:hint="cs"/>
          <w:rtl/>
        </w:rPr>
        <w:instrText xml:space="preserve"> _</w:instrText>
      </w:r>
      <w:r>
        <w:rPr>
          <w:rFonts w:cs="David" w:hint="cs"/>
        </w:rPr>
        <w:instrText>Ref454836804 \h</w:instrText>
      </w:r>
      <w:r>
        <w:rPr>
          <w:rFonts w:cs="David"/>
          <w:rtl/>
        </w:rPr>
        <w:instrText xml:space="preserve"> </w:instrText>
      </w:r>
      <w:r>
        <w:rPr>
          <w:rFonts w:cs="David"/>
          <w:rtl/>
        </w:rPr>
      </w:r>
      <w:r>
        <w:rPr>
          <w:rFonts w:cs="David"/>
          <w:rtl/>
        </w:rPr>
        <w:fldChar w:fldCharType="separate"/>
      </w:r>
      <w:r>
        <w:rPr>
          <w:rFonts w:cs="David"/>
          <w:rtl/>
        </w:rPr>
        <w:t>33</w:t>
      </w:r>
      <w:r>
        <w:rPr>
          <w:rFonts w:cs="David"/>
          <w:rtl/>
        </w:rPr>
        <w:fldChar w:fldCharType="end"/>
      </w:r>
      <w:r>
        <w:rPr>
          <w:rFonts w:cs="David" w:hint="cs"/>
          <w:rtl/>
        </w:rPr>
        <w:t xml:space="preserve"> </w:t>
      </w:r>
      <w:r w:rsidRPr="00BC5059">
        <w:rPr>
          <w:rFonts w:cs="David" w:hint="cs"/>
          <w:rtl/>
        </w:rPr>
        <w:t>לעיל.</w:t>
      </w:r>
    </w:p>
  </w:footnote>
  <w:footnote w:id="258">
    <w:p w:rsidR="009B636F" w:rsidRDefault="009B636F" w:rsidP="00397737">
      <w:pPr>
        <w:pStyle w:val="a5"/>
        <w:jc w:val="both"/>
      </w:pPr>
      <w:r>
        <w:rPr>
          <w:rStyle w:val="a7"/>
        </w:rPr>
        <w:footnoteRef/>
      </w:r>
      <w:r>
        <w:rPr>
          <w:rtl/>
        </w:rPr>
        <w:t xml:space="preserve"> </w:t>
      </w:r>
      <w:r>
        <w:t xml:space="preserve">The Princeton Principles on Universal Jurisdiction, Princeton Project on Universal Jurisdiction, 2001, available at </w:t>
      </w:r>
      <w:r w:rsidRPr="00CC59AD">
        <w:t>https://lapa.princeton.edu/hosteddocs/unive_jur.pdf</w:t>
      </w:r>
    </w:p>
  </w:footnote>
  <w:footnote w:id="259">
    <w:p w:rsidR="009B636F" w:rsidRPr="00BC5059" w:rsidRDefault="009B636F" w:rsidP="00397737">
      <w:pPr>
        <w:pStyle w:val="a5"/>
        <w:jc w:val="both"/>
        <w:rPr>
          <w:rFonts w:cs="David"/>
          <w:rtl/>
        </w:rPr>
      </w:pPr>
      <w:r>
        <w:rPr>
          <w:rStyle w:val="a7"/>
        </w:rPr>
        <w:footnoteRef/>
      </w:r>
      <w:r>
        <w:rPr>
          <w:rtl/>
        </w:rPr>
        <w:t xml:space="preserve"> </w:t>
      </w:r>
      <w:r>
        <w:rPr>
          <w:rFonts w:cs="David" w:hint="cs"/>
          <w:rtl/>
        </w:rPr>
        <w:t xml:space="preserve">ראה לדוגמה </w:t>
      </w:r>
      <w:hyperlink r:id="rId30" w:history="1">
        <w:r w:rsidRPr="00BC5059">
          <w:t>Society of Professional Journalists</w:t>
        </w:r>
      </w:hyperlink>
      <w:r w:rsidRPr="00BC5059">
        <w:rPr>
          <w:shd w:val="clear" w:color="auto" w:fill="FFFFFF"/>
        </w:rPr>
        <w:t xml:space="preserve"> </w:t>
      </w:r>
      <w:r w:rsidRPr="007A5B4F">
        <w:rPr>
          <w:shd w:val="clear" w:color="auto" w:fill="FFFFFF"/>
        </w:rPr>
        <w:t>Code of Ethics, http://www.spj.org/ethicscode.asp</w:t>
      </w:r>
      <w:r>
        <w:rPr>
          <w:rFonts w:hint="cs"/>
          <w:shd w:val="clear" w:color="auto" w:fill="FFFFFF"/>
          <w:rtl/>
        </w:rPr>
        <w:t>.</w:t>
      </w:r>
    </w:p>
  </w:footnote>
  <w:footnote w:id="260">
    <w:p w:rsidR="009B636F" w:rsidRDefault="009B636F" w:rsidP="006D633D">
      <w:pPr>
        <w:pStyle w:val="a5"/>
        <w:jc w:val="both"/>
      </w:pPr>
      <w:r>
        <w:rPr>
          <w:rStyle w:val="a7"/>
        </w:rPr>
        <w:footnoteRef/>
      </w:r>
      <w:r>
        <w:rPr>
          <w:rtl/>
        </w:rPr>
        <w:t xml:space="preserve"> </w:t>
      </w:r>
      <w:r w:rsidRPr="00D44503">
        <w:rPr>
          <w:rFonts w:cs="David" w:hint="cs"/>
          <w:rtl/>
        </w:rPr>
        <w:t>ראה</w:t>
      </w:r>
      <w:r w:rsidRPr="00D44503">
        <w:rPr>
          <w:rFonts w:cs="David"/>
          <w:rtl/>
        </w:rPr>
        <w:t xml:space="preserve"> </w:t>
      </w:r>
      <w:r w:rsidRPr="00D44503">
        <w:rPr>
          <w:rFonts w:cs="David" w:hint="cs"/>
          <w:rtl/>
        </w:rPr>
        <w:t>ה</w:t>
      </w:r>
      <w:r w:rsidRPr="00D44503">
        <w:rPr>
          <w:rFonts w:cs="David"/>
          <w:rtl/>
        </w:rPr>
        <w:t>"</w:t>
      </w:r>
      <w:r w:rsidRPr="00D44503">
        <w:rPr>
          <w:rFonts w:cs="David" w:hint="cs"/>
          <w:rtl/>
        </w:rPr>
        <w:t>ש</w:t>
      </w:r>
      <w:r w:rsidRPr="00D44503">
        <w:rPr>
          <w:rFonts w:cs="David"/>
          <w:rtl/>
        </w:rPr>
        <w:t xml:space="preserve"> </w:t>
      </w:r>
      <w:r>
        <w:rPr>
          <w:rFonts w:cs="David"/>
          <w:rtl/>
        </w:rPr>
        <w:fldChar w:fldCharType="begin"/>
      </w:r>
      <w:r>
        <w:rPr>
          <w:rFonts w:cs="David"/>
          <w:rtl/>
        </w:rPr>
        <w:instrText xml:space="preserve"> </w:instrText>
      </w:r>
      <w:r>
        <w:rPr>
          <w:rFonts w:cs="David" w:hint="cs"/>
        </w:rPr>
        <w:instrText>NOTEREF</w:instrText>
      </w:r>
      <w:r>
        <w:rPr>
          <w:rFonts w:cs="David" w:hint="cs"/>
          <w:rtl/>
        </w:rPr>
        <w:instrText xml:space="preserve"> _</w:instrText>
      </w:r>
      <w:r>
        <w:rPr>
          <w:rFonts w:cs="David" w:hint="cs"/>
        </w:rPr>
        <w:instrText>Ref454836804 \h</w:instrText>
      </w:r>
      <w:r>
        <w:rPr>
          <w:rFonts w:cs="David"/>
          <w:rtl/>
        </w:rPr>
        <w:instrText xml:space="preserve"> </w:instrText>
      </w:r>
      <w:r>
        <w:rPr>
          <w:rFonts w:cs="David"/>
          <w:rtl/>
        </w:rPr>
      </w:r>
      <w:r>
        <w:rPr>
          <w:rFonts w:cs="David"/>
          <w:rtl/>
        </w:rPr>
        <w:fldChar w:fldCharType="separate"/>
      </w:r>
      <w:r>
        <w:rPr>
          <w:rFonts w:cs="David"/>
          <w:rtl/>
        </w:rPr>
        <w:t>33</w:t>
      </w:r>
      <w:r>
        <w:rPr>
          <w:rFonts w:cs="David"/>
          <w:rtl/>
        </w:rPr>
        <w:fldChar w:fldCharType="end"/>
      </w:r>
      <w:r>
        <w:rPr>
          <w:rFonts w:cs="David" w:hint="cs"/>
          <w:rtl/>
        </w:rPr>
        <w:t xml:space="preserve"> </w:t>
      </w:r>
      <w:r w:rsidRPr="00D44503">
        <w:rPr>
          <w:rFonts w:cs="David" w:hint="cs"/>
          <w:rtl/>
        </w:rPr>
        <w:t>לעיל</w:t>
      </w:r>
      <w:r w:rsidRPr="00D44503">
        <w:rPr>
          <w:rFonts w:cs="David"/>
          <w:rtl/>
        </w:rPr>
        <w:t>.</w:t>
      </w:r>
    </w:p>
  </w:footnote>
  <w:footnote w:id="261">
    <w:p w:rsidR="009B636F" w:rsidRPr="00E92CA4" w:rsidRDefault="009B636F" w:rsidP="006D633D">
      <w:pPr>
        <w:pStyle w:val="a5"/>
        <w:jc w:val="both"/>
        <w:rPr>
          <w:rFonts w:cs="David"/>
          <w:rtl/>
        </w:rPr>
      </w:pPr>
      <w:r>
        <w:rPr>
          <w:rStyle w:val="a7"/>
        </w:rPr>
        <w:footnoteRef/>
      </w:r>
      <w:r>
        <w:rPr>
          <w:rtl/>
        </w:rPr>
        <w:t xml:space="preserve"> </w:t>
      </w:r>
      <w:r>
        <w:rPr>
          <w:rFonts w:cs="David" w:hint="cs"/>
          <w:rtl/>
        </w:rPr>
        <w:t xml:space="preserve">ראה לדוגמה דוח </w:t>
      </w:r>
      <w:r>
        <w:rPr>
          <w:rFonts w:cs="David" w:hint="cs"/>
        </w:rPr>
        <w:t>HLMG</w:t>
      </w:r>
      <w:r>
        <w:rPr>
          <w:rFonts w:cs="David" w:hint="cs"/>
          <w:rtl/>
        </w:rPr>
        <w:t xml:space="preserve">, ה"ש </w:t>
      </w:r>
      <w:r>
        <w:rPr>
          <w:rFonts w:cs="David"/>
          <w:rtl/>
        </w:rPr>
        <w:fldChar w:fldCharType="begin"/>
      </w:r>
      <w:r>
        <w:rPr>
          <w:rFonts w:cs="David"/>
          <w:rtl/>
        </w:rPr>
        <w:instrText xml:space="preserve"> </w:instrText>
      </w:r>
      <w:r>
        <w:rPr>
          <w:rFonts w:cs="David" w:hint="cs"/>
        </w:rPr>
        <w:instrText>NOTEREF</w:instrText>
      </w:r>
      <w:r>
        <w:rPr>
          <w:rFonts w:cs="David" w:hint="cs"/>
          <w:rtl/>
        </w:rPr>
        <w:instrText xml:space="preserve"> _</w:instrText>
      </w:r>
      <w:r>
        <w:rPr>
          <w:rFonts w:cs="David" w:hint="cs"/>
        </w:rPr>
        <w:instrText>Ref450922147 \h</w:instrText>
      </w:r>
      <w:r>
        <w:rPr>
          <w:rFonts w:cs="David"/>
          <w:rtl/>
        </w:rPr>
        <w:instrText xml:space="preserve"> </w:instrText>
      </w:r>
      <w:r>
        <w:rPr>
          <w:rFonts w:cs="David"/>
          <w:rtl/>
        </w:rPr>
      </w:r>
      <w:r>
        <w:rPr>
          <w:rFonts w:cs="David"/>
          <w:rtl/>
        </w:rPr>
        <w:fldChar w:fldCharType="separate"/>
      </w:r>
      <w:r>
        <w:rPr>
          <w:rFonts w:cs="David"/>
          <w:rtl/>
        </w:rPr>
        <w:t>129</w:t>
      </w:r>
      <w:r>
        <w:rPr>
          <w:rFonts w:cs="David"/>
          <w:rtl/>
        </w:rPr>
        <w:fldChar w:fldCharType="end"/>
      </w:r>
      <w:r>
        <w:rPr>
          <w:rFonts w:cs="David" w:hint="cs"/>
          <w:rtl/>
        </w:rPr>
        <w:t xml:space="preserve"> לעיל.</w:t>
      </w:r>
    </w:p>
  </w:footnote>
  <w:footnote w:id="262">
    <w:p w:rsidR="009B636F" w:rsidRPr="00F90E27" w:rsidRDefault="009B636F" w:rsidP="001975C2">
      <w:pPr>
        <w:pStyle w:val="a5"/>
        <w:jc w:val="both"/>
        <w:rPr>
          <w:rFonts w:cs="David"/>
        </w:rPr>
      </w:pPr>
      <w:r>
        <w:rPr>
          <w:rStyle w:val="a7"/>
        </w:rPr>
        <w:footnoteRef/>
      </w:r>
      <w:r>
        <w:rPr>
          <w:rtl/>
        </w:rPr>
        <w:t xml:space="preserve"> </w:t>
      </w:r>
      <w:r>
        <w:rPr>
          <w:rFonts w:cs="David" w:hint="cs"/>
          <w:rtl/>
        </w:rPr>
        <w:t xml:space="preserve">ראה נספח לדוח </w:t>
      </w:r>
      <w:r>
        <w:rPr>
          <w:rFonts w:cs="David" w:hint="cs"/>
        </w:rPr>
        <w:t>HLMG</w:t>
      </w:r>
      <w:r>
        <w:rPr>
          <w:rFonts w:cs="David" w:hint="cs"/>
          <w:rtl/>
        </w:rPr>
        <w:t xml:space="preserve">, ה"ש </w:t>
      </w:r>
      <w:r>
        <w:rPr>
          <w:rFonts w:cs="David"/>
          <w:rtl/>
        </w:rPr>
        <w:fldChar w:fldCharType="begin"/>
      </w:r>
      <w:r>
        <w:rPr>
          <w:rFonts w:cs="David"/>
          <w:rtl/>
        </w:rPr>
        <w:instrText xml:space="preserve"> </w:instrText>
      </w:r>
      <w:r>
        <w:rPr>
          <w:rFonts w:cs="David" w:hint="cs"/>
        </w:rPr>
        <w:instrText>NOTEREF</w:instrText>
      </w:r>
      <w:r>
        <w:rPr>
          <w:rFonts w:cs="David" w:hint="cs"/>
          <w:rtl/>
        </w:rPr>
        <w:instrText xml:space="preserve"> _</w:instrText>
      </w:r>
      <w:r>
        <w:rPr>
          <w:rFonts w:cs="David" w:hint="cs"/>
        </w:rPr>
        <w:instrText>Ref450922147 \h</w:instrText>
      </w:r>
      <w:r>
        <w:rPr>
          <w:rFonts w:cs="David"/>
          <w:rtl/>
        </w:rPr>
        <w:instrText xml:space="preserve"> </w:instrText>
      </w:r>
      <w:r>
        <w:rPr>
          <w:rFonts w:cs="David"/>
          <w:rtl/>
        </w:rPr>
      </w:r>
      <w:r>
        <w:rPr>
          <w:rFonts w:cs="David"/>
          <w:rtl/>
        </w:rPr>
        <w:fldChar w:fldCharType="separate"/>
      </w:r>
      <w:r>
        <w:rPr>
          <w:rFonts w:cs="David"/>
          <w:rtl/>
        </w:rPr>
        <w:t>129</w:t>
      </w:r>
      <w:r>
        <w:rPr>
          <w:rFonts w:cs="David"/>
          <w:rtl/>
        </w:rPr>
        <w:fldChar w:fldCharType="end"/>
      </w:r>
      <w:r>
        <w:rPr>
          <w:rFonts w:cs="David" w:hint="cs"/>
          <w:rtl/>
        </w:rPr>
        <w:t>, עמוד 150</w:t>
      </w:r>
    </w:p>
  </w:footnote>
  <w:footnote w:id="263">
    <w:p w:rsidR="009B636F" w:rsidRPr="00B665A2" w:rsidRDefault="009B636F" w:rsidP="00570378">
      <w:pPr>
        <w:pStyle w:val="a5"/>
        <w:jc w:val="both"/>
        <w:rPr>
          <w:rFonts w:cs="David"/>
          <w:rtl/>
        </w:rPr>
      </w:pPr>
      <w:r>
        <w:rPr>
          <w:rStyle w:val="a7"/>
        </w:rPr>
        <w:footnoteRef/>
      </w:r>
      <w:r>
        <w:rPr>
          <w:rtl/>
        </w:rPr>
        <w:t xml:space="preserve"> </w:t>
      </w:r>
      <w:r>
        <w:rPr>
          <w:rFonts w:cs="David" w:hint="cs"/>
          <w:rtl/>
        </w:rPr>
        <w:t>ראה דיון לעיל בחלק הנוגע לנוסח המנדט בפרק השיקולים הפרטניים לשיתוף פעולה עם ועדות חקירה בינלאומיות.</w:t>
      </w:r>
    </w:p>
  </w:footnote>
  <w:footnote w:id="264">
    <w:p w:rsidR="009B636F" w:rsidRDefault="009B636F" w:rsidP="001B67E3">
      <w:pPr>
        <w:pStyle w:val="a5"/>
        <w:jc w:val="both"/>
        <w:rPr>
          <w:rtl/>
        </w:rPr>
      </w:pPr>
      <w:r>
        <w:rPr>
          <w:rStyle w:val="a7"/>
        </w:rPr>
        <w:footnoteRef/>
      </w:r>
      <w:r>
        <w:rPr>
          <w:rtl/>
        </w:rPr>
        <w:t xml:space="preserve"> </w:t>
      </w:r>
      <w:r w:rsidRPr="00A00437">
        <w:rPr>
          <w:rFonts w:cs="David" w:hint="cs"/>
          <w:rtl/>
        </w:rPr>
        <w:t>ראה דוח גולדסטון, ה"ש</w:t>
      </w:r>
      <w:r>
        <w:rPr>
          <w:rFonts w:cs="David" w:hint="cs"/>
          <w:rtl/>
        </w:rPr>
        <w:t xml:space="preserve"> </w:t>
      </w:r>
      <w:r>
        <w:rPr>
          <w:rFonts w:cs="David"/>
          <w:rtl/>
        </w:rPr>
        <w:fldChar w:fldCharType="begin"/>
      </w:r>
      <w:r>
        <w:rPr>
          <w:rFonts w:cs="David"/>
          <w:rtl/>
        </w:rPr>
        <w:instrText xml:space="preserve"> </w:instrText>
      </w:r>
      <w:r>
        <w:rPr>
          <w:rFonts w:cs="David" w:hint="cs"/>
        </w:rPr>
        <w:instrText>NOTEREF</w:instrText>
      </w:r>
      <w:r>
        <w:rPr>
          <w:rFonts w:cs="David" w:hint="cs"/>
          <w:rtl/>
        </w:rPr>
        <w:instrText xml:space="preserve"> _</w:instrText>
      </w:r>
      <w:r>
        <w:rPr>
          <w:rFonts w:cs="David" w:hint="cs"/>
        </w:rPr>
        <w:instrText>Ref454786290 \h</w:instrText>
      </w:r>
      <w:r>
        <w:rPr>
          <w:rFonts w:cs="David"/>
          <w:rtl/>
        </w:rPr>
        <w:instrText xml:space="preserve"> </w:instrText>
      </w:r>
      <w:r>
        <w:rPr>
          <w:rFonts w:cs="David"/>
          <w:rtl/>
        </w:rPr>
      </w:r>
      <w:r>
        <w:rPr>
          <w:rFonts w:cs="David"/>
          <w:rtl/>
        </w:rPr>
        <w:fldChar w:fldCharType="separate"/>
      </w:r>
      <w:r>
        <w:rPr>
          <w:rFonts w:cs="David"/>
          <w:rtl/>
        </w:rPr>
        <w:t>315</w:t>
      </w:r>
      <w:r>
        <w:rPr>
          <w:rFonts w:cs="David"/>
          <w:rtl/>
        </w:rPr>
        <w:fldChar w:fldCharType="end"/>
      </w:r>
      <w:r w:rsidRPr="00A00437">
        <w:rPr>
          <w:rFonts w:cs="David" w:hint="cs"/>
          <w:rtl/>
        </w:rPr>
        <w:t xml:space="preserve">, נספח </w:t>
      </w:r>
      <w:r w:rsidRPr="00A00437">
        <w:rPr>
          <w:rFonts w:cs="David" w:hint="cs"/>
        </w:rPr>
        <w:t>III</w:t>
      </w:r>
      <w:r w:rsidRPr="00A00437">
        <w:rPr>
          <w:rFonts w:cs="David" w:hint="cs"/>
          <w:rtl/>
        </w:rPr>
        <w:t>, עמוד 451</w:t>
      </w:r>
    </w:p>
  </w:footnote>
  <w:footnote w:id="265">
    <w:p w:rsidR="009B636F" w:rsidRPr="00D80B75" w:rsidRDefault="009B636F" w:rsidP="00397737">
      <w:pPr>
        <w:pStyle w:val="a5"/>
        <w:jc w:val="both"/>
      </w:pPr>
      <w:r>
        <w:rPr>
          <w:rStyle w:val="a7"/>
        </w:rPr>
        <w:footnoteRef/>
      </w:r>
      <w:r>
        <w:rPr>
          <w:rtl/>
        </w:rPr>
        <w:t xml:space="preserve"> </w:t>
      </w:r>
      <w:r w:rsidRPr="00A35AC0">
        <w:t xml:space="preserve">Report of the independent commission of inquiry established pursuant to Human Rights Council resolution S-21/1, </w:t>
      </w:r>
      <w:r w:rsidRPr="00A35AC0">
        <w:rPr>
          <w:bCs/>
        </w:rPr>
        <w:t xml:space="preserve">Human Rights Council, </w:t>
      </w:r>
      <w:r w:rsidRPr="00A35AC0">
        <w:t>A/HRC/29/52, available at http://www.ohchr.org/Documents/HRBodies/HRCouncil/CoIGaza/A-HRC-29-52_en.doc</w:t>
      </w:r>
      <w:r>
        <w:t>, Annex III, pp. 31-33</w:t>
      </w:r>
    </w:p>
  </w:footnote>
  <w:footnote w:id="266">
    <w:p w:rsidR="009B636F" w:rsidRPr="00F70CE2" w:rsidRDefault="009B636F" w:rsidP="00397737">
      <w:pPr>
        <w:pStyle w:val="a5"/>
        <w:jc w:val="both"/>
        <w:rPr>
          <w:rFonts w:cs="David"/>
          <w:rtl/>
        </w:rPr>
      </w:pPr>
      <w:r>
        <w:rPr>
          <w:rStyle w:val="a7"/>
        </w:rPr>
        <w:footnoteRef/>
      </w:r>
      <w:r>
        <w:rPr>
          <w:rtl/>
        </w:rPr>
        <w:t xml:space="preserve"> </w:t>
      </w:r>
      <w:r>
        <w:t xml:space="preserve">The Operation in Gaza 27 December 2008 – 18 January 2009, Factual and Legal Aspects, The State of Israel, July 2009, available at </w:t>
      </w:r>
      <w:r w:rsidRPr="00A01640">
        <w:t>http://www.mfa.gov.il/MFA_Graphics/MFA%20Gallery/Documents/GazaOperation%20w%20Links.pdf</w:t>
      </w:r>
      <w:r>
        <w:rPr>
          <w:rFonts w:hint="cs"/>
          <w:rtl/>
        </w:rPr>
        <w:t xml:space="preserve">; </w:t>
      </w:r>
      <w:r w:rsidRPr="0028638E">
        <w:rPr>
          <w:rFonts w:cs="David" w:hint="cs"/>
          <w:rtl/>
        </w:rPr>
        <w:t>וכן עדכו</w:t>
      </w:r>
      <w:r>
        <w:rPr>
          <w:rFonts w:cs="David" w:hint="cs"/>
          <w:rtl/>
        </w:rPr>
        <w:t>ן ראשו</w:t>
      </w:r>
      <w:r w:rsidRPr="0028638E">
        <w:rPr>
          <w:rFonts w:cs="David" w:hint="cs"/>
          <w:rtl/>
        </w:rPr>
        <w:t>ן</w:t>
      </w:r>
      <w:r>
        <w:rPr>
          <w:rFonts w:cs="David" w:hint="cs"/>
          <w:rtl/>
        </w:rPr>
        <w:t xml:space="preserve">: </w:t>
      </w:r>
      <w:r>
        <w:t xml:space="preserve">Gaza Operation Investigations: An Update, The State of Israel, January 2010, available at </w:t>
      </w:r>
      <w:r w:rsidRPr="00A01640">
        <w:t>http://mfa.gov.il/MFA_Graphics/MFA%20Gallery/Documents/GazaOperationInvestigationsUpdate.pd</w:t>
      </w:r>
      <w:r w:rsidRPr="00F70CE2">
        <w:t>f</w:t>
      </w:r>
      <w:r w:rsidRPr="00F70CE2">
        <w:rPr>
          <w:rFonts w:cs="David" w:hint="cs"/>
          <w:rtl/>
        </w:rPr>
        <w:t xml:space="preserve">; ועדכון שני: </w:t>
      </w:r>
      <w:r w:rsidRPr="00F70CE2">
        <w:t>Gaza Operation Investigations: Second Update, The State of Israel, July 2010, available at http://www.mfa.gov.il/MFA_Graphics/MFA%20Gallery/Documents/GazaUpdateJuly2010.pdf</w:t>
      </w:r>
    </w:p>
  </w:footnote>
  <w:footnote w:id="267">
    <w:p w:rsidR="009B636F" w:rsidRPr="00F70CE2" w:rsidRDefault="009B636F" w:rsidP="00397737">
      <w:pPr>
        <w:pStyle w:val="a5"/>
        <w:jc w:val="both"/>
        <w:rPr>
          <w:rtl/>
        </w:rPr>
      </w:pPr>
      <w:r w:rsidRPr="00F70CE2">
        <w:rPr>
          <w:rStyle w:val="a7"/>
        </w:rPr>
        <w:footnoteRef/>
      </w:r>
      <w:r w:rsidRPr="00F70CE2">
        <w:rPr>
          <w:rtl/>
        </w:rPr>
        <w:t xml:space="preserve"> </w:t>
      </w:r>
      <w:hyperlink r:id="rId31" w:tgtFrame="_blank" w:history="1">
        <w:r w:rsidRPr="00F70CE2">
          <w:rPr>
            <w:rStyle w:val="Hyperlink"/>
            <w:rFonts w:cs="Arial"/>
            <w:color w:val="auto"/>
            <w:u w:val="none"/>
            <w:bdr w:val="none" w:sz="0" w:space="0" w:color="auto" w:frame="1"/>
            <w:shd w:val="clear" w:color="auto" w:fill="FFFFFF"/>
          </w:rPr>
          <w:t>The 2014 Gaza Conflict: Factual and Legal Aspects - The Full Report</w:t>
        </w:r>
      </w:hyperlink>
      <w:r w:rsidRPr="00F70CE2">
        <w:rPr>
          <w:rStyle w:val="aa"/>
          <w:rFonts w:cs="Arial"/>
          <w:b w:val="0"/>
          <w:bCs w:val="0"/>
          <w:bdr w:val="none" w:sz="0" w:space="0" w:color="auto" w:frame="1"/>
          <w:shd w:val="clear" w:color="auto" w:fill="FFFFFF"/>
        </w:rPr>
        <w:t>, State of Israel, May 2015, available at http://mfa.gov.il/ProtectiveEdge/Documents/2014GazaConflictFullReport.pdf</w:t>
      </w:r>
    </w:p>
  </w:footnote>
  <w:footnote w:id="268">
    <w:p w:rsidR="009B636F" w:rsidRPr="00A308C6" w:rsidRDefault="009B636F" w:rsidP="00A308C6">
      <w:pPr>
        <w:pStyle w:val="a5"/>
        <w:jc w:val="both"/>
        <w:rPr>
          <w:rFonts w:cs="David"/>
          <w:rtl/>
        </w:rPr>
      </w:pPr>
      <w:r w:rsidRPr="00F70CE2">
        <w:rPr>
          <w:rStyle w:val="a7"/>
        </w:rPr>
        <w:footnoteRef/>
      </w:r>
      <w:r w:rsidRPr="00F70CE2">
        <w:rPr>
          <w:rtl/>
        </w:rPr>
        <w:t xml:space="preserve"> </w:t>
      </w:r>
      <w:r w:rsidRPr="00F70CE2">
        <w:rPr>
          <w:rFonts w:cs="David" w:hint="cs"/>
          <w:rtl/>
        </w:rPr>
        <w:t xml:space="preserve">ראה פסקאות 1183-1184 וה"ש 750 ו-1148 לדוח הוועדה, ה"ש </w:t>
      </w:r>
      <w:r>
        <w:fldChar w:fldCharType="begin"/>
      </w:r>
      <w:r>
        <w:rPr>
          <w:rFonts w:cs="David"/>
          <w:rtl/>
        </w:rPr>
        <w:instrText xml:space="preserve"> </w:instrText>
      </w:r>
      <w:r>
        <w:rPr>
          <w:rFonts w:cs="David"/>
        </w:rPr>
        <w:instrText>NOTEREF</w:instrText>
      </w:r>
      <w:r>
        <w:rPr>
          <w:rFonts w:cs="David"/>
          <w:rtl/>
        </w:rPr>
        <w:instrText xml:space="preserve"> _</w:instrText>
      </w:r>
      <w:r>
        <w:rPr>
          <w:rFonts w:cs="David"/>
        </w:rPr>
        <w:instrText>Ref454786290 \h</w:instrText>
      </w:r>
      <w:r>
        <w:rPr>
          <w:rFonts w:cs="David"/>
          <w:rtl/>
        </w:rPr>
        <w:instrText xml:space="preserve"> </w:instrText>
      </w:r>
      <w:r>
        <w:fldChar w:fldCharType="separate"/>
      </w:r>
      <w:r>
        <w:rPr>
          <w:rFonts w:cs="David"/>
          <w:rtl/>
        </w:rPr>
        <w:t>315</w:t>
      </w:r>
      <w:r>
        <w:fldChar w:fldCharType="end"/>
      </w:r>
    </w:p>
  </w:footnote>
  <w:footnote w:id="269">
    <w:p w:rsidR="009B636F" w:rsidRPr="00F70CE2" w:rsidRDefault="009B636F" w:rsidP="00397737">
      <w:pPr>
        <w:pStyle w:val="a5"/>
        <w:jc w:val="both"/>
        <w:rPr>
          <w:rtl/>
        </w:rPr>
      </w:pPr>
      <w:r w:rsidRPr="00F70CE2">
        <w:rPr>
          <w:rStyle w:val="a7"/>
        </w:rPr>
        <w:footnoteRef/>
      </w:r>
      <w:r w:rsidRPr="00F70CE2">
        <w:rPr>
          <w:rtl/>
        </w:rPr>
        <w:t xml:space="preserve"> </w:t>
      </w:r>
      <w:r w:rsidRPr="00F70CE2">
        <w:t>Landes Richard (2009), A Failure of Intelligence</w:t>
      </w:r>
      <w:r w:rsidRPr="00F70CE2">
        <w:rPr>
          <w:rFonts w:cs="David"/>
        </w:rPr>
        <w:t xml:space="preserve">, </w:t>
      </w:r>
      <w:r w:rsidRPr="00F70CE2">
        <w:rPr>
          <w:rFonts w:cs="David"/>
          <w:b/>
          <w:bCs/>
        </w:rPr>
        <w:t>IDC Herzliya, Rubin Center Research in International Affairs</w:t>
      </w:r>
      <w:r w:rsidRPr="00F70CE2">
        <w:rPr>
          <w:rFonts w:cs="David"/>
        </w:rPr>
        <w:t xml:space="preserve">, http://www.rubincenter.org/2009/12/landes1-2009-12-01/ </w:t>
      </w:r>
    </w:p>
  </w:footnote>
  <w:footnote w:id="270">
    <w:p w:rsidR="009B636F" w:rsidRPr="00F70CE2" w:rsidRDefault="009B636F" w:rsidP="00397737">
      <w:pPr>
        <w:pStyle w:val="a5"/>
        <w:jc w:val="both"/>
      </w:pPr>
      <w:r w:rsidRPr="00F70CE2">
        <w:rPr>
          <w:rStyle w:val="a7"/>
        </w:rPr>
        <w:footnoteRef/>
      </w:r>
      <w:r w:rsidRPr="00F70CE2">
        <w:rPr>
          <w:rtl/>
        </w:rPr>
        <w:t xml:space="preserve"> </w:t>
      </w:r>
      <w:r w:rsidRPr="00F70CE2">
        <w:t>Dershowitz Alan (2010), The Case Against the Goldstone Report: A Study in Evidentiary Bias, https://dash.harvard.edu/bitstream/handle/1/3593975/DershowitzGoldstone.pdf?sequence=2</w:t>
      </w:r>
    </w:p>
  </w:footnote>
  <w:footnote w:id="271">
    <w:p w:rsidR="009B636F" w:rsidRPr="00F70CE2" w:rsidRDefault="009B636F" w:rsidP="00A308C6">
      <w:pPr>
        <w:pStyle w:val="a5"/>
        <w:jc w:val="both"/>
        <w:rPr>
          <w:rFonts w:cs="David"/>
          <w:rtl/>
        </w:rPr>
      </w:pPr>
      <w:r w:rsidRPr="00F70CE2">
        <w:rPr>
          <w:rStyle w:val="a7"/>
        </w:rPr>
        <w:footnoteRef/>
      </w:r>
      <w:r w:rsidRPr="00F70CE2">
        <w:rPr>
          <w:rtl/>
        </w:rPr>
        <w:t xml:space="preserve"> </w:t>
      </w:r>
      <w:r w:rsidRPr="00F70CE2">
        <w:rPr>
          <w:rFonts w:cs="David" w:hint="cs"/>
          <w:rtl/>
        </w:rPr>
        <w:t xml:space="preserve">ה"ש 424 ו-450 לדוח הוועדה, ה"ש </w:t>
      </w:r>
      <w:r>
        <w:fldChar w:fldCharType="begin"/>
      </w:r>
      <w:r>
        <w:rPr>
          <w:rFonts w:cs="David"/>
          <w:rtl/>
        </w:rPr>
        <w:instrText xml:space="preserve"> </w:instrText>
      </w:r>
      <w:r>
        <w:rPr>
          <w:rFonts w:cs="David" w:hint="cs"/>
        </w:rPr>
        <w:instrText>NOTEREF</w:instrText>
      </w:r>
      <w:r>
        <w:rPr>
          <w:rFonts w:cs="David" w:hint="cs"/>
          <w:rtl/>
        </w:rPr>
        <w:instrText xml:space="preserve"> _</w:instrText>
      </w:r>
      <w:r>
        <w:rPr>
          <w:rFonts w:cs="David" w:hint="cs"/>
        </w:rPr>
        <w:instrText>Ref454788759 \h</w:instrText>
      </w:r>
      <w:r>
        <w:rPr>
          <w:rFonts w:cs="David"/>
          <w:rtl/>
        </w:rPr>
        <w:instrText xml:space="preserve"> </w:instrText>
      </w:r>
      <w:r>
        <w:fldChar w:fldCharType="separate"/>
      </w:r>
      <w:r>
        <w:rPr>
          <w:rFonts w:cs="David"/>
          <w:rtl/>
        </w:rPr>
        <w:t>343</w:t>
      </w:r>
      <w:r>
        <w:fldChar w:fldCharType="end"/>
      </w:r>
      <w:r w:rsidRPr="00F70CE2">
        <w:rPr>
          <w:rFonts w:cs="David" w:hint="cs"/>
          <w:rtl/>
        </w:rPr>
        <w:t>.</w:t>
      </w:r>
    </w:p>
  </w:footnote>
  <w:footnote w:id="272">
    <w:p w:rsidR="009B636F" w:rsidRPr="00F70CE2" w:rsidRDefault="009B636F" w:rsidP="00A308C6">
      <w:pPr>
        <w:pStyle w:val="a5"/>
        <w:jc w:val="both"/>
        <w:rPr>
          <w:rtl/>
        </w:rPr>
      </w:pPr>
      <w:r w:rsidRPr="00F70CE2">
        <w:rPr>
          <w:rStyle w:val="a7"/>
        </w:rPr>
        <w:footnoteRef/>
      </w:r>
      <w:r w:rsidRPr="00F70CE2">
        <w:rPr>
          <w:rtl/>
        </w:rPr>
        <w:t xml:space="preserve"> </w:t>
      </w:r>
      <w:r w:rsidRPr="00F70CE2">
        <w:rPr>
          <w:rFonts w:cs="David" w:hint="cs"/>
          <w:rtl/>
        </w:rPr>
        <w:t xml:space="preserve">ה"ש 451 לדוח הוועדה, ה"ש </w:t>
      </w:r>
      <w:r>
        <w:fldChar w:fldCharType="begin"/>
      </w:r>
      <w:r>
        <w:rPr>
          <w:rFonts w:cs="David"/>
          <w:rtl/>
        </w:rPr>
        <w:instrText xml:space="preserve"> </w:instrText>
      </w:r>
      <w:r>
        <w:rPr>
          <w:rFonts w:cs="David" w:hint="cs"/>
        </w:rPr>
        <w:instrText>NOTEREF</w:instrText>
      </w:r>
      <w:r>
        <w:rPr>
          <w:rFonts w:cs="David" w:hint="cs"/>
          <w:rtl/>
        </w:rPr>
        <w:instrText xml:space="preserve"> _</w:instrText>
      </w:r>
      <w:r>
        <w:rPr>
          <w:rFonts w:cs="David" w:hint="cs"/>
        </w:rPr>
        <w:instrText>Ref454788759 \h</w:instrText>
      </w:r>
      <w:r>
        <w:rPr>
          <w:rFonts w:cs="David"/>
          <w:rtl/>
        </w:rPr>
        <w:instrText xml:space="preserve"> </w:instrText>
      </w:r>
      <w:r>
        <w:fldChar w:fldCharType="separate"/>
      </w:r>
      <w:r>
        <w:rPr>
          <w:rFonts w:cs="David"/>
          <w:rtl/>
        </w:rPr>
        <w:t>343</w:t>
      </w:r>
      <w:r>
        <w:fldChar w:fldCharType="end"/>
      </w:r>
      <w:r w:rsidRPr="00F70CE2">
        <w:rPr>
          <w:rFonts w:cs="David" w:hint="cs"/>
          <w:rtl/>
        </w:rPr>
        <w:t>.</w:t>
      </w:r>
    </w:p>
  </w:footnote>
  <w:footnote w:id="273">
    <w:p w:rsidR="009B636F" w:rsidRDefault="009B636F" w:rsidP="00397737">
      <w:pPr>
        <w:pStyle w:val="a5"/>
        <w:jc w:val="both"/>
      </w:pPr>
      <w:r>
        <w:rPr>
          <w:rStyle w:val="a7"/>
        </w:rPr>
        <w:footnoteRef/>
      </w:r>
      <w:r>
        <w:rPr>
          <w:rtl/>
        </w:rPr>
        <w:t xml:space="preserve"> </w:t>
      </w:r>
      <w:r>
        <w:t xml:space="preserve">Filling in the Blanks: Documenting Missing Dimensions in UN and NGO Investigations of the Gaza Conflict, </w:t>
      </w:r>
      <w:r w:rsidRPr="0028511A">
        <w:rPr>
          <w:b/>
          <w:bCs/>
        </w:rPr>
        <w:t>NGO Monitor and UN Watch</w:t>
      </w:r>
      <w:r>
        <w:t xml:space="preserve">, pp. 73-143, available at </w:t>
      </w:r>
      <w:r w:rsidRPr="0028511A">
        <w:t>http://www.ngo-monitor.org/nm/wp-content/uploads/2015/06/2014_Gaza_Conflict.pdf</w:t>
      </w:r>
    </w:p>
  </w:footnote>
  <w:footnote w:id="274">
    <w:p w:rsidR="009B636F" w:rsidRPr="00137335" w:rsidRDefault="009B636F" w:rsidP="005C0527">
      <w:pPr>
        <w:pStyle w:val="a5"/>
        <w:jc w:val="both"/>
        <w:rPr>
          <w:rtl/>
        </w:rPr>
      </w:pPr>
      <w:r w:rsidRPr="00137335">
        <w:rPr>
          <w:rStyle w:val="a7"/>
        </w:rPr>
        <w:footnoteRef/>
      </w:r>
      <w:r w:rsidRPr="00D44503">
        <w:rPr>
          <w:rtl/>
        </w:rPr>
        <w:t xml:space="preserve"> </w:t>
      </w:r>
      <w:r w:rsidRPr="00D44503">
        <w:t>Sharvit Baruch Pnina (2016), The Report of The Human Right's Council Commission of Inquiry on The 2014 Operation in the Gaza Strip - A Critical Analysis, will be published soon in the Israel Yearbook on Human Rights</w:t>
      </w:r>
    </w:p>
  </w:footnote>
  <w:footnote w:id="275">
    <w:p w:rsidR="009B636F" w:rsidRPr="00A551F4" w:rsidRDefault="009B636F" w:rsidP="00397737">
      <w:pPr>
        <w:pStyle w:val="a5"/>
        <w:jc w:val="both"/>
        <w:rPr>
          <w:rFonts w:cs="David"/>
        </w:rPr>
      </w:pPr>
      <w:r>
        <w:rPr>
          <w:rStyle w:val="a7"/>
        </w:rPr>
        <w:footnoteRef/>
      </w:r>
      <w:r>
        <w:rPr>
          <w:rtl/>
        </w:rPr>
        <w:t xml:space="preserve"> </w:t>
      </w:r>
      <w:r>
        <w:rPr>
          <w:rFonts w:cs="David" w:hint="cs"/>
          <w:rtl/>
        </w:rPr>
        <w:t xml:space="preserve">ראה שרגא דפנה (2015), </w:t>
      </w:r>
      <w:r w:rsidRPr="00D44503">
        <w:rPr>
          <w:rFonts w:cs="David" w:hint="cs"/>
          <w:rtl/>
        </w:rPr>
        <w:t>מתחמי</w:t>
      </w:r>
      <w:r w:rsidRPr="00D44503">
        <w:rPr>
          <w:rFonts w:cs="David"/>
          <w:rtl/>
        </w:rPr>
        <w:t xml:space="preserve"> </w:t>
      </w:r>
      <w:r w:rsidRPr="00D44503">
        <w:rPr>
          <w:rFonts w:cs="David" w:hint="cs"/>
          <w:rtl/>
        </w:rPr>
        <w:t>האו</w:t>
      </w:r>
      <w:r w:rsidRPr="00D44503">
        <w:rPr>
          <w:rFonts w:cs="David"/>
          <w:rtl/>
        </w:rPr>
        <w:t>"</w:t>
      </w:r>
      <w:r w:rsidRPr="00D44503">
        <w:rPr>
          <w:rFonts w:cs="David" w:hint="cs"/>
          <w:rtl/>
        </w:rPr>
        <w:t>ם</w:t>
      </w:r>
      <w:r w:rsidRPr="00D44503">
        <w:rPr>
          <w:rFonts w:cs="David"/>
          <w:rtl/>
        </w:rPr>
        <w:t xml:space="preserve"> </w:t>
      </w:r>
      <w:r w:rsidRPr="00D44503">
        <w:rPr>
          <w:rFonts w:cs="David" w:hint="cs"/>
          <w:rtl/>
        </w:rPr>
        <w:t>כערי</w:t>
      </w:r>
      <w:r w:rsidRPr="00D44503">
        <w:rPr>
          <w:rFonts w:cs="David"/>
          <w:rtl/>
        </w:rPr>
        <w:t xml:space="preserve"> </w:t>
      </w:r>
      <w:r w:rsidRPr="00D44503">
        <w:rPr>
          <w:rFonts w:cs="David" w:hint="cs"/>
          <w:rtl/>
        </w:rPr>
        <w:t>מקלט</w:t>
      </w:r>
      <w:r w:rsidRPr="00D44503">
        <w:rPr>
          <w:rFonts w:cs="David"/>
          <w:rtl/>
        </w:rPr>
        <w:t xml:space="preserve"> – </w:t>
      </w:r>
      <w:r w:rsidRPr="00D44503">
        <w:rPr>
          <w:rFonts w:cs="David" w:hint="cs"/>
          <w:rtl/>
        </w:rPr>
        <w:t>שתיקת</w:t>
      </w:r>
      <w:r w:rsidRPr="00D44503">
        <w:rPr>
          <w:rFonts w:cs="David"/>
          <w:rtl/>
        </w:rPr>
        <w:t xml:space="preserve"> </w:t>
      </w:r>
      <w:r w:rsidRPr="00D44503">
        <w:rPr>
          <w:rFonts w:cs="David" w:hint="cs"/>
          <w:rtl/>
        </w:rPr>
        <w:t>דיני</w:t>
      </w:r>
      <w:r w:rsidRPr="00D44503">
        <w:rPr>
          <w:rFonts w:cs="David"/>
          <w:rtl/>
        </w:rPr>
        <w:t xml:space="preserve"> </w:t>
      </w:r>
      <w:r w:rsidRPr="00D44503">
        <w:rPr>
          <w:rFonts w:cs="David" w:hint="cs"/>
          <w:rtl/>
        </w:rPr>
        <w:t>המלחמה</w:t>
      </w:r>
      <w:r w:rsidRPr="00D44503">
        <w:rPr>
          <w:rFonts w:cs="David"/>
          <w:rtl/>
        </w:rPr>
        <w:t xml:space="preserve">, </w:t>
      </w:r>
      <w:r w:rsidRPr="00D44503">
        <w:rPr>
          <w:rFonts w:cs="David" w:hint="cs"/>
          <w:rtl/>
        </w:rPr>
        <w:t>המכון</w:t>
      </w:r>
      <w:r w:rsidRPr="00D44503">
        <w:rPr>
          <w:rFonts w:cs="David"/>
          <w:rtl/>
        </w:rPr>
        <w:t xml:space="preserve"> </w:t>
      </w:r>
      <w:r w:rsidRPr="00D44503">
        <w:rPr>
          <w:rFonts w:cs="David" w:hint="cs"/>
          <w:rtl/>
        </w:rPr>
        <w:t>למחקרי</w:t>
      </w:r>
      <w:r w:rsidRPr="00D44503">
        <w:rPr>
          <w:rFonts w:cs="David"/>
          <w:rtl/>
        </w:rPr>
        <w:t xml:space="preserve"> </w:t>
      </w:r>
      <w:r w:rsidRPr="00D44503">
        <w:rPr>
          <w:rFonts w:cs="David" w:hint="cs"/>
          <w:rtl/>
        </w:rPr>
        <w:t>ביטחון</w:t>
      </w:r>
      <w:r w:rsidRPr="00D44503">
        <w:rPr>
          <w:rFonts w:cs="David"/>
          <w:rtl/>
        </w:rPr>
        <w:t xml:space="preserve"> </w:t>
      </w:r>
      <w:r w:rsidRPr="00D44503">
        <w:rPr>
          <w:rFonts w:cs="David" w:hint="cs"/>
          <w:rtl/>
        </w:rPr>
        <w:t>לאומי</w:t>
      </w:r>
      <w:r w:rsidRPr="00D44503">
        <w:rPr>
          <w:rFonts w:cs="David"/>
          <w:rtl/>
        </w:rPr>
        <w:t xml:space="preserve">, </w:t>
      </w:r>
      <w:r w:rsidRPr="00D44503">
        <w:rPr>
          <w:rFonts w:cs="David" w:hint="cs"/>
          <w:b/>
          <w:bCs/>
          <w:rtl/>
        </w:rPr>
        <w:t>עדכן</w:t>
      </w:r>
      <w:r w:rsidRPr="00D44503">
        <w:rPr>
          <w:rFonts w:cs="David"/>
          <w:b/>
          <w:bCs/>
          <w:rtl/>
        </w:rPr>
        <w:t xml:space="preserve"> </w:t>
      </w:r>
      <w:r w:rsidRPr="00D44503">
        <w:rPr>
          <w:rFonts w:cs="David" w:hint="cs"/>
          <w:b/>
          <w:bCs/>
          <w:rtl/>
        </w:rPr>
        <w:t>אסטרטגי</w:t>
      </w:r>
      <w:r w:rsidRPr="00D44503">
        <w:rPr>
          <w:rFonts w:cs="David"/>
          <w:rtl/>
        </w:rPr>
        <w:t xml:space="preserve">, </w:t>
      </w:r>
      <w:r w:rsidRPr="00D44503">
        <w:rPr>
          <w:rFonts w:cs="David" w:hint="cs"/>
          <w:rtl/>
        </w:rPr>
        <w:t>כרך</w:t>
      </w:r>
      <w:r w:rsidRPr="00D44503">
        <w:rPr>
          <w:rFonts w:cs="David"/>
          <w:rtl/>
        </w:rPr>
        <w:t xml:space="preserve"> 18, </w:t>
      </w:r>
      <w:r w:rsidRPr="00D44503">
        <w:rPr>
          <w:rFonts w:cs="David" w:hint="cs"/>
          <w:rtl/>
        </w:rPr>
        <w:t>גיליון</w:t>
      </w:r>
      <w:r w:rsidRPr="00D44503">
        <w:rPr>
          <w:rFonts w:cs="David"/>
          <w:rtl/>
        </w:rPr>
        <w:t xml:space="preserve"> 2, </w:t>
      </w:r>
      <w:r w:rsidRPr="00D44503">
        <w:rPr>
          <w:rFonts w:cs="David" w:hint="cs"/>
          <w:rtl/>
        </w:rPr>
        <w:t>יולי</w:t>
      </w:r>
      <w:r w:rsidRPr="00D44503">
        <w:rPr>
          <w:rFonts w:cs="David"/>
          <w:rtl/>
        </w:rPr>
        <w:t xml:space="preserve"> 2015,</w:t>
      </w:r>
      <w:r>
        <w:rPr>
          <w:rFonts w:hint="cs"/>
          <w:rtl/>
        </w:rPr>
        <w:t xml:space="preserve"> </w:t>
      </w:r>
      <w:r w:rsidRPr="00A551F4">
        <w:t>http://www.inss.org.il/uploadImages/systemFiles/D.%20Shraga.pdf</w:t>
      </w:r>
    </w:p>
  </w:footnote>
  <w:footnote w:id="276">
    <w:p w:rsidR="009B636F" w:rsidRPr="00EE5EA2" w:rsidRDefault="009B636F" w:rsidP="00397737">
      <w:pPr>
        <w:pStyle w:val="a5"/>
        <w:jc w:val="both"/>
      </w:pPr>
      <w:r>
        <w:rPr>
          <w:rStyle w:val="a7"/>
        </w:rPr>
        <w:footnoteRef/>
      </w:r>
      <w:r>
        <w:rPr>
          <w:rtl/>
        </w:rPr>
        <w:t xml:space="preserve"> </w:t>
      </w:r>
      <w:r>
        <w:t xml:space="preserve">Shamir Shlomo (2010), Israel Pays 10.5 Million Dollars for Damage to UN Gaza Premises, </w:t>
      </w:r>
      <w:r>
        <w:rPr>
          <w:b/>
          <w:bCs/>
        </w:rPr>
        <w:t>Haaretz</w:t>
      </w:r>
      <w:r>
        <w:t xml:space="preserve">, </w:t>
      </w:r>
      <w:r w:rsidRPr="00EE5EA2">
        <w:t>http://www.haaretz.com/israel-pays-10-5-million-dollars-for-damage-to-un-gaza-premises-1.261937</w:t>
      </w:r>
    </w:p>
  </w:footnote>
  <w:footnote w:id="277">
    <w:p w:rsidR="009B636F" w:rsidRPr="00492C26" w:rsidRDefault="009B636F" w:rsidP="00397737">
      <w:pPr>
        <w:pStyle w:val="a5"/>
        <w:jc w:val="both"/>
        <w:rPr>
          <w:rFonts w:cs="David"/>
        </w:rPr>
      </w:pPr>
      <w:r>
        <w:rPr>
          <w:rStyle w:val="a7"/>
        </w:rPr>
        <w:footnoteRef/>
      </w:r>
      <w:r>
        <w:rPr>
          <w:rtl/>
        </w:rPr>
        <w:t xml:space="preserve"> </w:t>
      </w:r>
      <w:r w:rsidRPr="00492C26">
        <w:rPr>
          <w:rFonts w:cs="David"/>
          <w:rtl/>
        </w:rPr>
        <w:t>שרביט ברוך פנינה ואבירם קרן</w:t>
      </w:r>
      <w:r w:rsidRPr="00492C26">
        <w:rPr>
          <w:rFonts w:cs="David" w:hint="cs"/>
          <w:rtl/>
        </w:rPr>
        <w:t xml:space="preserve"> (2015), </w:t>
      </w:r>
      <w:r>
        <w:rPr>
          <w:rFonts w:cs="David"/>
          <w:rtl/>
        </w:rPr>
        <w:t>דוח</w:t>
      </w:r>
      <w:r w:rsidRPr="00492C26">
        <w:rPr>
          <w:rFonts w:cs="David"/>
          <w:rtl/>
        </w:rPr>
        <w:t xml:space="preserve"> ועדת החקירה של מזכ"ל האו"ם בנוגע לפגיעה במתקני או"ם במבצע 'צוק איתן' </w:t>
      </w:r>
      <w:r w:rsidRPr="00492C26">
        <w:rPr>
          <w:rFonts w:cs="David" w:hint="cs"/>
          <w:rtl/>
        </w:rPr>
        <w:t xml:space="preserve">- </w:t>
      </w:r>
      <w:r w:rsidRPr="00492C26">
        <w:rPr>
          <w:rFonts w:cs="David"/>
          <w:rtl/>
        </w:rPr>
        <w:t>ענייני ומאוזן</w:t>
      </w:r>
      <w:r w:rsidRPr="00492C26">
        <w:rPr>
          <w:rFonts w:cs="David" w:hint="cs"/>
          <w:rtl/>
        </w:rPr>
        <w:t>, המכון למחקרי ביטחון לאומי,</w:t>
      </w:r>
      <w:r w:rsidRPr="00492C26">
        <w:rPr>
          <w:rFonts w:cs="David"/>
          <w:rtl/>
        </w:rPr>
        <w:t xml:space="preserve"> </w:t>
      </w:r>
      <w:r w:rsidRPr="00492C26">
        <w:rPr>
          <w:rFonts w:cs="David"/>
          <w:b/>
          <w:bCs/>
          <w:rtl/>
        </w:rPr>
        <w:t>מבט על</w:t>
      </w:r>
      <w:r w:rsidRPr="00492C26">
        <w:rPr>
          <w:rFonts w:cs="David"/>
          <w:rtl/>
        </w:rPr>
        <w:t>, גיליון 695</w:t>
      </w:r>
      <w:r w:rsidRPr="00492C26">
        <w:rPr>
          <w:rFonts w:cs="David" w:hint="cs"/>
          <w:rtl/>
        </w:rPr>
        <w:t>,</w:t>
      </w:r>
      <w:r w:rsidRPr="00492C26">
        <w:rPr>
          <w:rFonts w:cs="David"/>
          <w:rtl/>
        </w:rPr>
        <w:t xml:space="preserve"> 4</w:t>
      </w:r>
      <w:r w:rsidRPr="00492C26">
        <w:rPr>
          <w:rFonts w:cs="David" w:hint="cs"/>
          <w:rtl/>
        </w:rPr>
        <w:t xml:space="preserve"> </w:t>
      </w:r>
      <w:r w:rsidRPr="00492C26">
        <w:rPr>
          <w:rFonts w:cs="David"/>
          <w:rtl/>
        </w:rPr>
        <w:t>במאי 2015</w:t>
      </w:r>
      <w:r w:rsidRPr="00492C26">
        <w:rPr>
          <w:rFonts w:cs="David" w:hint="cs"/>
          <w:rtl/>
        </w:rPr>
        <w:t>,</w:t>
      </w:r>
      <w:r>
        <w:rPr>
          <w:rFonts w:hint="cs"/>
          <w:rtl/>
        </w:rPr>
        <w:t xml:space="preserve"> </w:t>
      </w:r>
      <w:r w:rsidRPr="00492C26">
        <w:t>http://www.inss.org.il/uploadImages/systemFiles/695%20Pnina%20and%20Keren.pdf</w:t>
      </w:r>
    </w:p>
  </w:footnote>
  <w:footnote w:id="278">
    <w:p w:rsidR="009B636F" w:rsidRDefault="009B636F" w:rsidP="001B67E3">
      <w:pPr>
        <w:pStyle w:val="a5"/>
        <w:jc w:val="both"/>
      </w:pPr>
      <w:r>
        <w:rPr>
          <w:rStyle w:val="a7"/>
        </w:rPr>
        <w:footnoteRef/>
      </w:r>
      <w:r>
        <w:rPr>
          <w:rtl/>
        </w:rPr>
        <w:t xml:space="preserve"> </w:t>
      </w:r>
      <w:r w:rsidRPr="00D44503">
        <w:rPr>
          <w:rFonts w:cs="David" w:hint="cs"/>
          <w:rtl/>
        </w:rPr>
        <w:t>ראה</w:t>
      </w:r>
      <w:r w:rsidRPr="00D44503">
        <w:rPr>
          <w:rFonts w:cs="David"/>
          <w:rtl/>
        </w:rPr>
        <w:t xml:space="preserve"> </w:t>
      </w:r>
      <w:r w:rsidRPr="00D44503">
        <w:rPr>
          <w:rFonts w:cs="David" w:hint="cs"/>
          <w:rtl/>
        </w:rPr>
        <w:t>הדוח</w:t>
      </w:r>
      <w:r w:rsidRPr="00D44503">
        <w:rPr>
          <w:rFonts w:cs="David"/>
          <w:rtl/>
        </w:rPr>
        <w:t xml:space="preserve"> </w:t>
      </w:r>
      <w:r w:rsidRPr="00D44503">
        <w:rPr>
          <w:rFonts w:cs="David" w:hint="cs"/>
          <w:rtl/>
        </w:rPr>
        <w:t>שפרסמה</w:t>
      </w:r>
      <w:r w:rsidRPr="00D44503">
        <w:rPr>
          <w:rFonts w:cs="David"/>
          <w:rtl/>
        </w:rPr>
        <w:t xml:space="preserve"> </w:t>
      </w:r>
      <w:r w:rsidRPr="00D44503">
        <w:rPr>
          <w:rFonts w:cs="David" w:hint="cs"/>
          <w:rtl/>
        </w:rPr>
        <w:t>מדינת</w:t>
      </w:r>
      <w:r w:rsidRPr="00D44503">
        <w:rPr>
          <w:rFonts w:cs="David"/>
          <w:rtl/>
        </w:rPr>
        <w:t xml:space="preserve"> </w:t>
      </w:r>
      <w:r w:rsidRPr="00D44503">
        <w:rPr>
          <w:rFonts w:cs="David" w:hint="cs"/>
          <w:rtl/>
        </w:rPr>
        <w:t>ישראל</w:t>
      </w:r>
      <w:r w:rsidRPr="00D44503">
        <w:rPr>
          <w:rFonts w:cs="David"/>
          <w:rtl/>
        </w:rPr>
        <w:t xml:space="preserve"> </w:t>
      </w:r>
      <w:r w:rsidRPr="00D44503">
        <w:rPr>
          <w:rFonts w:cs="David" w:hint="cs"/>
          <w:rtl/>
        </w:rPr>
        <w:t>בעקבות</w:t>
      </w:r>
      <w:r w:rsidRPr="00D44503">
        <w:rPr>
          <w:rFonts w:cs="David"/>
          <w:rtl/>
        </w:rPr>
        <w:t xml:space="preserve"> </w:t>
      </w:r>
      <w:r w:rsidRPr="00D44503">
        <w:rPr>
          <w:rFonts w:cs="David" w:hint="cs"/>
          <w:rtl/>
        </w:rPr>
        <w:t>מבצע</w:t>
      </w:r>
      <w:r w:rsidRPr="00D44503">
        <w:rPr>
          <w:rFonts w:cs="David"/>
          <w:rtl/>
        </w:rPr>
        <w:t xml:space="preserve"> "</w:t>
      </w:r>
      <w:r w:rsidRPr="00D44503">
        <w:rPr>
          <w:rFonts w:cs="David" w:hint="cs"/>
          <w:rtl/>
        </w:rPr>
        <w:t>צוק</w:t>
      </w:r>
      <w:r w:rsidRPr="00D44503">
        <w:rPr>
          <w:rFonts w:cs="David"/>
          <w:rtl/>
        </w:rPr>
        <w:t xml:space="preserve"> </w:t>
      </w:r>
      <w:r w:rsidRPr="00D44503">
        <w:rPr>
          <w:rFonts w:cs="David" w:hint="cs"/>
          <w:rtl/>
        </w:rPr>
        <w:t>איתן</w:t>
      </w:r>
      <w:r w:rsidRPr="00D44503">
        <w:rPr>
          <w:rFonts w:cs="David"/>
          <w:rtl/>
        </w:rPr>
        <w:t xml:space="preserve">", </w:t>
      </w:r>
      <w:r w:rsidRPr="00D44503">
        <w:rPr>
          <w:rFonts w:cs="David" w:hint="cs"/>
          <w:rtl/>
        </w:rPr>
        <w:t>ה</w:t>
      </w:r>
      <w:r w:rsidRPr="00D44503">
        <w:rPr>
          <w:rFonts w:cs="David"/>
          <w:rtl/>
        </w:rPr>
        <w:t>"</w:t>
      </w:r>
      <w:r w:rsidRPr="00D44503">
        <w:rPr>
          <w:rFonts w:cs="David" w:hint="cs"/>
          <w:rtl/>
        </w:rPr>
        <w:t>ש</w:t>
      </w:r>
      <w:r w:rsidRPr="00D44503">
        <w:rPr>
          <w:rFonts w:cs="David"/>
          <w:rtl/>
        </w:rPr>
        <w:t xml:space="preserve"> </w:t>
      </w:r>
      <w:r>
        <w:rPr>
          <w:rFonts w:cs="David"/>
          <w:rtl/>
        </w:rPr>
        <w:fldChar w:fldCharType="begin"/>
      </w:r>
      <w:r>
        <w:rPr>
          <w:rFonts w:cs="David"/>
          <w:rtl/>
        </w:rPr>
        <w:instrText xml:space="preserve"> </w:instrText>
      </w:r>
      <w:r>
        <w:rPr>
          <w:rFonts w:cs="David" w:hint="cs"/>
        </w:rPr>
        <w:instrText>NOTEREF</w:instrText>
      </w:r>
      <w:r>
        <w:rPr>
          <w:rFonts w:cs="David" w:hint="cs"/>
          <w:rtl/>
        </w:rPr>
        <w:instrText xml:space="preserve"> _</w:instrText>
      </w:r>
      <w:r>
        <w:rPr>
          <w:rFonts w:cs="David" w:hint="cs"/>
        </w:rPr>
        <w:instrText>Ref454726540 \h</w:instrText>
      </w:r>
      <w:r>
        <w:rPr>
          <w:rFonts w:cs="David"/>
          <w:rtl/>
        </w:rPr>
        <w:instrText xml:space="preserve"> </w:instrText>
      </w:r>
      <w:r>
        <w:rPr>
          <w:rFonts w:cs="David"/>
          <w:rtl/>
        </w:rPr>
      </w:r>
      <w:r>
        <w:rPr>
          <w:rFonts w:cs="David"/>
          <w:rtl/>
        </w:rPr>
        <w:fldChar w:fldCharType="separate"/>
      </w:r>
      <w:r>
        <w:rPr>
          <w:rFonts w:cs="David"/>
          <w:rtl/>
        </w:rPr>
        <w:t>269</w:t>
      </w:r>
      <w:r>
        <w:rPr>
          <w:rFonts w:cs="David"/>
          <w:rtl/>
        </w:rPr>
        <w:fldChar w:fldCharType="end"/>
      </w:r>
      <w:r>
        <w:rPr>
          <w:rFonts w:cs="David" w:hint="cs"/>
          <w:rtl/>
        </w:rPr>
        <w:t xml:space="preserve"> </w:t>
      </w:r>
      <w:r w:rsidRPr="00D44503">
        <w:rPr>
          <w:rFonts w:cs="David" w:hint="cs"/>
          <w:rtl/>
        </w:rPr>
        <w:t>לעיל</w:t>
      </w:r>
      <w:r w:rsidRPr="00D44503">
        <w:rPr>
          <w:rFonts w:cs="David"/>
          <w:rtl/>
        </w:rPr>
        <w:t xml:space="preserve">, </w:t>
      </w:r>
      <w:r w:rsidRPr="00D44503">
        <w:rPr>
          <w:rFonts w:cs="David" w:hint="cs"/>
          <w:rtl/>
        </w:rPr>
        <w:t>בעמוד</w:t>
      </w:r>
      <w:r w:rsidRPr="00D44503">
        <w:rPr>
          <w:rFonts w:cs="David"/>
          <w:rtl/>
        </w:rPr>
        <w:t xml:space="preserve"> 80 (</w:t>
      </w:r>
      <w:r w:rsidRPr="00D44503">
        <w:rPr>
          <w:rFonts w:cs="David" w:hint="cs"/>
          <w:rtl/>
        </w:rPr>
        <w:t>הערת</w:t>
      </w:r>
      <w:r w:rsidRPr="00D44503">
        <w:rPr>
          <w:rFonts w:cs="David"/>
          <w:rtl/>
        </w:rPr>
        <w:t xml:space="preserve"> </w:t>
      </w:r>
      <w:r w:rsidRPr="00D44503">
        <w:rPr>
          <w:rFonts w:cs="David" w:hint="cs"/>
          <w:rtl/>
        </w:rPr>
        <w:t>שוליים</w:t>
      </w:r>
      <w:r w:rsidRPr="00D44503">
        <w:rPr>
          <w:rFonts w:cs="David"/>
          <w:rtl/>
        </w:rPr>
        <w:t xml:space="preserve"> 247).</w:t>
      </w:r>
    </w:p>
  </w:footnote>
  <w:footnote w:id="279">
    <w:p w:rsidR="009B636F" w:rsidRDefault="009B636F" w:rsidP="00BF0349">
      <w:pPr>
        <w:pStyle w:val="a5"/>
        <w:jc w:val="both"/>
      </w:pPr>
      <w:r>
        <w:rPr>
          <w:rStyle w:val="a7"/>
        </w:rPr>
        <w:footnoteRef/>
      </w:r>
      <w:r>
        <w:rPr>
          <w:rtl/>
        </w:rPr>
        <w:t xml:space="preserve"> </w:t>
      </w:r>
      <w:r w:rsidRPr="00D44503">
        <w:rPr>
          <w:rFonts w:cs="David" w:hint="cs"/>
          <w:rtl/>
        </w:rPr>
        <w:t>הגם</w:t>
      </w:r>
      <w:r w:rsidRPr="00D44503">
        <w:rPr>
          <w:rFonts w:cs="David"/>
          <w:rtl/>
        </w:rPr>
        <w:t xml:space="preserve"> </w:t>
      </w:r>
      <w:r w:rsidRPr="00D44503">
        <w:rPr>
          <w:rFonts w:cs="David" w:hint="cs"/>
          <w:rtl/>
        </w:rPr>
        <w:t>כי</w:t>
      </w:r>
      <w:r w:rsidRPr="00D44503">
        <w:rPr>
          <w:rFonts w:cs="David"/>
          <w:rtl/>
        </w:rPr>
        <w:t xml:space="preserve"> </w:t>
      </w:r>
      <w:r w:rsidRPr="00D44503">
        <w:rPr>
          <w:rFonts w:cs="David" w:hint="cs"/>
          <w:rtl/>
        </w:rPr>
        <w:t>מדינת</w:t>
      </w:r>
      <w:r w:rsidRPr="00D44503">
        <w:rPr>
          <w:rFonts w:cs="David"/>
          <w:rtl/>
        </w:rPr>
        <w:t xml:space="preserve"> </w:t>
      </w:r>
      <w:r w:rsidRPr="00D44503">
        <w:rPr>
          <w:rFonts w:cs="David" w:hint="cs"/>
          <w:rtl/>
        </w:rPr>
        <w:t>ישראל</w:t>
      </w:r>
      <w:r w:rsidRPr="00D44503">
        <w:rPr>
          <w:rFonts w:cs="David"/>
          <w:rtl/>
        </w:rPr>
        <w:t xml:space="preserve"> </w:t>
      </w:r>
      <w:r w:rsidRPr="00D44503">
        <w:rPr>
          <w:rFonts w:cs="David" w:hint="cs"/>
          <w:rtl/>
        </w:rPr>
        <w:t>לא</w:t>
      </w:r>
      <w:r w:rsidRPr="00D44503">
        <w:rPr>
          <w:rFonts w:cs="David"/>
          <w:rtl/>
        </w:rPr>
        <w:t xml:space="preserve"> </w:t>
      </w:r>
      <w:r w:rsidRPr="00D44503">
        <w:rPr>
          <w:rFonts w:cs="David" w:hint="cs"/>
          <w:rtl/>
        </w:rPr>
        <w:t>הסכימה</w:t>
      </w:r>
      <w:r w:rsidRPr="00D44503">
        <w:rPr>
          <w:rFonts w:cs="David"/>
          <w:rtl/>
        </w:rPr>
        <w:t xml:space="preserve"> </w:t>
      </w:r>
      <w:r w:rsidRPr="00D44503">
        <w:rPr>
          <w:rFonts w:cs="David" w:hint="cs"/>
          <w:rtl/>
        </w:rPr>
        <w:t>לכל</w:t>
      </w:r>
      <w:r w:rsidRPr="00D44503">
        <w:rPr>
          <w:rFonts w:cs="David"/>
          <w:rtl/>
        </w:rPr>
        <w:t xml:space="preserve"> </w:t>
      </w:r>
      <w:r w:rsidRPr="00D44503">
        <w:rPr>
          <w:rFonts w:cs="David" w:hint="cs"/>
          <w:rtl/>
        </w:rPr>
        <w:t>הקביעות</w:t>
      </w:r>
      <w:r w:rsidRPr="00D44503">
        <w:rPr>
          <w:rFonts w:cs="David"/>
          <w:rtl/>
        </w:rPr>
        <w:t xml:space="preserve"> </w:t>
      </w:r>
      <w:r w:rsidRPr="00D44503">
        <w:rPr>
          <w:rFonts w:cs="David" w:hint="cs"/>
          <w:rtl/>
        </w:rPr>
        <w:t>שבו</w:t>
      </w:r>
      <w:r w:rsidRPr="00D44503">
        <w:rPr>
          <w:rFonts w:cs="David"/>
          <w:rtl/>
        </w:rPr>
        <w:t xml:space="preserve">. </w:t>
      </w:r>
      <w:r w:rsidRPr="00D44503">
        <w:rPr>
          <w:rFonts w:cs="David" w:hint="cs"/>
          <w:rtl/>
        </w:rPr>
        <w:t>ראה</w:t>
      </w:r>
      <w:r w:rsidRPr="00D44503">
        <w:rPr>
          <w:rFonts w:cs="David"/>
          <w:rtl/>
        </w:rPr>
        <w:t xml:space="preserve"> </w:t>
      </w:r>
      <w:r w:rsidRPr="00D44503">
        <w:rPr>
          <w:rFonts w:cs="David" w:hint="cs"/>
          <w:rtl/>
        </w:rPr>
        <w:t>לעניין</w:t>
      </w:r>
      <w:r w:rsidRPr="00D44503">
        <w:rPr>
          <w:rFonts w:cs="David"/>
          <w:rtl/>
        </w:rPr>
        <w:t xml:space="preserve"> </w:t>
      </w:r>
      <w:r w:rsidRPr="00D44503">
        <w:rPr>
          <w:rFonts w:cs="David" w:hint="cs"/>
          <w:rtl/>
        </w:rPr>
        <w:t>זה</w:t>
      </w:r>
      <w:r w:rsidRPr="00D44503">
        <w:rPr>
          <w:rFonts w:cs="David"/>
          <w:rtl/>
        </w:rPr>
        <w:t xml:space="preserve"> </w:t>
      </w:r>
      <w:r w:rsidRPr="00D44503">
        <w:rPr>
          <w:rFonts w:cs="David" w:hint="cs"/>
          <w:rtl/>
        </w:rPr>
        <w:t>את</w:t>
      </w:r>
      <w:r w:rsidRPr="00D44503">
        <w:rPr>
          <w:rFonts w:cs="David"/>
          <w:rtl/>
        </w:rPr>
        <w:t xml:space="preserve"> </w:t>
      </w:r>
      <w:r w:rsidRPr="00D44503">
        <w:rPr>
          <w:rFonts w:cs="David" w:hint="cs"/>
          <w:rtl/>
        </w:rPr>
        <w:t>ההתייחסות</w:t>
      </w:r>
      <w:r w:rsidRPr="00D44503">
        <w:rPr>
          <w:rFonts w:cs="David"/>
          <w:rtl/>
        </w:rPr>
        <w:t xml:space="preserve"> </w:t>
      </w:r>
      <w:r w:rsidRPr="00D44503">
        <w:rPr>
          <w:rFonts w:cs="David" w:hint="cs"/>
          <w:rtl/>
        </w:rPr>
        <w:t>שהעביר</w:t>
      </w:r>
      <w:r w:rsidRPr="00D44503">
        <w:rPr>
          <w:rFonts w:cs="David"/>
          <w:rtl/>
        </w:rPr>
        <w:t xml:space="preserve"> </w:t>
      </w:r>
      <w:r w:rsidRPr="00D44503">
        <w:rPr>
          <w:rFonts w:cs="David" w:hint="cs"/>
          <w:rtl/>
        </w:rPr>
        <w:t>הנציג</w:t>
      </w:r>
      <w:r w:rsidRPr="00D44503">
        <w:rPr>
          <w:rFonts w:cs="David"/>
          <w:rtl/>
        </w:rPr>
        <w:t xml:space="preserve"> </w:t>
      </w:r>
      <w:r w:rsidRPr="00D44503">
        <w:rPr>
          <w:rFonts w:cs="David" w:hint="cs"/>
          <w:rtl/>
        </w:rPr>
        <w:t>הישראלי</w:t>
      </w:r>
      <w:r w:rsidRPr="00D44503">
        <w:rPr>
          <w:rFonts w:cs="David"/>
          <w:rtl/>
        </w:rPr>
        <w:t xml:space="preserve"> </w:t>
      </w:r>
      <w:r w:rsidRPr="00D44503">
        <w:rPr>
          <w:rFonts w:cs="David" w:hint="cs"/>
          <w:rtl/>
        </w:rPr>
        <w:t>בוועדה</w:t>
      </w:r>
      <w:r w:rsidRPr="00D44503">
        <w:rPr>
          <w:rFonts w:cs="David"/>
          <w:rtl/>
        </w:rPr>
        <w:t xml:space="preserve">, </w:t>
      </w:r>
      <w:r w:rsidRPr="00D44503">
        <w:rPr>
          <w:rFonts w:cs="David" w:hint="cs"/>
          <w:rtl/>
        </w:rPr>
        <w:t>ד</w:t>
      </w:r>
      <w:r w:rsidRPr="00D44503">
        <w:rPr>
          <w:rFonts w:cs="David"/>
          <w:rtl/>
        </w:rPr>
        <w:t>"</w:t>
      </w:r>
      <w:r w:rsidRPr="00D44503">
        <w:rPr>
          <w:rFonts w:cs="David" w:hint="cs"/>
          <w:rtl/>
        </w:rPr>
        <w:t>ר</w:t>
      </w:r>
      <w:r w:rsidRPr="00D44503">
        <w:rPr>
          <w:rFonts w:cs="David"/>
          <w:rtl/>
        </w:rPr>
        <w:t xml:space="preserve"> </w:t>
      </w:r>
      <w:r w:rsidRPr="00D44503">
        <w:rPr>
          <w:rFonts w:cs="David" w:hint="cs"/>
          <w:rtl/>
        </w:rPr>
        <w:t>יוסף</w:t>
      </w:r>
      <w:r w:rsidRPr="00D44503">
        <w:rPr>
          <w:rFonts w:cs="David"/>
          <w:rtl/>
        </w:rPr>
        <w:t xml:space="preserve"> </w:t>
      </w:r>
      <w:r w:rsidRPr="00D44503">
        <w:rPr>
          <w:rFonts w:cs="David" w:hint="cs"/>
          <w:rtl/>
        </w:rPr>
        <w:t>צ</w:t>
      </w:r>
      <w:r w:rsidRPr="00D44503">
        <w:rPr>
          <w:rFonts w:cs="David"/>
          <w:rtl/>
        </w:rPr>
        <w:t>'</w:t>
      </w:r>
      <w:r w:rsidRPr="00D44503">
        <w:rPr>
          <w:rFonts w:cs="David" w:hint="cs"/>
          <w:rtl/>
        </w:rPr>
        <w:t>חנובר</w:t>
      </w:r>
      <w:r w:rsidRPr="00D44503">
        <w:rPr>
          <w:rFonts w:cs="David"/>
          <w:rtl/>
        </w:rPr>
        <w:t xml:space="preserve">, </w:t>
      </w:r>
      <w:r w:rsidRPr="00D44503">
        <w:rPr>
          <w:rFonts w:cs="David" w:hint="cs"/>
          <w:rtl/>
        </w:rPr>
        <w:t>בנספח</w:t>
      </w:r>
      <w:r w:rsidRPr="00D44503">
        <w:rPr>
          <w:rFonts w:cs="David"/>
          <w:rtl/>
        </w:rPr>
        <w:t xml:space="preserve"> </w:t>
      </w:r>
      <w:r w:rsidRPr="00D44503">
        <w:rPr>
          <w:rFonts w:cs="David" w:hint="cs"/>
          <w:rtl/>
        </w:rPr>
        <w:t>לדוח</w:t>
      </w:r>
      <w:r w:rsidRPr="00D44503">
        <w:rPr>
          <w:rFonts w:cs="David"/>
          <w:rtl/>
        </w:rPr>
        <w:t xml:space="preserve"> </w:t>
      </w:r>
      <w:r w:rsidRPr="00D44503">
        <w:rPr>
          <w:rFonts w:cs="David" w:hint="cs"/>
          <w:rtl/>
        </w:rPr>
        <w:t>הוועדה</w:t>
      </w:r>
      <w:r w:rsidRPr="00D44503">
        <w:rPr>
          <w:rFonts w:cs="David"/>
          <w:rtl/>
        </w:rPr>
        <w:t xml:space="preserve">, </w:t>
      </w:r>
      <w:r w:rsidRPr="00D44503">
        <w:rPr>
          <w:rFonts w:cs="David" w:hint="cs"/>
          <w:rtl/>
        </w:rPr>
        <w:t>ה</w:t>
      </w:r>
      <w:r w:rsidRPr="00D44503">
        <w:rPr>
          <w:rFonts w:cs="David"/>
          <w:rtl/>
        </w:rPr>
        <w:t>"</w:t>
      </w:r>
      <w:r w:rsidRPr="00D44503">
        <w:rPr>
          <w:rFonts w:cs="David" w:hint="cs"/>
          <w:rtl/>
        </w:rPr>
        <w:t>ש</w:t>
      </w:r>
      <w:r w:rsidRPr="00D44503">
        <w:rPr>
          <w:rFonts w:cs="David"/>
          <w:rtl/>
        </w:rPr>
        <w:t xml:space="preserve"> </w:t>
      </w:r>
      <w:r>
        <w:rPr>
          <w:rFonts w:cs="David"/>
          <w:rtl/>
        </w:rPr>
        <w:fldChar w:fldCharType="begin"/>
      </w:r>
      <w:r>
        <w:rPr>
          <w:rFonts w:cs="David"/>
          <w:rtl/>
        </w:rPr>
        <w:instrText xml:space="preserve"> </w:instrText>
      </w:r>
      <w:r>
        <w:rPr>
          <w:rFonts w:cs="David" w:hint="cs"/>
        </w:rPr>
        <w:instrText>NOTEREF</w:instrText>
      </w:r>
      <w:r>
        <w:rPr>
          <w:rFonts w:cs="David" w:hint="cs"/>
          <w:rtl/>
        </w:rPr>
        <w:instrText xml:space="preserve"> _</w:instrText>
      </w:r>
      <w:r>
        <w:rPr>
          <w:rFonts w:cs="David" w:hint="cs"/>
        </w:rPr>
        <w:instrText>Ref454801611 \h</w:instrText>
      </w:r>
      <w:r>
        <w:rPr>
          <w:rFonts w:cs="David"/>
          <w:rtl/>
        </w:rPr>
        <w:instrText xml:space="preserve"> </w:instrText>
      </w:r>
      <w:r>
        <w:rPr>
          <w:rFonts w:cs="David"/>
          <w:rtl/>
        </w:rPr>
      </w:r>
      <w:r>
        <w:rPr>
          <w:rFonts w:cs="David"/>
          <w:rtl/>
        </w:rPr>
        <w:fldChar w:fldCharType="separate"/>
      </w:r>
      <w:r>
        <w:rPr>
          <w:rFonts w:cs="David"/>
          <w:rtl/>
        </w:rPr>
        <w:t>330</w:t>
      </w:r>
      <w:r>
        <w:rPr>
          <w:rFonts w:cs="David"/>
          <w:rtl/>
        </w:rPr>
        <w:fldChar w:fldCharType="end"/>
      </w:r>
      <w:r w:rsidRPr="00D44503">
        <w:rPr>
          <w:rFonts w:cs="David"/>
          <w:rtl/>
        </w:rPr>
        <w:t xml:space="preserve">, </w:t>
      </w:r>
      <w:r w:rsidRPr="00D44503">
        <w:rPr>
          <w:rFonts w:cs="David" w:hint="cs"/>
          <w:rtl/>
        </w:rPr>
        <w:t>בעמוד</w:t>
      </w:r>
      <w:r w:rsidRPr="00D44503">
        <w:rPr>
          <w:rFonts w:cs="David"/>
          <w:rtl/>
        </w:rPr>
        <w:t xml:space="preserve"> 104.</w:t>
      </w:r>
    </w:p>
  </w:footnote>
  <w:footnote w:id="280">
    <w:p w:rsidR="009B636F" w:rsidRPr="00824BB8" w:rsidRDefault="009B636F" w:rsidP="001B67E3">
      <w:pPr>
        <w:pStyle w:val="a5"/>
        <w:jc w:val="both"/>
        <w:rPr>
          <w:rFonts w:cs="David"/>
        </w:rPr>
      </w:pPr>
      <w:r>
        <w:rPr>
          <w:rStyle w:val="a7"/>
        </w:rPr>
        <w:footnoteRef/>
      </w:r>
      <w:r>
        <w:rPr>
          <w:rtl/>
        </w:rPr>
        <w:t xml:space="preserve"> </w:t>
      </w:r>
      <w:r>
        <w:rPr>
          <w:rFonts w:cs="David" w:hint="cs"/>
          <w:rtl/>
        </w:rPr>
        <w:t>נדרשת לכך הסכמה של שליש מהחברות במועצה, קרי שש עשרה מדינות. במבצעים קצרים, כדוגמת מבצע "עמוד ענן" מנובמבר 2012 שארך שמונה ימים, בדרך כלל לא תספיק המועצה להתכנס למושב חירום בזמן המבצע.</w:t>
      </w:r>
    </w:p>
  </w:footnote>
  <w:footnote w:id="281">
    <w:p w:rsidR="009B636F" w:rsidRPr="002A6558" w:rsidRDefault="009B636F" w:rsidP="00A16FFD">
      <w:pPr>
        <w:pStyle w:val="a5"/>
        <w:jc w:val="both"/>
      </w:pPr>
      <w:r w:rsidRPr="002A6558">
        <w:rPr>
          <w:rStyle w:val="a7"/>
        </w:rPr>
        <w:footnoteRef/>
      </w:r>
      <w:r w:rsidRPr="002A6558">
        <w:rPr>
          <w:rtl/>
        </w:rPr>
        <w:t xml:space="preserve"> </w:t>
      </w:r>
      <w:r w:rsidRPr="002A6558">
        <w:t>Respect for and implementation of human rights in occupied territories, GA Resolution 2443, available at http://www.un.org/en/ga/search/view_doc.asp?symbol=A/RES/2443(XXIII</w:t>
      </w:r>
      <w:r w:rsidRPr="002A6558">
        <w:rPr>
          <w:rFonts w:cs="Arial"/>
        </w:rPr>
        <w:t>)</w:t>
      </w:r>
    </w:p>
  </w:footnote>
  <w:footnote w:id="282">
    <w:p w:rsidR="009B636F" w:rsidRPr="002A6558" w:rsidRDefault="009B636F" w:rsidP="00A16FFD">
      <w:pPr>
        <w:pStyle w:val="a5"/>
        <w:jc w:val="both"/>
      </w:pPr>
      <w:r w:rsidRPr="002A6558">
        <w:rPr>
          <w:rStyle w:val="a7"/>
        </w:rPr>
        <w:footnoteRef/>
      </w:r>
      <w:r w:rsidRPr="002A6558">
        <w:rPr>
          <w:rtl/>
        </w:rPr>
        <w:t xml:space="preserve"> </w:t>
      </w:r>
      <w:r w:rsidRPr="002A6558">
        <w:t>Respect for and implementation of human rights in occupied territories, GA Resolution 2545, available at http://www.un.org/en/ga/search/view_doc.asp?symbol=A/RES/2546(XXIV</w:t>
      </w:r>
      <w:r w:rsidRPr="002A6558">
        <w:rPr>
          <w:rFonts w:cs="Arial"/>
        </w:rPr>
        <w:t>)</w:t>
      </w:r>
    </w:p>
  </w:footnote>
  <w:footnote w:id="283">
    <w:p w:rsidR="009B636F" w:rsidRPr="002A6558" w:rsidRDefault="009B636F" w:rsidP="00A16FFD">
      <w:pPr>
        <w:pStyle w:val="a5"/>
        <w:jc w:val="both"/>
        <w:rPr>
          <w:rtl/>
        </w:rPr>
      </w:pPr>
      <w:r w:rsidRPr="002A6558">
        <w:rPr>
          <w:rStyle w:val="a7"/>
        </w:rPr>
        <w:footnoteRef/>
      </w:r>
      <w:r w:rsidRPr="002A6558">
        <w:rPr>
          <w:rtl/>
        </w:rPr>
        <w:t xml:space="preserve"> </w:t>
      </w:r>
      <w:r w:rsidRPr="002A6558">
        <w:rPr>
          <w:rFonts w:eastAsia="Times New Roman" w:cs="Courier New"/>
          <w:color w:val="000000"/>
        </w:rPr>
        <w:t>Report</w:t>
      </w:r>
      <w:r w:rsidRPr="002A6558">
        <w:rPr>
          <w:rFonts w:eastAsia="Times New Roman" w:cs="Times New Roman"/>
          <w:color w:val="000000"/>
        </w:rPr>
        <w:t xml:space="preserve"> </w:t>
      </w:r>
      <w:r w:rsidRPr="002A6558">
        <w:rPr>
          <w:rFonts w:eastAsia="Times New Roman" w:cs="Courier New"/>
          <w:color w:val="000000"/>
        </w:rPr>
        <w:t>of the</w:t>
      </w:r>
      <w:r w:rsidRPr="002A6558">
        <w:rPr>
          <w:rFonts w:eastAsia="Times New Roman" w:cs="Times New Roman"/>
          <w:color w:val="000000"/>
        </w:rPr>
        <w:t xml:space="preserve"> </w:t>
      </w:r>
      <w:r w:rsidRPr="002A6558">
        <w:rPr>
          <w:rFonts w:eastAsia="Times New Roman" w:cs="Courier New"/>
          <w:color w:val="000000"/>
        </w:rPr>
        <w:t>Special Committee to Investigate</w:t>
      </w:r>
      <w:r w:rsidRPr="002A6558">
        <w:rPr>
          <w:rFonts w:eastAsia="Times New Roman" w:cs="Times New Roman"/>
          <w:color w:val="000000"/>
        </w:rPr>
        <w:t xml:space="preserve"> </w:t>
      </w:r>
      <w:r w:rsidRPr="002A6558">
        <w:rPr>
          <w:rFonts w:eastAsia="Times New Roman" w:cs="Courier New"/>
          <w:color w:val="000000"/>
        </w:rPr>
        <w:t>Israeli Practices Affecting the Human Rights of</w:t>
      </w:r>
      <w:r w:rsidRPr="002A6558">
        <w:rPr>
          <w:rFonts w:eastAsia="Times New Roman" w:cs="Times New Roman"/>
          <w:color w:val="000000"/>
        </w:rPr>
        <w:t xml:space="preserve"> </w:t>
      </w:r>
      <w:r w:rsidRPr="002A6558">
        <w:rPr>
          <w:rFonts w:eastAsia="Times New Roman" w:cs="Courier New"/>
          <w:color w:val="000000"/>
          <w:shd w:val="clear" w:color="auto" w:fill="FFFFFF"/>
        </w:rPr>
        <w:t>the Population of the Occupied Territories</w:t>
      </w:r>
      <w:r w:rsidRPr="002A6558">
        <w:rPr>
          <w:rFonts w:eastAsia="Times New Roman" w:cs="Times New Roman"/>
          <w:color w:val="000000"/>
        </w:rPr>
        <w:t xml:space="preserve">, </w:t>
      </w:r>
      <w:r w:rsidRPr="002A6558">
        <w:rPr>
          <w:rFonts w:eastAsia="Times New Roman" w:cs="Courier New"/>
          <w:color w:val="000000"/>
        </w:rPr>
        <w:t>United Nations</w:t>
      </w:r>
      <w:r w:rsidRPr="002A6558">
        <w:rPr>
          <w:rFonts w:eastAsia="Times New Roman" w:cs="Times New Roman"/>
          <w:color w:val="000000"/>
        </w:rPr>
        <w:t xml:space="preserve">, </w:t>
      </w:r>
      <w:r w:rsidRPr="002A6558">
        <w:rPr>
          <w:rFonts w:eastAsia="Times New Roman" w:cs="Courier New"/>
          <w:color w:val="000000"/>
        </w:rPr>
        <w:t xml:space="preserve">New York, </w:t>
      </w:r>
      <w:r w:rsidRPr="002A6558">
        <w:rPr>
          <w:rFonts w:eastAsia="Times New Roman" w:cs="Courier New"/>
        </w:rPr>
        <w:t xml:space="preserve">A/8089, </w:t>
      </w:r>
      <w:r w:rsidRPr="002A6558">
        <w:rPr>
          <w:rFonts w:cs="Courier New"/>
          <w:color w:val="000000"/>
          <w:shd w:val="clear" w:color="auto" w:fill="FFFFFF"/>
        </w:rPr>
        <w:t>5 October 1970, available at https://unispal.un.org/DPA/DPR/unispal.nsf/0/BC776349EAEE6F28852563E6005EDF08</w:t>
      </w:r>
    </w:p>
  </w:footnote>
  <w:footnote w:id="284">
    <w:p w:rsidR="009B636F" w:rsidRPr="002A6558" w:rsidRDefault="009B636F" w:rsidP="00A16FFD">
      <w:pPr>
        <w:pStyle w:val="a5"/>
        <w:jc w:val="both"/>
        <w:rPr>
          <w:rtl/>
        </w:rPr>
      </w:pPr>
      <w:r w:rsidRPr="002A6558">
        <w:rPr>
          <w:rStyle w:val="a7"/>
        </w:rPr>
        <w:footnoteRef/>
      </w:r>
      <w:r w:rsidRPr="002A6558">
        <w:rPr>
          <w:rtl/>
        </w:rPr>
        <w:t xml:space="preserve"> </w:t>
      </w:r>
      <w:r w:rsidRPr="002A6558">
        <w:rPr>
          <w:rFonts w:cs="Courier New"/>
          <w:shd w:val="clear" w:color="auto" w:fill="FFFFFF"/>
        </w:rPr>
        <w:t xml:space="preserve">Report of the Special Working Group of Experts Established under Resolution 6 (Xxv) of the Commission on Human Rights, Commission on Human Rights, </w:t>
      </w:r>
      <w:r w:rsidRPr="002A6558">
        <w:rPr>
          <w:rFonts w:eastAsia="Times New Roman" w:cs="Courier New"/>
        </w:rPr>
        <w:br/>
        <w:t>E/Cn.4/1016</w:t>
      </w:r>
      <w:r w:rsidRPr="002A6558">
        <w:rPr>
          <w:rFonts w:eastAsia="Times New Roman" w:cs="Times New Roman"/>
        </w:rPr>
        <w:t xml:space="preserve">, </w:t>
      </w:r>
      <w:r w:rsidRPr="002A6558">
        <w:rPr>
          <w:rFonts w:eastAsia="Times New Roman" w:cs="Courier New"/>
        </w:rPr>
        <w:t xml:space="preserve">20 January 1970, available at </w:t>
      </w:r>
      <w:hyperlink r:id="rId32" w:history="1">
        <w:r w:rsidRPr="002A6558">
          <w:rPr>
            <w:shd w:val="clear" w:color="auto" w:fill="FFFFFF"/>
          </w:rPr>
          <w:t>https://unispal.un.org/DPA/DPR/unispal.nsf/0/157049457C05A2BC85256EE700666AF2</w:t>
        </w:r>
      </w:hyperlink>
    </w:p>
  </w:footnote>
  <w:footnote w:id="285">
    <w:p w:rsidR="009B636F" w:rsidRPr="002A6558" w:rsidRDefault="009B636F" w:rsidP="00A16FFD">
      <w:pPr>
        <w:pStyle w:val="a5"/>
        <w:jc w:val="both"/>
        <w:rPr>
          <w:rtl/>
        </w:rPr>
      </w:pPr>
      <w:r w:rsidRPr="002A6558">
        <w:rPr>
          <w:rStyle w:val="a7"/>
        </w:rPr>
        <w:footnoteRef/>
      </w:r>
      <w:r w:rsidRPr="002A6558">
        <w:rPr>
          <w:rtl/>
        </w:rPr>
        <w:t xml:space="preserve"> </w:t>
      </w:r>
      <w:r w:rsidRPr="002A6558">
        <w:t>17 UNESCO General Conference, 1 RESOLUTIONS 106, UNESCO Doc. 17C/Res.10.1 (1972), available at http://unesdoc.unesco.org/images/0011/001140/114044E.pdf</w:t>
      </w:r>
    </w:p>
  </w:footnote>
  <w:footnote w:id="286">
    <w:p w:rsidR="009B636F" w:rsidRPr="002A6558" w:rsidRDefault="009B636F" w:rsidP="00A16FFD">
      <w:pPr>
        <w:pStyle w:val="a5"/>
        <w:jc w:val="both"/>
        <w:rPr>
          <w:rtl/>
        </w:rPr>
      </w:pPr>
      <w:r w:rsidRPr="002A6558">
        <w:rPr>
          <w:rStyle w:val="a7"/>
        </w:rPr>
        <w:footnoteRef/>
      </w:r>
      <w:r w:rsidRPr="002A6558">
        <w:rPr>
          <w:rtl/>
        </w:rPr>
        <w:t xml:space="preserve"> </w:t>
      </w:r>
      <w:r>
        <w:t>Report by the Director</w:t>
      </w:r>
      <w:r w:rsidRPr="002A6558">
        <w:t>-General on the Situation with Regard to National Education and Cultural Life in the Occupied Arab Territories, UNESCO Doc. 18C/16, at 3, para. 1 (1974), available at http://unesdoc.unesco.org/images/0001/000104/010428eb.pdf</w:t>
      </w:r>
    </w:p>
  </w:footnote>
  <w:footnote w:id="287">
    <w:p w:rsidR="009B636F" w:rsidRPr="002A6558" w:rsidRDefault="009B636F" w:rsidP="00A16FFD">
      <w:pPr>
        <w:pStyle w:val="a5"/>
        <w:jc w:val="both"/>
      </w:pPr>
      <w:r w:rsidRPr="002A6558">
        <w:rPr>
          <w:rStyle w:val="a7"/>
        </w:rPr>
        <w:footnoteRef/>
      </w:r>
      <w:r w:rsidRPr="002A6558">
        <w:rPr>
          <w:rtl/>
        </w:rPr>
        <w:t xml:space="preserve"> </w:t>
      </w:r>
      <w:r w:rsidRPr="002A6558">
        <w:t>18 UNESCO General Conference, 1 RESOLUTIONS 118, UNESCO Doc. 18C/Res.13.1 (1974), available at http://unesdoc.unesco.org/images/0011/001140/114040E.pdf</w:t>
      </w:r>
    </w:p>
  </w:footnote>
  <w:footnote w:id="288">
    <w:p w:rsidR="009B636F" w:rsidRPr="002A6558" w:rsidRDefault="009B636F" w:rsidP="00A16FFD">
      <w:pPr>
        <w:pStyle w:val="a5"/>
        <w:jc w:val="both"/>
      </w:pPr>
      <w:r w:rsidRPr="002A6558">
        <w:rPr>
          <w:rStyle w:val="a7"/>
        </w:rPr>
        <w:footnoteRef/>
      </w:r>
      <w:r w:rsidRPr="002A6558">
        <w:rPr>
          <w:rtl/>
        </w:rPr>
        <w:t xml:space="preserve"> </w:t>
      </w:r>
      <w:r w:rsidRPr="002A6558">
        <w:t>Report of the Director-General on the Implementation of 18C/Resolution 13 concerning Educational and Cultural Institutions in the Occupied Arab Territories, UNESCO Doc. 99EX/50, at 3, paras. 4, 5 (1976) [in UNESCO Doc. 19C/73, Ann. I (1976)], available at http://unesdoc.unesco.org/images/0002/000223/022312eb.pdf</w:t>
      </w:r>
    </w:p>
  </w:footnote>
  <w:footnote w:id="289">
    <w:p w:rsidR="009B636F" w:rsidRPr="002A6558" w:rsidRDefault="009B636F" w:rsidP="00A16FFD">
      <w:pPr>
        <w:pStyle w:val="a5"/>
        <w:jc w:val="both"/>
        <w:rPr>
          <w:rtl/>
        </w:rPr>
      </w:pPr>
      <w:r w:rsidRPr="002A6558">
        <w:rPr>
          <w:rStyle w:val="a7"/>
        </w:rPr>
        <w:footnoteRef/>
      </w:r>
      <w:r w:rsidRPr="002A6558">
        <w:rPr>
          <w:rtl/>
        </w:rPr>
        <w:t xml:space="preserve"> </w:t>
      </w:r>
      <w:r w:rsidRPr="002A6558">
        <w:t>Implementation of 18C/Resolution 13.1 and 19C/Resolution 15.1 Concerning Educational and Cultural Institutions in the Occupied Arab Territories: Report of the Director-General on the Mission He Sent to the Arab Territories Occupied by Israel to Collect on--the--spot Information on the Educational and Cultural Situation, UNESCO Doc. 104EX/52, available at http://unesdoc.unesco.org/images/0002/000285/028517eb.pdf</w:t>
      </w:r>
    </w:p>
  </w:footnote>
  <w:footnote w:id="290">
    <w:p w:rsidR="009B636F" w:rsidRPr="002A6558" w:rsidRDefault="009B636F" w:rsidP="00530D03">
      <w:pPr>
        <w:pStyle w:val="a5"/>
        <w:jc w:val="both"/>
        <w:rPr>
          <w:rtl/>
        </w:rPr>
      </w:pPr>
      <w:r w:rsidRPr="002A6558">
        <w:rPr>
          <w:rStyle w:val="a7"/>
        </w:rPr>
        <w:footnoteRef/>
      </w:r>
      <w:r w:rsidRPr="002A6558">
        <w:rPr>
          <w:rtl/>
        </w:rPr>
        <w:t xml:space="preserve"> </w:t>
      </w:r>
      <w:r w:rsidRPr="002A6558">
        <w:rPr>
          <w:rFonts w:cs="David" w:hint="cs"/>
          <w:rtl/>
        </w:rPr>
        <w:t>וראה ביקורתו החריפה של פראנק, ה"ש</w:t>
      </w:r>
      <w:r>
        <w:rPr>
          <w:rFonts w:cs="David" w:hint="cs"/>
          <w:rtl/>
        </w:rPr>
        <w:t xml:space="preserve"> </w:t>
      </w:r>
      <w:r>
        <w:rPr>
          <w:rFonts w:cs="David"/>
          <w:rtl/>
        </w:rPr>
        <w:fldChar w:fldCharType="begin"/>
      </w:r>
      <w:r>
        <w:rPr>
          <w:rFonts w:cs="David"/>
          <w:rtl/>
        </w:rPr>
        <w:instrText xml:space="preserve"> </w:instrText>
      </w:r>
      <w:r>
        <w:rPr>
          <w:rFonts w:cs="David" w:hint="cs"/>
        </w:rPr>
        <w:instrText>NOTEREF</w:instrText>
      </w:r>
      <w:r>
        <w:rPr>
          <w:rFonts w:cs="David" w:hint="cs"/>
          <w:rtl/>
        </w:rPr>
        <w:instrText xml:space="preserve"> _</w:instrText>
      </w:r>
      <w:r>
        <w:rPr>
          <w:rFonts w:cs="David" w:hint="cs"/>
        </w:rPr>
        <w:instrText>Ref450296810 \h</w:instrText>
      </w:r>
      <w:r>
        <w:rPr>
          <w:rFonts w:cs="David"/>
          <w:rtl/>
        </w:rPr>
        <w:instrText xml:space="preserve"> </w:instrText>
      </w:r>
      <w:r>
        <w:rPr>
          <w:rFonts w:cs="David"/>
          <w:rtl/>
        </w:rPr>
      </w:r>
      <w:r>
        <w:rPr>
          <w:rFonts w:cs="David"/>
          <w:rtl/>
        </w:rPr>
        <w:fldChar w:fldCharType="separate"/>
      </w:r>
      <w:r>
        <w:rPr>
          <w:rFonts w:cs="David"/>
          <w:rtl/>
        </w:rPr>
        <w:t>183</w:t>
      </w:r>
      <w:r>
        <w:rPr>
          <w:rFonts w:cs="David"/>
          <w:rtl/>
        </w:rPr>
        <w:fldChar w:fldCharType="end"/>
      </w:r>
      <w:r w:rsidRPr="002A6558">
        <w:rPr>
          <w:rFonts w:cs="David" w:hint="cs"/>
          <w:rtl/>
        </w:rPr>
        <w:t>, בעמודים 11-12, שמעלה את החשד החזק שהמנכ"ל ניסה להסתיר חלקים של הדוח שלא ביקרו את ישראל ומבקר גם את העובדה שהמנכ"ל צירף את הדוח החריף ביותר כלפי ישראל של הנציגה הצרפתייה, שכלל לא הייתה חברה במשלחת.</w:t>
      </w:r>
    </w:p>
  </w:footnote>
  <w:footnote w:id="291">
    <w:p w:rsidR="009B636F" w:rsidRPr="002A6558" w:rsidRDefault="009B636F" w:rsidP="00A16FFD">
      <w:pPr>
        <w:pStyle w:val="a5"/>
        <w:jc w:val="both"/>
      </w:pPr>
      <w:r w:rsidRPr="002A6558">
        <w:rPr>
          <w:rStyle w:val="a7"/>
        </w:rPr>
        <w:footnoteRef/>
      </w:r>
      <w:r w:rsidRPr="002A6558">
        <w:rPr>
          <w:rtl/>
        </w:rPr>
        <w:t xml:space="preserve"> </w:t>
      </w:r>
      <w:r w:rsidRPr="002A6558">
        <w:t xml:space="preserve">See 20 UNESCO Gen'l Conf. Draft Res., UNESCO Doc. 20C/PRG/V/DR.16 (November 13, 1978), Doc. 104 EX/52, Res. 14.1, p. 139, available at http://unesdoc.unesco.org/images/0011/001140/114032e.pdf </w:t>
      </w:r>
    </w:p>
  </w:footnote>
  <w:footnote w:id="292">
    <w:p w:rsidR="009B636F" w:rsidRPr="002A6558" w:rsidRDefault="009B636F" w:rsidP="00A16FFD">
      <w:pPr>
        <w:pStyle w:val="a5"/>
        <w:jc w:val="both"/>
      </w:pPr>
      <w:r w:rsidRPr="002A6558">
        <w:rPr>
          <w:rStyle w:val="a7"/>
        </w:rPr>
        <w:footnoteRef/>
      </w:r>
      <w:r w:rsidRPr="002A6558">
        <w:rPr>
          <w:rtl/>
        </w:rPr>
        <w:t xml:space="preserve"> </w:t>
      </w:r>
      <w:r w:rsidRPr="002A6558">
        <w:rPr>
          <w:rFonts w:hint="cs"/>
        </w:rPr>
        <w:t>I</w:t>
      </w:r>
      <w:r w:rsidRPr="002A6558">
        <w:t>mplementation of 18C/Resolution 13.1, 19C/Resolution 15.1 and 20C/Resolution 14.1, Concerning Educational and Cultural Institutions in the Occupied Arab Territories: Report of the Director General, 5 September 1980, available at http://unesdoc.unesco.org/images/0004/000418/041803eb.pdf</w:t>
      </w:r>
    </w:p>
  </w:footnote>
  <w:footnote w:id="293">
    <w:p w:rsidR="009B636F" w:rsidRPr="002A6558" w:rsidRDefault="009B636F" w:rsidP="00A16FFD">
      <w:pPr>
        <w:pStyle w:val="a5"/>
        <w:jc w:val="both"/>
      </w:pPr>
      <w:r w:rsidRPr="002A6558">
        <w:rPr>
          <w:rStyle w:val="a7"/>
        </w:rPr>
        <w:footnoteRef/>
      </w:r>
      <w:r w:rsidRPr="002A6558">
        <w:rPr>
          <w:rtl/>
        </w:rPr>
        <w:t xml:space="preserve"> </w:t>
      </w:r>
      <w:r w:rsidRPr="002A6558">
        <w:t>21 UNESCO Gen'l Conf., 1 Resolutions 114, Resolution 14.1, available at http://unesdoc.unesco.org/images/0011/001140/114029e.pdf</w:t>
      </w:r>
    </w:p>
  </w:footnote>
  <w:footnote w:id="294">
    <w:p w:rsidR="009B636F" w:rsidRPr="002A6558" w:rsidRDefault="009B636F" w:rsidP="00A16FFD">
      <w:pPr>
        <w:pStyle w:val="a5"/>
        <w:jc w:val="both"/>
      </w:pPr>
      <w:r w:rsidRPr="002A6558">
        <w:rPr>
          <w:rStyle w:val="a7"/>
        </w:rPr>
        <w:footnoteRef/>
      </w:r>
      <w:r w:rsidRPr="002A6558">
        <w:rPr>
          <w:rtl/>
        </w:rPr>
        <w:t xml:space="preserve"> </w:t>
      </w:r>
      <w:r w:rsidRPr="002A6558">
        <w:t xml:space="preserve">Letter Dated 7 May 1996 from the Secretary-General Addressed to the President of the Security Council, S/1996/337, </w:t>
      </w:r>
      <w:r>
        <w:t xml:space="preserve">available at </w:t>
      </w:r>
      <w:r w:rsidRPr="002A6558">
        <w:t>http://www.un.org/ga/search/view_doc.asp?symbol=S/1996/337</w:t>
      </w:r>
    </w:p>
  </w:footnote>
  <w:footnote w:id="295">
    <w:p w:rsidR="009B636F" w:rsidRPr="00B31CD0" w:rsidRDefault="009B636F" w:rsidP="00A16FFD">
      <w:pPr>
        <w:spacing w:after="0" w:line="240" w:lineRule="auto"/>
        <w:jc w:val="both"/>
        <w:rPr>
          <w:rFonts w:ascii="Times New Roman" w:eastAsia="Times New Roman" w:hAnsi="Times New Roman" w:cs="Times New Roman"/>
          <w:sz w:val="24"/>
          <w:szCs w:val="24"/>
        </w:rPr>
      </w:pPr>
      <w:r>
        <w:rPr>
          <w:rStyle w:val="a7"/>
        </w:rPr>
        <w:footnoteRef/>
      </w:r>
      <w:r>
        <w:rPr>
          <w:rtl/>
        </w:rPr>
        <w:t xml:space="preserve"> </w:t>
      </w:r>
      <w:r w:rsidRPr="00B31CD0">
        <w:rPr>
          <w:sz w:val="20"/>
          <w:szCs w:val="20"/>
          <w:shd w:val="clear" w:color="auto" w:fill="FFFFFF"/>
        </w:rPr>
        <w:t>Grave and massive violations of the human rights of the Palestinian people by Israel</w:t>
      </w:r>
      <w:r w:rsidRPr="00B31CD0">
        <w:rPr>
          <w:sz w:val="20"/>
          <w:szCs w:val="20"/>
        </w:rPr>
        <w:t xml:space="preserve">, </w:t>
      </w:r>
      <w:r w:rsidRPr="00B31CD0">
        <w:rPr>
          <w:sz w:val="20"/>
          <w:szCs w:val="20"/>
          <w:shd w:val="clear" w:color="auto" w:fill="FFFFFF"/>
        </w:rPr>
        <w:t xml:space="preserve">The Commission on Human Rights, </w:t>
      </w:r>
      <w:r w:rsidRPr="00B31CD0">
        <w:rPr>
          <w:rFonts w:eastAsia="Times New Roman" w:cs="Courier New"/>
          <w:sz w:val="20"/>
          <w:szCs w:val="20"/>
        </w:rPr>
        <w:t>E/CN.4/RES/S-5/1, 19 October 2000, available at https://unispal.un.org/DPA/DPR/unispal.nsf/0/5E0A5C4A07784BC885256A0200645731</w:t>
      </w:r>
    </w:p>
  </w:footnote>
  <w:footnote w:id="296">
    <w:p w:rsidR="009B636F" w:rsidRDefault="009B636F" w:rsidP="00A16FFD">
      <w:pPr>
        <w:pStyle w:val="a5"/>
        <w:jc w:val="both"/>
      </w:pPr>
      <w:r>
        <w:rPr>
          <w:rStyle w:val="a7"/>
        </w:rPr>
        <w:footnoteRef/>
      </w:r>
      <w:r>
        <w:rPr>
          <w:rtl/>
        </w:rPr>
        <w:t xml:space="preserve"> </w:t>
      </w:r>
      <w:r>
        <w:t xml:space="preserve">Report of the High Commissioner on her visit to the occupied Palestinian territories, Israel, Egypt and Jordan (8-16 November 2000), E/CN.4/2001/114,29 November 2000, available at </w:t>
      </w:r>
      <w:r w:rsidRPr="0004711E">
        <w:t>https://documents-dds-ny.un.org/doc/UNDOC/GEN/G00/159/46/PDF/G0015946.pdf?OpenElement</w:t>
      </w:r>
    </w:p>
  </w:footnote>
  <w:footnote w:id="297">
    <w:p w:rsidR="009B636F" w:rsidRPr="00B31CD0" w:rsidRDefault="009B636F" w:rsidP="002F7A44">
      <w:pPr>
        <w:pStyle w:val="a5"/>
        <w:jc w:val="both"/>
        <w:rPr>
          <w:rFonts w:cs="David"/>
        </w:rPr>
      </w:pPr>
      <w:r>
        <w:rPr>
          <w:rStyle w:val="a7"/>
        </w:rPr>
        <w:footnoteRef/>
      </w:r>
      <w:r>
        <w:rPr>
          <w:rtl/>
        </w:rPr>
        <w:t xml:space="preserve"> </w:t>
      </w:r>
      <w:r>
        <w:rPr>
          <w:rFonts w:cs="David" w:hint="cs"/>
          <w:rtl/>
        </w:rPr>
        <w:t xml:space="preserve">ראה ה"ש </w:t>
      </w:r>
      <w:r>
        <w:rPr>
          <w:rFonts w:cs="David"/>
          <w:rtl/>
        </w:rPr>
        <w:fldChar w:fldCharType="begin"/>
      </w:r>
      <w:r>
        <w:rPr>
          <w:rFonts w:cs="David"/>
          <w:rtl/>
        </w:rPr>
        <w:instrText xml:space="preserve"> </w:instrText>
      </w:r>
      <w:r>
        <w:rPr>
          <w:rFonts w:cs="David" w:hint="cs"/>
        </w:rPr>
        <w:instrText>NOTEREF</w:instrText>
      </w:r>
      <w:r>
        <w:rPr>
          <w:rFonts w:cs="David" w:hint="cs"/>
          <w:rtl/>
        </w:rPr>
        <w:instrText xml:space="preserve"> _</w:instrText>
      </w:r>
      <w:r>
        <w:rPr>
          <w:rFonts w:cs="David" w:hint="cs"/>
        </w:rPr>
        <w:instrText>Ref455330435 \h</w:instrText>
      </w:r>
      <w:r>
        <w:rPr>
          <w:rFonts w:cs="David"/>
          <w:rtl/>
        </w:rPr>
        <w:instrText xml:space="preserve"> </w:instrText>
      </w:r>
      <w:r>
        <w:rPr>
          <w:rFonts w:cs="David"/>
          <w:rtl/>
        </w:rPr>
      </w:r>
      <w:r>
        <w:rPr>
          <w:rFonts w:cs="David"/>
          <w:rtl/>
        </w:rPr>
        <w:fldChar w:fldCharType="separate"/>
      </w:r>
      <w:r>
        <w:rPr>
          <w:rFonts w:cs="David"/>
          <w:rtl/>
        </w:rPr>
        <w:t>297</w:t>
      </w:r>
      <w:r>
        <w:rPr>
          <w:rFonts w:cs="David"/>
          <w:rtl/>
        </w:rPr>
        <w:fldChar w:fldCharType="end"/>
      </w:r>
      <w:r>
        <w:rPr>
          <w:rFonts w:cs="David" w:hint="cs"/>
          <w:rtl/>
        </w:rPr>
        <w:t>.</w:t>
      </w:r>
    </w:p>
  </w:footnote>
  <w:footnote w:id="298">
    <w:p w:rsidR="009B636F" w:rsidRPr="002A6558" w:rsidRDefault="009B636F" w:rsidP="00A16FFD">
      <w:pPr>
        <w:pStyle w:val="a5"/>
        <w:jc w:val="both"/>
      </w:pPr>
      <w:r w:rsidRPr="002A6558">
        <w:rPr>
          <w:rStyle w:val="a7"/>
        </w:rPr>
        <w:footnoteRef/>
      </w:r>
      <w:r w:rsidRPr="002A6558">
        <w:rPr>
          <w:rtl/>
        </w:rPr>
        <w:t xml:space="preserve"> </w:t>
      </w:r>
      <w:r w:rsidRPr="002A6558">
        <w:t>Question of the violation of human rights in the occupied Arab territories, including Palestine - Report of the human rights inquiry commission, E/CN.4/2001/121, https://documents-dds-ny.un.org/doc/UNDOC/GEN/G01/118/72/PDF/G0111872.pdf?OpenElement</w:t>
      </w:r>
    </w:p>
  </w:footnote>
  <w:footnote w:id="299">
    <w:p w:rsidR="009B636F" w:rsidRPr="002A6558" w:rsidRDefault="009B636F" w:rsidP="00A16FFD">
      <w:pPr>
        <w:pStyle w:val="a5"/>
        <w:jc w:val="both"/>
        <w:rPr>
          <w:rtl/>
        </w:rPr>
      </w:pPr>
      <w:r w:rsidRPr="002A6558">
        <w:rPr>
          <w:rStyle w:val="a7"/>
        </w:rPr>
        <w:footnoteRef/>
      </w:r>
      <w:r w:rsidRPr="002A6558">
        <w:rPr>
          <w:rtl/>
        </w:rPr>
        <w:t xml:space="preserve"> </w:t>
      </w:r>
      <w:r w:rsidRPr="002A6558">
        <w:rPr>
          <w:rFonts w:cs="David" w:hint="cs"/>
          <w:rtl/>
        </w:rPr>
        <w:t>פסקאות 7-9 לדוח הוועדה.</w:t>
      </w:r>
    </w:p>
  </w:footnote>
  <w:footnote w:id="300">
    <w:p w:rsidR="009B636F" w:rsidRPr="002A6558" w:rsidRDefault="009B636F" w:rsidP="00A16FFD">
      <w:pPr>
        <w:pStyle w:val="a5"/>
        <w:jc w:val="both"/>
      </w:pPr>
      <w:r w:rsidRPr="002A6558">
        <w:rPr>
          <w:rStyle w:val="a7"/>
        </w:rPr>
        <w:footnoteRef/>
      </w:r>
      <w:r w:rsidRPr="002A6558">
        <w:rPr>
          <w:rtl/>
        </w:rPr>
        <w:t xml:space="preserve"> </w:t>
      </w:r>
      <w:r w:rsidRPr="002A6558">
        <w:t>S/RES/1405 (2002), http://www.un.org/en/ga/search/view_doc.asp?symbol=S/RES/1405(2002</w:t>
      </w:r>
      <w:r w:rsidRPr="002A6558">
        <w:rPr>
          <w:rFonts w:cs="Arial"/>
        </w:rPr>
        <w:t>)</w:t>
      </w:r>
    </w:p>
  </w:footnote>
  <w:footnote w:id="301">
    <w:p w:rsidR="009B636F" w:rsidRPr="002A6558" w:rsidRDefault="009B636F" w:rsidP="00A16FFD">
      <w:pPr>
        <w:pStyle w:val="a5"/>
        <w:jc w:val="both"/>
        <w:rPr>
          <w:rtl/>
        </w:rPr>
      </w:pPr>
      <w:r w:rsidRPr="002A6558">
        <w:rPr>
          <w:rStyle w:val="a7"/>
        </w:rPr>
        <w:footnoteRef/>
      </w:r>
      <w:r w:rsidRPr="002A6558">
        <w:rPr>
          <w:rtl/>
        </w:rPr>
        <w:t xml:space="preserve"> </w:t>
      </w:r>
      <w:r w:rsidRPr="0030030B">
        <w:t>Secretary-General Disbanding Jenin Fact-Finding Team</w:t>
      </w:r>
      <w:r w:rsidRPr="00397737">
        <w:t xml:space="preserve">, </w:t>
      </w:r>
      <w:hyperlink r:id="rId33" w:history="1">
        <w:r w:rsidRPr="00397737">
          <w:t>Secretary-General</w:t>
        </w:r>
      </w:hyperlink>
      <w:r w:rsidRPr="00397737">
        <w:t xml:space="preserve">, </w:t>
      </w:r>
      <w:hyperlink r:id="rId34" w:history="1">
        <w:r w:rsidRPr="00397737">
          <w:t>Press Release</w:t>
        </w:r>
      </w:hyperlink>
      <w:r w:rsidRPr="00397737">
        <w:t>,</w:t>
      </w:r>
      <w:r>
        <w:t xml:space="preserve"> </w:t>
      </w:r>
      <w:r w:rsidRPr="002A6558">
        <w:t>http://www.un.org/press/en/2002/sgsm8220.doc.htm</w:t>
      </w:r>
    </w:p>
  </w:footnote>
  <w:footnote w:id="302">
    <w:p w:rsidR="009B636F" w:rsidRPr="002A6558" w:rsidRDefault="009B636F" w:rsidP="00A16FFD">
      <w:pPr>
        <w:pStyle w:val="a5"/>
        <w:jc w:val="both"/>
      </w:pPr>
      <w:r w:rsidRPr="002A6558">
        <w:rPr>
          <w:rStyle w:val="a7"/>
        </w:rPr>
        <w:footnoteRef/>
      </w:r>
      <w:r w:rsidRPr="002A6558">
        <w:rPr>
          <w:rtl/>
        </w:rPr>
        <w:t xml:space="preserve"> </w:t>
      </w:r>
      <w:r w:rsidRPr="002A6558">
        <w:t xml:space="preserve">Illegal Israeli actions in Occupied East Jerusalem and the rest of the Occupied Palestinian Territory, A/RES/ES-10/10, </w:t>
      </w:r>
      <w:r>
        <w:t xml:space="preserve">available at </w:t>
      </w:r>
      <w:r w:rsidRPr="002A6558">
        <w:t>http://www.un.org/en/ga/search/view_doc.asp?symbol=A/RES/ES-10/10</w:t>
      </w:r>
    </w:p>
  </w:footnote>
  <w:footnote w:id="303">
    <w:p w:rsidR="009B636F" w:rsidRPr="002A6558" w:rsidRDefault="009B636F" w:rsidP="00A16FFD">
      <w:pPr>
        <w:pStyle w:val="a5"/>
        <w:jc w:val="both"/>
        <w:rPr>
          <w:rtl/>
        </w:rPr>
      </w:pPr>
      <w:r w:rsidRPr="002A6558">
        <w:rPr>
          <w:rStyle w:val="a7"/>
        </w:rPr>
        <w:footnoteRef/>
      </w:r>
      <w:r w:rsidRPr="002A6558">
        <w:rPr>
          <w:rtl/>
        </w:rPr>
        <w:t xml:space="preserve"> </w:t>
      </w:r>
      <w:r w:rsidRPr="002A6558">
        <w:t>Report of the Secretary-General prepared pursuant to General Assembly resolution ES-10/10, available at https://web.archive.org/web/20080911045522/http://www.un.org/peace/jenin/index.html</w:t>
      </w:r>
    </w:p>
  </w:footnote>
  <w:footnote w:id="304">
    <w:p w:rsidR="009B636F" w:rsidRPr="002A6558" w:rsidRDefault="009B636F" w:rsidP="00203898">
      <w:pPr>
        <w:spacing w:after="0" w:line="240" w:lineRule="auto"/>
        <w:jc w:val="both"/>
        <w:rPr>
          <w:sz w:val="20"/>
          <w:szCs w:val="20"/>
          <w:rtl/>
        </w:rPr>
      </w:pPr>
      <w:r w:rsidRPr="002A6558">
        <w:rPr>
          <w:rStyle w:val="a7"/>
          <w:sz w:val="20"/>
          <w:szCs w:val="20"/>
        </w:rPr>
        <w:footnoteRef/>
      </w:r>
      <w:r w:rsidRPr="002A6558">
        <w:rPr>
          <w:sz w:val="20"/>
          <w:szCs w:val="20"/>
          <w:rtl/>
        </w:rPr>
        <w:t xml:space="preserve"> </w:t>
      </w:r>
      <w:r w:rsidRPr="002A6558">
        <w:rPr>
          <w:rFonts w:eastAsia="Times New Roman" w:cs="Times New Roman"/>
          <w:sz w:val="20"/>
          <w:szCs w:val="20"/>
        </w:rPr>
        <w:t>UN Human Rights Council, Resolution S-2/1: The grave situation of human rights in Lebanon caused by Israeli military operations, 11 August 2006, Resolution S-2/1, available at: http://www.refworld.org/docid/47bae9cd2.html</w:t>
      </w:r>
      <w:r w:rsidRPr="002A6558">
        <w:rPr>
          <w:rFonts w:hint="cs"/>
          <w:sz w:val="20"/>
          <w:szCs w:val="20"/>
        </w:rPr>
        <w:t xml:space="preserve"> </w:t>
      </w:r>
    </w:p>
  </w:footnote>
  <w:footnote w:id="305">
    <w:p w:rsidR="009B636F" w:rsidRPr="002A6558" w:rsidRDefault="009B636F" w:rsidP="00A16FFD">
      <w:pPr>
        <w:spacing w:after="0" w:line="240" w:lineRule="auto"/>
        <w:jc w:val="both"/>
        <w:rPr>
          <w:rFonts w:ascii="Helvetica" w:eastAsia="Times New Roman" w:hAnsi="Helvetica" w:cs="Times New Roman"/>
          <w:sz w:val="20"/>
          <w:szCs w:val="20"/>
          <w:rtl/>
        </w:rPr>
      </w:pPr>
      <w:r w:rsidRPr="002A6558">
        <w:rPr>
          <w:rStyle w:val="a7"/>
          <w:sz w:val="20"/>
          <w:szCs w:val="20"/>
        </w:rPr>
        <w:footnoteRef/>
      </w:r>
      <w:r w:rsidRPr="002A6558">
        <w:rPr>
          <w:sz w:val="20"/>
          <w:szCs w:val="20"/>
          <w:rtl/>
        </w:rPr>
        <w:t xml:space="preserve"> </w:t>
      </w:r>
      <w:r w:rsidRPr="002A6558">
        <w:rPr>
          <w:rFonts w:eastAsia="Times New Roman" w:cs="Times New Roman"/>
          <w:sz w:val="20"/>
          <w:szCs w:val="20"/>
        </w:rPr>
        <w:t xml:space="preserve">UN Human Rights Council, Report of the Commission of Inquiry on Lebanon Pursuant to Human Rights Council Resolution S-2/1, 23 November 2006, A/HRC/3/2, </w:t>
      </w:r>
      <w:r>
        <w:rPr>
          <w:rFonts w:eastAsia="Times New Roman" w:cs="Times New Roman"/>
          <w:sz w:val="20"/>
          <w:szCs w:val="20"/>
        </w:rPr>
        <w:t xml:space="preserve">available at </w:t>
      </w:r>
      <w:r w:rsidRPr="002A6558">
        <w:rPr>
          <w:rFonts w:eastAsia="Times New Roman" w:cs="Times New Roman"/>
          <w:sz w:val="20"/>
          <w:szCs w:val="20"/>
        </w:rPr>
        <w:t>http://www.securitycouncilreport.org/atf/cf/%7B65BFCF9B-6D27-4E9C-8CD3-CF6E4FF96FF9%7D/Lebanon%20A%20HRC%203%202.pdf</w:t>
      </w:r>
    </w:p>
  </w:footnote>
  <w:footnote w:id="306">
    <w:p w:rsidR="009B636F" w:rsidRPr="002A6558" w:rsidRDefault="009B636F" w:rsidP="00A16FFD">
      <w:pPr>
        <w:pStyle w:val="a5"/>
        <w:jc w:val="both"/>
        <w:rPr>
          <w:rtl/>
        </w:rPr>
      </w:pPr>
      <w:r w:rsidRPr="002A6558">
        <w:rPr>
          <w:rStyle w:val="a7"/>
        </w:rPr>
        <w:footnoteRef/>
      </w:r>
      <w:r w:rsidRPr="002A6558">
        <w:rPr>
          <w:rtl/>
        </w:rPr>
        <w:t xml:space="preserve"> </w:t>
      </w:r>
      <w:r w:rsidRPr="002A6558">
        <w:rPr>
          <w:rFonts w:cs="David" w:hint="cs"/>
          <w:rtl/>
        </w:rPr>
        <w:t>סעיף 19 לדוח הוועדה</w:t>
      </w:r>
    </w:p>
  </w:footnote>
  <w:footnote w:id="307">
    <w:p w:rsidR="009B636F" w:rsidRPr="002A6558" w:rsidRDefault="009B636F" w:rsidP="00203898">
      <w:pPr>
        <w:pStyle w:val="a5"/>
        <w:jc w:val="both"/>
        <w:rPr>
          <w:rFonts w:eastAsia="Times New Roman" w:cs="Times New Roman"/>
          <w:rtl/>
        </w:rPr>
      </w:pPr>
      <w:r w:rsidRPr="002A6558">
        <w:rPr>
          <w:rStyle w:val="a7"/>
        </w:rPr>
        <w:footnoteRef/>
      </w:r>
      <w:r w:rsidRPr="002A6558">
        <w:rPr>
          <w:rtl/>
        </w:rPr>
        <w:t xml:space="preserve"> </w:t>
      </w:r>
      <w:r w:rsidRPr="002A6558">
        <w:rPr>
          <w:rFonts w:eastAsia="Times New Roman" w:cs="Times New Roman"/>
        </w:rPr>
        <w:t>UN Human Rights Council, Resolution S-3/1: Human rights violations emanating from Israeli military incursions in the Occupied Palestinian Territory, including the recent one in northern Gaza and the assault on Beit Hanoun, 15 November 2006, Resolution S-3/1, available at: http://www.refworld.org/docid/47baec5c2.html</w:t>
      </w:r>
    </w:p>
  </w:footnote>
  <w:footnote w:id="308">
    <w:p w:rsidR="009B636F" w:rsidRPr="002A6558" w:rsidRDefault="009B636F" w:rsidP="00A16FFD">
      <w:pPr>
        <w:pStyle w:val="a5"/>
        <w:jc w:val="both"/>
      </w:pPr>
      <w:r w:rsidRPr="002A6558">
        <w:rPr>
          <w:rStyle w:val="a7"/>
        </w:rPr>
        <w:footnoteRef/>
      </w:r>
      <w:r w:rsidRPr="002A6558">
        <w:rPr>
          <w:rtl/>
        </w:rPr>
        <w:t xml:space="preserve"> </w:t>
      </w:r>
      <w:r w:rsidRPr="002A6558">
        <w:t xml:space="preserve">UN Human Rights Council, </w:t>
      </w:r>
      <w:r w:rsidRPr="002A6558">
        <w:rPr>
          <w:shd w:val="clear" w:color="auto" w:fill="FFFFFF"/>
        </w:rPr>
        <w:t>Report of the High-Level Fact-Finding Mission to Beit Hanoun</w:t>
      </w:r>
      <w:r w:rsidRPr="002A6558">
        <w:br/>
      </w:r>
      <w:r w:rsidRPr="002A6558">
        <w:rPr>
          <w:shd w:val="clear" w:color="auto" w:fill="FFFFFF"/>
        </w:rPr>
        <w:t>established under resolution S-3/1*</w:t>
      </w:r>
      <w:r w:rsidRPr="002A6558">
        <w:t xml:space="preserve">, </w:t>
      </w:r>
      <w:r w:rsidRPr="002A6558">
        <w:rPr>
          <w:rFonts w:cs="Courier New"/>
          <w:shd w:val="clear" w:color="auto" w:fill="FFFFFF"/>
        </w:rPr>
        <w:t xml:space="preserve">A/HRC/5/20, </w:t>
      </w:r>
      <w:r>
        <w:rPr>
          <w:rFonts w:cs="Courier New"/>
          <w:shd w:val="clear" w:color="auto" w:fill="FFFFFF"/>
        </w:rPr>
        <w:t xml:space="preserve">available at </w:t>
      </w:r>
      <w:r w:rsidRPr="002A6558">
        <w:rPr>
          <w:rFonts w:cs="Courier New"/>
          <w:shd w:val="clear" w:color="auto" w:fill="FFFFFF"/>
        </w:rPr>
        <w:t>https://unispal.un.org/DPA/DPR/UNISPAL.NSF/fd807e46661e3689852570d00069e918/73d6eb7043cc08c785257305005049de?OpenDocument</w:t>
      </w:r>
    </w:p>
  </w:footnote>
  <w:footnote w:id="309">
    <w:p w:rsidR="009B636F" w:rsidRPr="002A6558" w:rsidRDefault="009B636F" w:rsidP="00A16FFD">
      <w:pPr>
        <w:pStyle w:val="a5"/>
        <w:jc w:val="both"/>
      </w:pPr>
      <w:r w:rsidRPr="002A6558">
        <w:rPr>
          <w:rStyle w:val="a7"/>
        </w:rPr>
        <w:footnoteRef/>
      </w:r>
      <w:r w:rsidRPr="002A6558">
        <w:rPr>
          <w:rtl/>
        </w:rPr>
        <w:t xml:space="preserve"> </w:t>
      </w:r>
      <w:r w:rsidRPr="002A6558">
        <w:t xml:space="preserve">UN Human Rights Council, </w:t>
      </w:r>
      <w:r w:rsidRPr="002A6558">
        <w:rPr>
          <w:shd w:val="clear" w:color="auto" w:fill="FFFFFF"/>
        </w:rPr>
        <w:t>Report of the High-Level Fact-Finding Mission to Beit Hanoun</w:t>
      </w:r>
      <w:r w:rsidRPr="002A6558">
        <w:br/>
      </w:r>
      <w:r w:rsidRPr="002A6558">
        <w:rPr>
          <w:shd w:val="clear" w:color="auto" w:fill="FFFFFF"/>
        </w:rPr>
        <w:t>established under resolution S-3/1*</w:t>
      </w:r>
      <w:r w:rsidRPr="002A6558">
        <w:t xml:space="preserve">, </w:t>
      </w:r>
      <w:r w:rsidRPr="002A6558">
        <w:rPr>
          <w:rFonts w:cs="Courier New"/>
          <w:shd w:val="clear" w:color="auto" w:fill="FFFFFF"/>
        </w:rPr>
        <w:t>A/HRC/</w:t>
      </w:r>
      <w:r w:rsidRPr="002A6558">
        <w:t xml:space="preserve">9/26, </w:t>
      </w:r>
      <w:r>
        <w:t xml:space="preserve">available at </w:t>
      </w:r>
      <w:r w:rsidRPr="002A6558">
        <w:t>https://documents-dds-ny.un.org/doc/UNDOC/GEN/G08/153/11/PDF/G0815311.pdf?OpenElement</w:t>
      </w:r>
    </w:p>
  </w:footnote>
  <w:footnote w:id="310">
    <w:p w:rsidR="009B636F" w:rsidRPr="002A6558" w:rsidRDefault="009B636F" w:rsidP="00A16FFD">
      <w:pPr>
        <w:pStyle w:val="a5"/>
        <w:jc w:val="both"/>
        <w:rPr>
          <w:rFonts w:cs="David"/>
          <w:rtl/>
        </w:rPr>
      </w:pPr>
      <w:r w:rsidRPr="002A6558">
        <w:rPr>
          <w:rStyle w:val="a7"/>
        </w:rPr>
        <w:footnoteRef/>
      </w:r>
      <w:r w:rsidRPr="002A6558">
        <w:rPr>
          <w:rtl/>
        </w:rPr>
        <w:t xml:space="preserve"> </w:t>
      </w:r>
      <w:r w:rsidRPr="002A6558">
        <w:rPr>
          <w:rFonts w:cs="David" w:hint="cs"/>
          <w:rtl/>
        </w:rPr>
        <w:t>סעיף 3 לדוח הוועדה מיום 01.09.08</w:t>
      </w:r>
    </w:p>
  </w:footnote>
  <w:footnote w:id="311">
    <w:p w:rsidR="009B636F" w:rsidRPr="00397737" w:rsidRDefault="009B636F" w:rsidP="00A16FFD">
      <w:pPr>
        <w:shd w:val="clear" w:color="auto" w:fill="FFFFFF"/>
        <w:spacing w:after="0" w:line="240" w:lineRule="auto"/>
        <w:ind w:left="-58"/>
        <w:jc w:val="both"/>
        <w:rPr>
          <w:rFonts w:ascii="Times New Roman" w:eastAsia="Times New Roman" w:hAnsi="Times New Roman" w:cs="Times New Roman"/>
          <w:sz w:val="20"/>
          <w:szCs w:val="20"/>
          <w:rtl/>
        </w:rPr>
      </w:pPr>
      <w:r w:rsidRPr="002A6558">
        <w:rPr>
          <w:rStyle w:val="a7"/>
          <w:sz w:val="20"/>
          <w:szCs w:val="20"/>
        </w:rPr>
        <w:footnoteRef/>
      </w:r>
      <w:r w:rsidRPr="002A6558">
        <w:rPr>
          <w:sz w:val="20"/>
          <w:szCs w:val="20"/>
          <w:rtl/>
        </w:rPr>
        <w:t xml:space="preserve"> </w:t>
      </w:r>
      <w:r w:rsidRPr="002A6558">
        <w:rPr>
          <w:sz w:val="20"/>
          <w:szCs w:val="20"/>
          <w:shd w:val="clear" w:color="auto" w:fill="FFFFFF"/>
        </w:rPr>
        <w:t>UN Human Rights Council, The grave violations of human rights in the Occupied Palestinian Territory, particularly due to the recent Israeli military attacks </w:t>
      </w:r>
      <w:r w:rsidRPr="002A6558">
        <w:rPr>
          <w:sz w:val="20"/>
          <w:szCs w:val="20"/>
          <w:shd w:val="clear" w:color="auto" w:fill="FFFFFF"/>
        </w:rPr>
        <w:br/>
        <w:t xml:space="preserve">against the occupied Gaza Strip, A/HRC/RES/S-9/1, </w:t>
      </w:r>
      <w:r>
        <w:rPr>
          <w:sz w:val="20"/>
          <w:szCs w:val="20"/>
          <w:shd w:val="clear" w:color="auto" w:fill="FFFFFF"/>
        </w:rPr>
        <w:t xml:space="preserve">available at </w:t>
      </w:r>
      <w:r w:rsidRPr="002A6558">
        <w:rPr>
          <w:sz w:val="20"/>
          <w:szCs w:val="20"/>
          <w:shd w:val="clear" w:color="auto" w:fill="FFFFFF"/>
        </w:rPr>
        <w:t>https://unispal.un.org/DPA/DPR/unispal.nsf/0/404E93E166533F828525754E00559E30</w:t>
      </w:r>
    </w:p>
  </w:footnote>
  <w:footnote w:id="312">
    <w:p w:rsidR="009B636F" w:rsidRPr="002A6558" w:rsidRDefault="009B636F" w:rsidP="00A16FFD">
      <w:pPr>
        <w:pStyle w:val="a5"/>
        <w:jc w:val="both"/>
        <w:rPr>
          <w:rFonts w:cs="David"/>
          <w:rtl/>
        </w:rPr>
      </w:pPr>
      <w:r w:rsidRPr="002A6558">
        <w:rPr>
          <w:rStyle w:val="a7"/>
        </w:rPr>
        <w:footnoteRef/>
      </w:r>
      <w:r w:rsidRPr="002A6558">
        <w:rPr>
          <w:rtl/>
        </w:rPr>
        <w:t xml:space="preserve"> </w:t>
      </w:r>
      <w:r w:rsidRPr="002A6558">
        <w:rPr>
          <w:rFonts w:cs="David" w:hint="cs"/>
          <w:rtl/>
        </w:rPr>
        <w:t>פסקה 151 לדוח הוועדה</w:t>
      </w:r>
    </w:p>
  </w:footnote>
  <w:footnote w:id="313">
    <w:p w:rsidR="009B636F" w:rsidRPr="002A6558" w:rsidRDefault="009B636F" w:rsidP="00A16FFD">
      <w:pPr>
        <w:pStyle w:val="a5"/>
        <w:jc w:val="both"/>
      </w:pPr>
      <w:r w:rsidRPr="002A6558">
        <w:rPr>
          <w:rStyle w:val="a7"/>
        </w:rPr>
        <w:footnoteRef/>
      </w:r>
      <w:r w:rsidRPr="002A6558">
        <w:rPr>
          <w:rtl/>
        </w:rPr>
        <w:t xml:space="preserve"> </w:t>
      </w:r>
      <w:r w:rsidRPr="002A6558">
        <w:rPr>
          <w:shd w:val="clear" w:color="auto" w:fill="FFFFFF"/>
        </w:rPr>
        <w:t xml:space="preserve">UN Human Rights Council, Report of the United Nations Fact-Finding Mission on the Gaza Conflict, A/HRC/12/48, </w:t>
      </w:r>
      <w:r>
        <w:rPr>
          <w:shd w:val="clear" w:color="auto" w:fill="FFFFFF"/>
        </w:rPr>
        <w:t xml:space="preserve">available at </w:t>
      </w:r>
      <w:r w:rsidRPr="002A6558">
        <w:rPr>
          <w:shd w:val="clear" w:color="auto" w:fill="FFFFFF"/>
        </w:rPr>
        <w:t>http://www2.ohchr.org/english/bodies/hrcouncil/docs/12session/A-HRC-12-48.pdf</w:t>
      </w:r>
    </w:p>
  </w:footnote>
  <w:footnote w:id="314">
    <w:p w:rsidR="009B636F" w:rsidRPr="002A6558" w:rsidRDefault="009B636F" w:rsidP="00A16FFD">
      <w:pPr>
        <w:pStyle w:val="a5"/>
        <w:jc w:val="both"/>
      </w:pPr>
      <w:r w:rsidRPr="002A6558">
        <w:rPr>
          <w:rStyle w:val="a7"/>
        </w:rPr>
        <w:footnoteRef/>
      </w:r>
      <w:r w:rsidRPr="002A6558">
        <w:rPr>
          <w:rtl/>
        </w:rPr>
        <w:t xml:space="preserve"> </w:t>
      </w:r>
      <w:r w:rsidRPr="002A6558">
        <w:t xml:space="preserve">Letter dated 4 May 2009 from the Secretary-General addressed to the President of the Security Council, A/63/855–S/2009/250, </w:t>
      </w:r>
      <w:r>
        <w:rPr>
          <w:shd w:val="clear" w:color="auto" w:fill="FFFFFF"/>
        </w:rPr>
        <w:t xml:space="preserve">available at </w:t>
      </w:r>
      <w:r w:rsidRPr="002A6558">
        <w:t>http://www.securitycouncilreport.org/atf/cf/%7B65BFCF9B-6D27-4E9C-8CD3-CF6E4FF96FF9%7D/Gaza%20S2009250.pdf</w:t>
      </w:r>
    </w:p>
  </w:footnote>
  <w:footnote w:id="315">
    <w:p w:rsidR="009B636F" w:rsidRPr="002A6558" w:rsidRDefault="009B636F" w:rsidP="00A16FFD">
      <w:pPr>
        <w:spacing w:after="0" w:line="240" w:lineRule="auto"/>
        <w:jc w:val="both"/>
        <w:rPr>
          <w:sz w:val="20"/>
          <w:szCs w:val="20"/>
          <w:rtl/>
        </w:rPr>
      </w:pPr>
      <w:r w:rsidRPr="002A6558">
        <w:rPr>
          <w:rStyle w:val="a7"/>
          <w:sz w:val="20"/>
          <w:szCs w:val="20"/>
        </w:rPr>
        <w:footnoteRef/>
      </w:r>
      <w:r w:rsidRPr="002A6558">
        <w:rPr>
          <w:sz w:val="20"/>
          <w:szCs w:val="20"/>
          <w:rtl/>
        </w:rPr>
        <w:t xml:space="preserve"> </w:t>
      </w:r>
      <w:r w:rsidRPr="002A6558">
        <w:rPr>
          <w:rFonts w:eastAsia="Times New Roman" w:cs="Times New Roman"/>
          <w:spacing w:val="-8"/>
          <w:kern w:val="36"/>
          <w:sz w:val="20"/>
          <w:szCs w:val="20"/>
        </w:rPr>
        <w:t xml:space="preserve">Report of the Independent Fact Finding Committee On Gaza: No Safe Place, Presented to the League of Arab States, 30 April 2009, </w:t>
      </w:r>
      <w:r>
        <w:rPr>
          <w:rFonts w:eastAsia="Times New Roman" w:cs="Times New Roman"/>
          <w:spacing w:val="-8"/>
          <w:kern w:val="36"/>
          <w:sz w:val="20"/>
          <w:szCs w:val="20"/>
        </w:rPr>
        <w:t xml:space="preserve">available at </w:t>
      </w:r>
      <w:r w:rsidRPr="002A6558">
        <w:rPr>
          <w:rFonts w:eastAsia="Times New Roman" w:cs="Times New Roman"/>
          <w:spacing w:val="-8"/>
          <w:kern w:val="36"/>
          <w:sz w:val="20"/>
          <w:szCs w:val="20"/>
        </w:rPr>
        <w:t>http://www.tromso-gaza.no/090501ReportGaza.pdf</w:t>
      </w:r>
    </w:p>
  </w:footnote>
  <w:footnote w:id="316">
    <w:p w:rsidR="009B636F" w:rsidRPr="002A6558" w:rsidRDefault="009B636F" w:rsidP="00A16FFD">
      <w:pPr>
        <w:pStyle w:val="a5"/>
        <w:jc w:val="both"/>
        <w:rPr>
          <w:rtl/>
        </w:rPr>
      </w:pPr>
      <w:r w:rsidRPr="002A6558">
        <w:rPr>
          <w:rStyle w:val="a7"/>
        </w:rPr>
        <w:footnoteRef/>
      </w:r>
      <w:r w:rsidRPr="002A6558">
        <w:rPr>
          <w:rtl/>
        </w:rPr>
        <w:t xml:space="preserve"> </w:t>
      </w:r>
      <w:r w:rsidRPr="002A6558">
        <w:rPr>
          <w:rFonts w:cs="David" w:hint="cs"/>
          <w:rtl/>
        </w:rPr>
        <w:t>פסקה 4 לדוח הוועדה</w:t>
      </w:r>
    </w:p>
  </w:footnote>
  <w:footnote w:id="317">
    <w:p w:rsidR="009B636F" w:rsidRPr="002A6558" w:rsidRDefault="009B636F" w:rsidP="00A16FFD">
      <w:pPr>
        <w:pStyle w:val="a5"/>
        <w:jc w:val="both"/>
      </w:pPr>
      <w:r w:rsidRPr="002A6558">
        <w:rPr>
          <w:rStyle w:val="a7"/>
        </w:rPr>
        <w:footnoteRef/>
      </w:r>
      <w:r w:rsidRPr="002A6558">
        <w:rPr>
          <w:rtl/>
        </w:rPr>
        <w:t xml:space="preserve"> </w:t>
      </w:r>
      <w:r w:rsidRPr="002A6558">
        <w:rPr>
          <w:shd w:val="clear" w:color="auto" w:fill="FFFFFF"/>
        </w:rPr>
        <w:t xml:space="preserve">Follow-up to the report of the United Nations Independent International Fact-Finding Mission on the Gaza Conflict, A/HRC/RES/13/9, </w:t>
      </w:r>
      <w:r>
        <w:rPr>
          <w:shd w:val="clear" w:color="auto" w:fill="FFFFFF"/>
        </w:rPr>
        <w:t xml:space="preserve">available at </w:t>
      </w:r>
      <w:r w:rsidRPr="002A6558">
        <w:rPr>
          <w:shd w:val="clear" w:color="auto" w:fill="FFFFFF"/>
        </w:rPr>
        <w:t>https://documents-dds-ny.un.org/doc/UNDOC/GEN/G10/128/38/PDF/G1012838.pdf?OpenElement</w:t>
      </w:r>
    </w:p>
  </w:footnote>
  <w:footnote w:id="318">
    <w:p w:rsidR="009B636F" w:rsidRPr="00CB2CF5" w:rsidRDefault="009B636F" w:rsidP="00A16FFD">
      <w:pPr>
        <w:spacing w:after="0" w:line="240" w:lineRule="auto"/>
        <w:jc w:val="both"/>
        <w:rPr>
          <w:rFonts w:ascii="Times New Roman" w:eastAsia="Times New Roman" w:hAnsi="Times New Roman" w:cs="Times New Roman"/>
          <w:sz w:val="20"/>
          <w:szCs w:val="20"/>
          <w:rtl/>
        </w:rPr>
      </w:pPr>
      <w:r w:rsidRPr="002A6558">
        <w:rPr>
          <w:rStyle w:val="a7"/>
          <w:sz w:val="20"/>
          <w:szCs w:val="20"/>
        </w:rPr>
        <w:footnoteRef/>
      </w:r>
      <w:r w:rsidRPr="002A6558">
        <w:rPr>
          <w:sz w:val="20"/>
          <w:szCs w:val="20"/>
          <w:rtl/>
        </w:rPr>
        <w:t xml:space="preserve"> </w:t>
      </w:r>
      <w:r w:rsidRPr="002A6558">
        <w:rPr>
          <w:sz w:val="20"/>
          <w:szCs w:val="20"/>
          <w:shd w:val="clear" w:color="auto" w:fill="FFFFFF"/>
        </w:rPr>
        <w:t xml:space="preserve">Second follow-up to the report of the United Nations Fact-Finding Mission on the Gaza Conflict, </w:t>
      </w:r>
      <w:r w:rsidRPr="002A6558">
        <w:rPr>
          <w:sz w:val="20"/>
          <w:szCs w:val="20"/>
          <w:shd w:val="clear" w:color="auto" w:fill="FFFFFF"/>
        </w:rPr>
        <w:br/>
        <w:t xml:space="preserve">A/RES/64/254, </w:t>
      </w:r>
      <w:r>
        <w:rPr>
          <w:shd w:val="clear" w:color="auto" w:fill="FFFFFF"/>
        </w:rPr>
        <w:t xml:space="preserve">available at </w:t>
      </w:r>
      <w:r w:rsidRPr="002A6558">
        <w:rPr>
          <w:sz w:val="20"/>
          <w:szCs w:val="20"/>
          <w:shd w:val="clear" w:color="auto" w:fill="FFFFFF"/>
        </w:rPr>
        <w:t>https://unispal.un.org/DPA/DPR/unispal.nsf/0/763D289FB7F2019B852576F20050496B</w:t>
      </w:r>
    </w:p>
  </w:footnote>
  <w:footnote w:id="319">
    <w:p w:rsidR="009B636F" w:rsidRPr="002A6558" w:rsidRDefault="009B636F" w:rsidP="00A16FFD">
      <w:pPr>
        <w:spacing w:after="0" w:line="240" w:lineRule="auto"/>
        <w:jc w:val="both"/>
        <w:rPr>
          <w:sz w:val="20"/>
          <w:szCs w:val="20"/>
          <w:shd w:val="clear" w:color="auto" w:fill="FFFFFF"/>
          <w:rtl/>
        </w:rPr>
      </w:pPr>
      <w:r w:rsidRPr="002A6558">
        <w:rPr>
          <w:rStyle w:val="a7"/>
          <w:sz w:val="20"/>
          <w:szCs w:val="20"/>
        </w:rPr>
        <w:footnoteRef/>
      </w:r>
      <w:r w:rsidRPr="002A6558">
        <w:rPr>
          <w:sz w:val="20"/>
          <w:szCs w:val="20"/>
          <w:rtl/>
        </w:rPr>
        <w:t xml:space="preserve"> </w:t>
      </w:r>
      <w:r w:rsidRPr="002A6558">
        <w:rPr>
          <w:sz w:val="20"/>
          <w:szCs w:val="20"/>
          <w:shd w:val="clear" w:color="auto" w:fill="FFFFFF"/>
        </w:rPr>
        <w:t xml:space="preserve">Report of the Committee of independent experts in international humanitarian and human rights laws to monitor and assess any domestic, legal or other proceedings undertaken by both the Government of Israel and the Palestinian side, in the light of General Assembly resolution 64/254, including the independence, effectiveness, genuineness of these investigations and their conformity with international standards, A/HRC/15/50, </w:t>
      </w:r>
      <w:r>
        <w:rPr>
          <w:shd w:val="clear" w:color="auto" w:fill="FFFFFF"/>
        </w:rPr>
        <w:t xml:space="preserve">available at </w:t>
      </w:r>
      <w:r w:rsidRPr="002A6558">
        <w:rPr>
          <w:sz w:val="20"/>
          <w:szCs w:val="20"/>
          <w:shd w:val="clear" w:color="auto" w:fill="FFFFFF"/>
        </w:rPr>
        <w:t>https://documents-dds-ny.un.org/doc/UNDOC/GEN/G10/162/25/PDF/G1016225.pdf?OpenElement</w:t>
      </w:r>
    </w:p>
  </w:footnote>
  <w:footnote w:id="320">
    <w:p w:rsidR="009B636F" w:rsidRPr="002A6558" w:rsidRDefault="009B636F" w:rsidP="00A16FFD">
      <w:pPr>
        <w:pStyle w:val="a5"/>
        <w:jc w:val="both"/>
        <w:rPr>
          <w:rFonts w:cs="David"/>
        </w:rPr>
      </w:pPr>
      <w:r w:rsidRPr="002A6558">
        <w:rPr>
          <w:rStyle w:val="a7"/>
        </w:rPr>
        <w:footnoteRef/>
      </w:r>
      <w:r w:rsidRPr="002A6558">
        <w:rPr>
          <w:rtl/>
        </w:rPr>
        <w:t xml:space="preserve"> </w:t>
      </w:r>
      <w:r w:rsidRPr="002A6558">
        <w:rPr>
          <w:rFonts w:cs="David" w:hint="cs"/>
          <w:rtl/>
        </w:rPr>
        <w:t>פסקה 12 לדוח הוועדה</w:t>
      </w:r>
    </w:p>
  </w:footnote>
  <w:footnote w:id="321">
    <w:p w:rsidR="009B636F" w:rsidRPr="002A6558" w:rsidRDefault="009B636F" w:rsidP="00A16FFD">
      <w:pPr>
        <w:pStyle w:val="a5"/>
        <w:jc w:val="both"/>
        <w:rPr>
          <w:rtl/>
        </w:rPr>
      </w:pPr>
      <w:r w:rsidRPr="002A6558">
        <w:rPr>
          <w:rStyle w:val="a7"/>
        </w:rPr>
        <w:footnoteRef/>
      </w:r>
      <w:r w:rsidRPr="002A6558">
        <w:rPr>
          <w:rtl/>
        </w:rPr>
        <w:t xml:space="preserve"> </w:t>
      </w:r>
      <w:r w:rsidRPr="002A6558">
        <w:rPr>
          <w:rFonts w:cs="David" w:hint="cs"/>
          <w:rtl/>
        </w:rPr>
        <w:t>פסקה 89 לדוח הוועדה</w:t>
      </w:r>
    </w:p>
  </w:footnote>
  <w:footnote w:id="322">
    <w:p w:rsidR="009B636F" w:rsidRPr="007E1435" w:rsidRDefault="009B636F" w:rsidP="00A16FFD">
      <w:pPr>
        <w:pStyle w:val="a5"/>
        <w:jc w:val="both"/>
        <w:rPr>
          <w:shd w:val="clear" w:color="auto" w:fill="FFFFFF"/>
          <w:rtl/>
        </w:rPr>
      </w:pPr>
      <w:r>
        <w:rPr>
          <w:rStyle w:val="a7"/>
        </w:rPr>
        <w:footnoteRef/>
      </w:r>
      <w:r>
        <w:rPr>
          <w:rtl/>
        </w:rPr>
        <w:t xml:space="preserve"> </w:t>
      </w:r>
      <w:r w:rsidRPr="007E1435">
        <w:rPr>
          <w:rFonts w:ascii="Verdana" w:eastAsia="Times New Roman" w:hAnsi="Verdana" w:cs="David"/>
          <w:rtl/>
        </w:rPr>
        <w:t>החלטה מס</w:t>
      </w:r>
      <w:r w:rsidRPr="007E1435">
        <w:rPr>
          <w:rFonts w:ascii="Verdana" w:eastAsia="Times New Roman" w:hAnsi="Verdana" w:cs="David" w:hint="cs"/>
          <w:rtl/>
        </w:rPr>
        <w:t>פר</w:t>
      </w:r>
      <w:r w:rsidRPr="00D72D61">
        <w:rPr>
          <w:rFonts w:ascii="Verdana" w:eastAsia="Times New Roman" w:hAnsi="Verdana" w:cs="David"/>
          <w:rtl/>
        </w:rPr>
        <w:t xml:space="preserve"> 1796 של הממשלה</w:t>
      </w:r>
      <w:r w:rsidRPr="007E1435">
        <w:rPr>
          <w:rFonts w:ascii="Verdana" w:eastAsia="Times New Roman" w:hAnsi="Verdana" w:cs="David" w:hint="cs"/>
          <w:rtl/>
        </w:rPr>
        <w:t xml:space="preserve">, </w:t>
      </w:r>
      <w:r w:rsidRPr="007E1435">
        <w:rPr>
          <w:rFonts w:ascii="Arial" w:hAnsi="Arial" w:cs="David"/>
          <w:shd w:val="clear" w:color="auto" w:fill="FAFAFA"/>
          <w:rtl/>
        </w:rPr>
        <w:t>מינוי ועדה ציבורית בלתי תלויה, בראשות שופט בית המשפט העליון בדימוס, יעקב טירקל, לבדיקת האירוע הימי מיום 31 במאי 2010</w:t>
      </w:r>
      <w:r w:rsidRPr="00D72D61">
        <w:rPr>
          <w:rFonts w:ascii="Verdana" w:eastAsia="Times New Roman" w:hAnsi="Verdana" w:cs="David"/>
          <w:rtl/>
        </w:rPr>
        <w:t xml:space="preserve"> </w:t>
      </w:r>
      <w:r w:rsidRPr="007E1435">
        <w:rPr>
          <w:rFonts w:ascii="Verdana" w:eastAsia="Times New Roman" w:hAnsi="Verdana" w:cs="David" w:hint="cs"/>
          <w:rtl/>
        </w:rPr>
        <w:t>(</w:t>
      </w:r>
      <w:r w:rsidRPr="00D72D61">
        <w:rPr>
          <w:rFonts w:ascii="Verdana" w:eastAsia="Times New Roman" w:hAnsi="Verdana" w:cs="David"/>
          <w:rtl/>
        </w:rPr>
        <w:t>14.06.2010</w:t>
      </w:r>
      <w:r w:rsidRPr="007E1435">
        <w:rPr>
          <w:rFonts w:ascii="Verdana" w:eastAsia="Times New Roman" w:hAnsi="Verdana" w:cs="David" w:hint="cs"/>
          <w:rtl/>
        </w:rPr>
        <w:t>)</w:t>
      </w:r>
      <w:r>
        <w:rPr>
          <w:rFonts w:ascii="Verdana" w:eastAsia="Times New Roman" w:hAnsi="Verdana" w:cs="David" w:hint="cs"/>
          <w:rtl/>
        </w:rPr>
        <w:t xml:space="preserve">, זמינה בקישור </w:t>
      </w:r>
      <w:r w:rsidRPr="007E1435">
        <w:rPr>
          <w:shd w:val="clear" w:color="auto" w:fill="FFFFFF"/>
        </w:rPr>
        <w:t>http://www.pmo.gov.il/Secretary/GovDecisions/2010/Pages/des1796.aspx</w:t>
      </w:r>
    </w:p>
  </w:footnote>
  <w:footnote w:id="323">
    <w:p w:rsidR="009B636F" w:rsidRPr="00010043" w:rsidRDefault="009B636F" w:rsidP="00A16FFD">
      <w:pPr>
        <w:pStyle w:val="a5"/>
        <w:jc w:val="both"/>
        <w:rPr>
          <w:rtl/>
        </w:rPr>
      </w:pPr>
      <w:r>
        <w:rPr>
          <w:rStyle w:val="a7"/>
        </w:rPr>
        <w:footnoteRef/>
      </w:r>
      <w:r>
        <w:rPr>
          <w:rtl/>
        </w:rPr>
        <w:t xml:space="preserve"> </w:t>
      </w:r>
      <w:r w:rsidRPr="00DD2F90">
        <w:rPr>
          <w:rFonts w:cs="David"/>
          <w:rtl/>
        </w:rPr>
        <w:t>הוועדה הציבורית לבדיקת האירוע הימי מיום 31 מאי 2010</w:t>
      </w:r>
      <w:r w:rsidRPr="00DD2F90">
        <w:rPr>
          <w:rFonts w:cs="David" w:hint="cs"/>
          <w:rtl/>
        </w:rPr>
        <w:t>,</w:t>
      </w:r>
      <w:r w:rsidRPr="00DD2F90">
        <w:rPr>
          <w:rFonts w:cs="David"/>
          <w:rtl/>
        </w:rPr>
        <w:t xml:space="preserve"> ועדת טירקל</w:t>
      </w:r>
      <w:r w:rsidRPr="00DD2F90">
        <w:rPr>
          <w:rFonts w:cs="David" w:hint="cs"/>
          <w:rtl/>
        </w:rPr>
        <w:t>,</w:t>
      </w:r>
      <w:r w:rsidRPr="00DD2F90">
        <w:rPr>
          <w:rFonts w:cs="David"/>
          <w:rtl/>
        </w:rPr>
        <w:t xml:space="preserve"> דין וחשבון</w:t>
      </w:r>
      <w:r w:rsidRPr="00DD2F90">
        <w:rPr>
          <w:rFonts w:cs="David" w:hint="cs"/>
          <w:rtl/>
        </w:rPr>
        <w:t xml:space="preserve">, </w:t>
      </w:r>
      <w:r w:rsidRPr="00DD2F90">
        <w:rPr>
          <w:rFonts w:cs="David"/>
          <w:rtl/>
        </w:rPr>
        <w:t>חלק ראשון</w:t>
      </w:r>
      <w:r w:rsidRPr="00DD2F90">
        <w:rPr>
          <w:rFonts w:cs="David" w:hint="cs"/>
          <w:rtl/>
        </w:rPr>
        <w:t xml:space="preserve">, ינואר 2011, זמין בקישור </w:t>
      </w:r>
      <w:r w:rsidRPr="00DD2F90">
        <w:rPr>
          <w:rFonts w:cs="David"/>
        </w:rPr>
        <w:t>http://www.turkel-committee.gov.il/files/wordocs//1989200211hebrew.pdf</w:t>
      </w:r>
    </w:p>
  </w:footnote>
  <w:footnote w:id="324">
    <w:p w:rsidR="009B636F" w:rsidRPr="005D5AF7" w:rsidRDefault="009B636F" w:rsidP="00A16FFD">
      <w:pPr>
        <w:pStyle w:val="a5"/>
        <w:jc w:val="both"/>
        <w:rPr>
          <w:rFonts w:cs="David"/>
          <w:rtl/>
        </w:rPr>
      </w:pPr>
      <w:r>
        <w:rPr>
          <w:rStyle w:val="a7"/>
        </w:rPr>
        <w:footnoteRef/>
      </w:r>
      <w:r>
        <w:rPr>
          <w:rtl/>
        </w:rPr>
        <w:t xml:space="preserve"> </w:t>
      </w:r>
      <w:r w:rsidRPr="00DD2F90">
        <w:rPr>
          <w:rFonts w:cs="David"/>
          <w:rtl/>
        </w:rPr>
        <w:t xml:space="preserve">הוועדה הציבורית לבדיקת האירוע הימי מיום 31 במאי 2010, </w:t>
      </w:r>
      <w:r>
        <w:rPr>
          <w:rFonts w:cs="David"/>
          <w:rtl/>
        </w:rPr>
        <w:t>דוח</w:t>
      </w:r>
      <w:r w:rsidRPr="00DD2F90">
        <w:rPr>
          <w:rFonts w:cs="David"/>
          <w:rtl/>
        </w:rPr>
        <w:t xml:space="preserve"> שני - ועדת טירקל, הבדיקה והחקירה בישראל של תלונות וטענות בדבר הפרות של דיני הלחימה על פי המשפט הבינלאומי, פברואר 2013, זמין בקישור</w:t>
      </w:r>
      <w:r w:rsidRPr="00DD2F90">
        <w:rPr>
          <w:rtl/>
        </w:rPr>
        <w:t xml:space="preserve"> </w:t>
      </w:r>
      <w:r w:rsidRPr="00DD2F90">
        <w:t>http://www.turkel-committee.gov.il/files/newDoc3/The%20Turkel%20Report%20for%20website%20-%20hebrew.pdf</w:t>
      </w:r>
    </w:p>
  </w:footnote>
  <w:footnote w:id="325">
    <w:p w:rsidR="009B636F" w:rsidRPr="002A6558" w:rsidRDefault="009B636F" w:rsidP="00A16FFD">
      <w:pPr>
        <w:pStyle w:val="a5"/>
        <w:jc w:val="both"/>
      </w:pPr>
      <w:r w:rsidRPr="002A6558">
        <w:rPr>
          <w:rStyle w:val="a7"/>
        </w:rPr>
        <w:footnoteRef/>
      </w:r>
      <w:r w:rsidRPr="002A6558">
        <w:rPr>
          <w:rtl/>
        </w:rPr>
        <w:t xml:space="preserve"> </w:t>
      </w:r>
      <w:r w:rsidRPr="002A6558">
        <w:rPr>
          <w:shd w:val="clear" w:color="auto" w:fill="FFFFFF"/>
        </w:rPr>
        <w:t>The grave attacks by Israeli forces against the humanitarian boat convoy, A/HRC/RES/14/1, https://documents-dds-ny.un.org/doc/UNDOC/GEN/G10/145/34/PDF/G1014534.pdf?OpenElement</w:t>
      </w:r>
    </w:p>
  </w:footnote>
  <w:footnote w:id="326">
    <w:p w:rsidR="009B636F" w:rsidRPr="002A6558" w:rsidRDefault="009B636F" w:rsidP="00A16FFD">
      <w:pPr>
        <w:pStyle w:val="a5"/>
        <w:jc w:val="both"/>
      </w:pPr>
      <w:r w:rsidRPr="002A6558">
        <w:rPr>
          <w:rStyle w:val="a7"/>
        </w:rPr>
        <w:footnoteRef/>
      </w:r>
      <w:r w:rsidRPr="002A6558">
        <w:rPr>
          <w:rtl/>
        </w:rPr>
        <w:t xml:space="preserve"> </w:t>
      </w:r>
      <w:r w:rsidRPr="002A6558">
        <w:t xml:space="preserve">Report of the international fact-finding mission to investigate violations of international law, including international humanitarian and human rights law, resulting from the Israeli attacks on the flotilla of ships carrying humanitarian assistance, A/HRC/15/21, </w:t>
      </w:r>
      <w:r>
        <w:t xml:space="preserve">available at </w:t>
      </w:r>
      <w:r w:rsidRPr="002A6558">
        <w:t>http://www2.ohchr.org/english/bodies/hrcouncil/docs/15session/A.HRC.15.21_en.pdf</w:t>
      </w:r>
    </w:p>
  </w:footnote>
  <w:footnote w:id="327">
    <w:p w:rsidR="009B636F" w:rsidRPr="002A6558" w:rsidRDefault="009B636F" w:rsidP="00A16FFD">
      <w:pPr>
        <w:pStyle w:val="a5"/>
        <w:jc w:val="both"/>
        <w:rPr>
          <w:rtl/>
        </w:rPr>
      </w:pPr>
      <w:r w:rsidRPr="002A6558">
        <w:rPr>
          <w:rStyle w:val="a7"/>
        </w:rPr>
        <w:footnoteRef/>
      </w:r>
      <w:r w:rsidRPr="002A6558">
        <w:rPr>
          <w:rtl/>
        </w:rPr>
        <w:t xml:space="preserve"> </w:t>
      </w:r>
      <w:r w:rsidRPr="002A6558">
        <w:rPr>
          <w:rFonts w:cs="David" w:hint="cs"/>
          <w:rtl/>
        </w:rPr>
        <w:t>פסקאות 16-17 לדוח הוועדה</w:t>
      </w:r>
    </w:p>
  </w:footnote>
  <w:footnote w:id="328">
    <w:p w:rsidR="009B636F" w:rsidRPr="002A6558" w:rsidRDefault="009B636F" w:rsidP="00A16FFD">
      <w:pPr>
        <w:pStyle w:val="a5"/>
        <w:jc w:val="both"/>
      </w:pPr>
      <w:r w:rsidRPr="002A6558">
        <w:rPr>
          <w:rStyle w:val="a7"/>
        </w:rPr>
        <w:footnoteRef/>
      </w:r>
      <w:r w:rsidRPr="002A6558">
        <w:rPr>
          <w:rtl/>
        </w:rPr>
        <w:t xml:space="preserve"> </w:t>
      </w:r>
      <w:r w:rsidRPr="002A6558">
        <w:t xml:space="preserve">Report of the Secretary-General’s Panel of Inquiry on the 31 May 2010 Flotilla Incident, </w:t>
      </w:r>
      <w:r>
        <w:t xml:space="preserve">available at </w:t>
      </w:r>
      <w:r w:rsidRPr="002A6558">
        <w:t>http://www.un.org/News/dh/infocus/middle_east/Gaza_Flotilla_Panel_Report.pdf</w:t>
      </w:r>
    </w:p>
  </w:footnote>
  <w:footnote w:id="329">
    <w:p w:rsidR="009B636F" w:rsidRPr="002A6558" w:rsidRDefault="009B636F" w:rsidP="00A16FFD">
      <w:pPr>
        <w:pStyle w:val="a5"/>
        <w:jc w:val="both"/>
      </w:pPr>
      <w:r w:rsidRPr="002A6558">
        <w:rPr>
          <w:rStyle w:val="a7"/>
        </w:rPr>
        <w:footnoteRef/>
      </w:r>
      <w:r w:rsidRPr="002A6558">
        <w:rPr>
          <w:rtl/>
        </w:rPr>
        <w:t xml:space="preserve"> </w:t>
      </w:r>
      <w:r w:rsidRPr="002A6558">
        <w:rPr>
          <w:shd w:val="clear" w:color="auto" w:fill="FFFFFF"/>
        </w:rPr>
        <w:t>Follow-up to the report of the Committee of independent experts in international humanitarian and human rights law established pursuant to Council resolution 13/9, A/HRC/RES/15/6,</w:t>
      </w:r>
      <w:r w:rsidRPr="002A6558">
        <w:t xml:space="preserve"> </w:t>
      </w:r>
      <w:r>
        <w:t>available at</w:t>
      </w:r>
      <w:r w:rsidRPr="002A6558">
        <w:rPr>
          <w:shd w:val="clear" w:color="auto" w:fill="FFFFFF"/>
        </w:rPr>
        <w:t xml:space="preserve"> https://documents-dds-ny.un.org/doc/UNDOC/GEN/G10/166/19/PDF/G1016619.pdf?OpenElement</w:t>
      </w:r>
    </w:p>
  </w:footnote>
  <w:footnote w:id="330">
    <w:p w:rsidR="009B636F" w:rsidRPr="002A6558" w:rsidRDefault="009B636F" w:rsidP="00A16FFD">
      <w:pPr>
        <w:pStyle w:val="a5"/>
        <w:jc w:val="both"/>
      </w:pPr>
      <w:r w:rsidRPr="002A6558">
        <w:rPr>
          <w:rStyle w:val="a7"/>
        </w:rPr>
        <w:footnoteRef/>
      </w:r>
      <w:r w:rsidRPr="002A6558">
        <w:rPr>
          <w:rtl/>
        </w:rPr>
        <w:t xml:space="preserve"> </w:t>
      </w:r>
      <w:r w:rsidRPr="002A6558">
        <w:t xml:space="preserve">Report of the Committee of independent experts in international humanitarian and human rights law established pursuant to Council resolution 13/9, A/HRC/16/24, </w:t>
      </w:r>
      <w:r>
        <w:t>available at</w:t>
      </w:r>
      <w:r w:rsidRPr="002A6558">
        <w:t xml:space="preserve"> http://www2.ohchr.org/english/bodies/hrcouncil/docs/16session/A.HRC.16.24_AUV.pdf</w:t>
      </w:r>
    </w:p>
  </w:footnote>
  <w:footnote w:id="331">
    <w:p w:rsidR="009B636F" w:rsidRPr="002A6558" w:rsidRDefault="009B636F" w:rsidP="00A16FFD">
      <w:pPr>
        <w:pStyle w:val="a5"/>
        <w:jc w:val="both"/>
        <w:rPr>
          <w:rtl/>
        </w:rPr>
      </w:pPr>
      <w:r w:rsidRPr="002A6558">
        <w:rPr>
          <w:rStyle w:val="a7"/>
        </w:rPr>
        <w:footnoteRef/>
      </w:r>
      <w:r w:rsidRPr="002A6558">
        <w:rPr>
          <w:rtl/>
        </w:rPr>
        <w:t xml:space="preserve"> </w:t>
      </w:r>
      <w:r w:rsidRPr="002A6558">
        <w:rPr>
          <w:rFonts w:cs="David" w:hint="cs"/>
          <w:rtl/>
        </w:rPr>
        <w:t>פסקה 13 לדוח הוועדה</w:t>
      </w:r>
    </w:p>
  </w:footnote>
  <w:footnote w:id="332">
    <w:p w:rsidR="009B636F" w:rsidRPr="002A6558" w:rsidRDefault="009B636F" w:rsidP="00A16FFD">
      <w:pPr>
        <w:pStyle w:val="a5"/>
        <w:jc w:val="both"/>
        <w:rPr>
          <w:rFonts w:cs="David"/>
          <w:rtl/>
        </w:rPr>
      </w:pPr>
      <w:r w:rsidRPr="002A6558">
        <w:rPr>
          <w:rStyle w:val="a7"/>
        </w:rPr>
        <w:footnoteRef/>
      </w:r>
      <w:r w:rsidRPr="002A6558">
        <w:rPr>
          <w:rtl/>
        </w:rPr>
        <w:t xml:space="preserve"> </w:t>
      </w:r>
      <w:r>
        <w:rPr>
          <w:rFonts w:cs="David" w:hint="cs"/>
          <w:rtl/>
        </w:rPr>
        <w:t xml:space="preserve">סקוטלנד </w:t>
      </w:r>
      <w:r w:rsidRPr="002A6558">
        <w:rPr>
          <w:rFonts w:cs="David" w:hint="cs"/>
          <w:rtl/>
        </w:rPr>
        <w:t>הייתה בעברה ה-</w:t>
      </w:r>
      <w:r w:rsidRPr="002A6558">
        <w:rPr>
          <w:rFonts w:cs="David"/>
        </w:rPr>
        <w:t>Attorney General</w:t>
      </w:r>
      <w:r w:rsidRPr="002A6558">
        <w:rPr>
          <w:rFonts w:cs="David" w:hint="cs"/>
          <w:rtl/>
        </w:rPr>
        <w:t xml:space="preserve"> של צפון אירלנד, ווילס ואנגליה וכיום היא מזכ"לית ארגון חבר העמים הבריטי (</w:t>
      </w:r>
      <w:r w:rsidRPr="002A6558">
        <w:rPr>
          <w:rFonts w:cs="David"/>
        </w:rPr>
        <w:t>The Commonwealth</w:t>
      </w:r>
      <w:r w:rsidRPr="002A6558">
        <w:rPr>
          <w:rFonts w:cs="David" w:hint="cs"/>
          <w:rtl/>
        </w:rPr>
        <w:t xml:space="preserve">), האישה הראשונה לכהן בתפקיד זה. ראה </w:t>
      </w:r>
      <w:r w:rsidRPr="002A6558">
        <w:rPr>
          <w:rFonts w:cs="David"/>
        </w:rPr>
        <w:t>http://www.patriciascotland.com/#!whoiam/c75a</w:t>
      </w:r>
    </w:p>
  </w:footnote>
  <w:footnote w:id="333">
    <w:p w:rsidR="009B636F" w:rsidRPr="002A6558" w:rsidRDefault="009B636F" w:rsidP="00A16FFD">
      <w:pPr>
        <w:pStyle w:val="a5"/>
        <w:jc w:val="both"/>
        <w:rPr>
          <w:rtl/>
        </w:rPr>
      </w:pPr>
      <w:r w:rsidRPr="002A6558">
        <w:rPr>
          <w:rStyle w:val="a7"/>
        </w:rPr>
        <w:footnoteRef/>
      </w:r>
      <w:r w:rsidRPr="002A6558">
        <w:rPr>
          <w:rtl/>
        </w:rPr>
        <w:t xml:space="preserve"> </w:t>
      </w:r>
      <w:r w:rsidRPr="002A6558">
        <w:t>Children in Military Custody, June 2012, A report written by a delegation of British lawyers on the treatment of Palestinian children under Israeli military law, http://www.childreninmilitarycustody.org.uk/wp-content/uploads/2012/03/Children_in_Military_Custody_Full_Report.pdf</w:t>
      </w:r>
    </w:p>
  </w:footnote>
  <w:footnote w:id="334">
    <w:p w:rsidR="009B636F" w:rsidRPr="002A6558" w:rsidRDefault="009B636F" w:rsidP="00A16FFD">
      <w:pPr>
        <w:pStyle w:val="a5"/>
        <w:jc w:val="both"/>
        <w:rPr>
          <w:rtl/>
        </w:rPr>
      </w:pPr>
      <w:r w:rsidRPr="002A6558">
        <w:rPr>
          <w:rStyle w:val="a7"/>
        </w:rPr>
        <w:footnoteRef/>
      </w:r>
      <w:r w:rsidRPr="002A6558">
        <w:rPr>
          <w:rtl/>
        </w:rPr>
        <w:t xml:space="preserve"> </w:t>
      </w:r>
      <w:r w:rsidRPr="002A6558">
        <w:rPr>
          <w:rFonts w:cs="David" w:hint="cs"/>
          <w:rtl/>
        </w:rPr>
        <w:t>פסקה 2 לדוח המשלחת</w:t>
      </w:r>
    </w:p>
  </w:footnote>
  <w:footnote w:id="335">
    <w:p w:rsidR="009B636F" w:rsidRPr="002A6558" w:rsidRDefault="009B636F" w:rsidP="00A16FFD">
      <w:pPr>
        <w:pStyle w:val="a5"/>
        <w:jc w:val="both"/>
        <w:rPr>
          <w:rtl/>
        </w:rPr>
      </w:pPr>
      <w:r w:rsidRPr="002A6558">
        <w:rPr>
          <w:rStyle w:val="a7"/>
        </w:rPr>
        <w:footnoteRef/>
      </w:r>
      <w:r w:rsidRPr="002A6558">
        <w:rPr>
          <w:rtl/>
        </w:rPr>
        <w:t xml:space="preserve"> </w:t>
      </w:r>
      <w:r w:rsidRPr="002A6558">
        <w:rPr>
          <w:shd w:val="clear" w:color="auto" w:fill="FFFFFF"/>
        </w:rPr>
        <w:t xml:space="preserve">Sherwood Harriet, Israel subjecting Palestinian children to 'spiral of injustice', </w:t>
      </w:r>
      <w:r w:rsidRPr="002A6558">
        <w:rPr>
          <w:b/>
          <w:bCs/>
          <w:shd w:val="clear" w:color="auto" w:fill="FFFFFF"/>
        </w:rPr>
        <w:t>the guardian</w:t>
      </w:r>
      <w:r w:rsidRPr="002A6558">
        <w:rPr>
          <w:shd w:val="clear" w:color="auto" w:fill="FFFFFF"/>
        </w:rPr>
        <w:t>, http://www.theguardian.com/world/2012/jun/26/israel-palestinian-children-injustice</w:t>
      </w:r>
    </w:p>
  </w:footnote>
  <w:footnote w:id="336">
    <w:p w:rsidR="009B636F" w:rsidRPr="002A6558" w:rsidRDefault="009B636F" w:rsidP="00A16FFD">
      <w:pPr>
        <w:pStyle w:val="a5"/>
        <w:jc w:val="both"/>
        <w:rPr>
          <w:rtl/>
        </w:rPr>
      </w:pPr>
      <w:r w:rsidRPr="002A6558">
        <w:rPr>
          <w:rStyle w:val="a7"/>
        </w:rPr>
        <w:footnoteRef/>
      </w:r>
      <w:r w:rsidRPr="002A6558">
        <w:rPr>
          <w:rtl/>
        </w:rPr>
        <w:t xml:space="preserve"> </w:t>
      </w:r>
      <w:r w:rsidRPr="002A6558">
        <w:rPr>
          <w:shd w:val="clear" w:color="auto" w:fill="FFFFFF"/>
        </w:rPr>
        <w:t>Alfarra Jehan,</w:t>
      </w:r>
      <w:r w:rsidRPr="002A6558">
        <w:rPr>
          <w:rFonts w:eastAsia="Times New Roman" w:cs="Times New Roman"/>
          <w:spacing w:val="-8"/>
          <w:kern w:val="36"/>
        </w:rPr>
        <w:t xml:space="preserve"> UK MPs speak out about Israeli detention of Palestinian children, </w:t>
      </w:r>
      <w:r w:rsidRPr="002A6558">
        <w:rPr>
          <w:rFonts w:eastAsia="Times New Roman" w:cs="Times New Roman"/>
          <w:b/>
          <w:bCs/>
          <w:spacing w:val="-8"/>
          <w:kern w:val="36"/>
        </w:rPr>
        <w:t>Middle East Monitor</w:t>
      </w:r>
      <w:r w:rsidRPr="002A6558">
        <w:rPr>
          <w:rFonts w:eastAsia="Times New Roman" w:cs="Times New Roman"/>
          <w:spacing w:val="-8"/>
          <w:kern w:val="36"/>
        </w:rPr>
        <w:t>, https://www.middleeastmonitor.com/20160107-uk-mps-speak-out-about-israeli-detention-of-palestinian-children/</w:t>
      </w:r>
    </w:p>
  </w:footnote>
  <w:footnote w:id="337">
    <w:p w:rsidR="009B636F" w:rsidRPr="002A6558" w:rsidRDefault="009B636F" w:rsidP="00A16FFD">
      <w:pPr>
        <w:pStyle w:val="a5"/>
        <w:jc w:val="both"/>
      </w:pPr>
      <w:r w:rsidRPr="002A6558">
        <w:rPr>
          <w:rStyle w:val="a7"/>
        </w:rPr>
        <w:footnoteRef/>
      </w:r>
      <w:r w:rsidRPr="002A6558">
        <w:rPr>
          <w:rtl/>
        </w:rPr>
        <w:t xml:space="preserve"> </w:t>
      </w:r>
      <w:r w:rsidRPr="002A6558">
        <w:t xml:space="preserve">Israeli settlements in the Occupied Palestinian Territory, including East Jerusalem, and in the occupied Syrian Golan, A/HRC/RES/19/17, </w:t>
      </w:r>
      <w:r>
        <w:t>available at</w:t>
      </w:r>
      <w:r w:rsidRPr="002A6558">
        <w:t xml:space="preserve"> https://documents-dds-ny.un.org/doc/RESOLUTION/GEN/G12/130/13/PDF/G1213013.pdf?OpenElement</w:t>
      </w:r>
    </w:p>
  </w:footnote>
  <w:footnote w:id="338">
    <w:p w:rsidR="009B636F" w:rsidRPr="002A6558" w:rsidRDefault="009B636F" w:rsidP="00A16FFD">
      <w:pPr>
        <w:pStyle w:val="a5"/>
        <w:jc w:val="both"/>
      </w:pPr>
      <w:r w:rsidRPr="002A6558">
        <w:rPr>
          <w:rStyle w:val="a7"/>
        </w:rPr>
        <w:footnoteRef/>
      </w:r>
      <w:r w:rsidRPr="002A6558">
        <w:rPr>
          <w:rtl/>
        </w:rPr>
        <w:t xml:space="preserve"> </w:t>
      </w:r>
      <w:r w:rsidRPr="002A6558">
        <w:t>Report of the independent international fact</w:t>
      </w:r>
      <w:r>
        <w:t>-</w:t>
      </w:r>
      <w:r w:rsidRPr="002A6558">
        <w:t xml:space="preserve">finding mission to investigate the implications of the Israeli settlements on the civil, political, economic, social and cultural rights of the Palestinian people throughout the Occupied Palestinian Territory, including East Jerusalem, A/HRC/22/63, </w:t>
      </w:r>
      <w:r>
        <w:t>available at</w:t>
      </w:r>
      <w:r w:rsidRPr="002A6558">
        <w:t xml:space="preserve"> http://www.ohchr.org/Documents/HRBodies/HRCouncil/RegularSession/Session22/A-HRC-22-63_en.pdf</w:t>
      </w:r>
    </w:p>
  </w:footnote>
  <w:footnote w:id="339">
    <w:p w:rsidR="009B636F" w:rsidRPr="002A6558" w:rsidRDefault="009B636F" w:rsidP="00A16FFD">
      <w:pPr>
        <w:pStyle w:val="a5"/>
        <w:jc w:val="both"/>
        <w:rPr>
          <w:rtl/>
        </w:rPr>
      </w:pPr>
      <w:r w:rsidRPr="002A6558">
        <w:rPr>
          <w:rStyle w:val="a7"/>
        </w:rPr>
        <w:footnoteRef/>
      </w:r>
      <w:r w:rsidRPr="002A6558">
        <w:rPr>
          <w:rtl/>
        </w:rPr>
        <w:t xml:space="preserve"> </w:t>
      </w:r>
      <w:r w:rsidRPr="002A6558">
        <w:rPr>
          <w:rFonts w:cs="David" w:hint="cs"/>
          <w:rtl/>
        </w:rPr>
        <w:t>פסקה 7 לדוח הוועדה</w:t>
      </w:r>
    </w:p>
  </w:footnote>
  <w:footnote w:id="340">
    <w:p w:rsidR="009B636F" w:rsidRPr="002A6558" w:rsidRDefault="009B636F" w:rsidP="00A16FFD">
      <w:pPr>
        <w:pStyle w:val="a5"/>
        <w:jc w:val="both"/>
        <w:rPr>
          <w:rtl/>
        </w:rPr>
      </w:pPr>
      <w:r w:rsidRPr="002A6558">
        <w:rPr>
          <w:rStyle w:val="a7"/>
        </w:rPr>
        <w:footnoteRef/>
      </w:r>
      <w:r w:rsidRPr="002A6558">
        <w:rPr>
          <w:rtl/>
        </w:rPr>
        <w:t xml:space="preserve"> </w:t>
      </w:r>
      <w:r w:rsidRPr="002A6558">
        <w:rPr>
          <w:rFonts w:ascii="Calibri" w:eastAsia="Calibri" w:hAnsi="Calibri" w:cs="Arial"/>
        </w:rPr>
        <w:t>Ensuring respect for international law in the Occupied Palestinian Territory, including East Jerusalem</w:t>
      </w:r>
      <w:r w:rsidRPr="002A6558">
        <w:t xml:space="preserve">, </w:t>
      </w:r>
      <w:r w:rsidRPr="002A6558">
        <w:rPr>
          <w:rFonts w:ascii="Calibri" w:eastAsia="Calibri" w:hAnsi="Calibri" w:cs="Arial"/>
        </w:rPr>
        <w:t>A/HRC/RES/S-21/1</w:t>
      </w:r>
      <w:r w:rsidRPr="002A6558">
        <w:t xml:space="preserve">, </w:t>
      </w:r>
      <w:r>
        <w:t>available at</w:t>
      </w:r>
      <w:r w:rsidRPr="002A6558">
        <w:t xml:space="preserve"> https://www.google.co.il/url?sa=t&amp;rct=j&amp;q=&amp;esrc=s&amp;source=web&amp;cd=1&amp;ved=0ahUKEwi-v_-vkKzMAhXKlxoKHdkGBEMQFggbMAA&amp;url=http%3A%2F%2Fwww.ohchr.org%2FDocuments%2FHRBodies%2FHRCouncil%2FSpecialSession%2FSession21%2FA-HRC-RES-S-21-1_en.doc&amp;usg=AFQjCNG-La7K_6IZop2w4tyHwLmZv0deSA&amp;sig2=bdlmgnu09A3SRCfI2_5UHg</w:t>
      </w:r>
    </w:p>
  </w:footnote>
  <w:footnote w:id="341">
    <w:p w:rsidR="009B636F" w:rsidRPr="00932EC1" w:rsidRDefault="009B636F" w:rsidP="00A16FFD">
      <w:pPr>
        <w:pStyle w:val="a5"/>
        <w:jc w:val="both"/>
        <w:rPr>
          <w:rtl/>
        </w:rPr>
      </w:pPr>
      <w:r w:rsidRPr="002A6558">
        <w:rPr>
          <w:rStyle w:val="a7"/>
        </w:rPr>
        <w:footnoteRef/>
      </w:r>
      <w:r w:rsidRPr="002A6558">
        <w:rPr>
          <w:rtl/>
        </w:rPr>
        <w:t xml:space="preserve"> </w:t>
      </w:r>
      <w:r w:rsidRPr="002A6558">
        <w:rPr>
          <w:rFonts w:eastAsia="Arial Unicode MS"/>
          <w:u w:color="000000"/>
        </w:rPr>
        <w:t>Report of the detailed findings of the independent commission of inquiry established pursuant to Human Rights Council resolution S-21/1, A/HRC/29/CRP.4,</w:t>
      </w:r>
      <w:r w:rsidRPr="002A6558">
        <w:t xml:space="preserve"> </w:t>
      </w:r>
      <w:r>
        <w:t>available at</w:t>
      </w:r>
      <w:r w:rsidRPr="002A6558">
        <w:rPr>
          <w:rFonts w:eastAsia="Arial Unicode MS"/>
          <w:u w:color="000000"/>
        </w:rPr>
        <w:t xml:space="preserve"> </w:t>
      </w:r>
      <w:r w:rsidRPr="00932EC1">
        <w:rPr>
          <w:rFonts w:eastAsia="Arial Unicode MS"/>
          <w:u w:color="000000"/>
        </w:rPr>
        <w:t>http://www.ohchr.org/Documents/HRBodies/HRCouncil/CoIGaza/A_HRC_CRP_4.docx</w:t>
      </w:r>
    </w:p>
  </w:footnote>
  <w:footnote w:id="342">
    <w:p w:rsidR="009B636F" w:rsidRPr="002A6558" w:rsidRDefault="009B636F" w:rsidP="00A16FFD">
      <w:pPr>
        <w:pStyle w:val="a5"/>
        <w:jc w:val="both"/>
        <w:rPr>
          <w:rtl/>
        </w:rPr>
      </w:pPr>
      <w:r w:rsidRPr="002A6558">
        <w:rPr>
          <w:rStyle w:val="a7"/>
        </w:rPr>
        <w:footnoteRef/>
      </w:r>
      <w:r w:rsidRPr="002A6558">
        <w:rPr>
          <w:rtl/>
        </w:rPr>
        <w:t xml:space="preserve"> </w:t>
      </w:r>
      <w:r w:rsidRPr="002A6558">
        <w:rPr>
          <w:rFonts w:cs="David" w:hint="cs"/>
          <w:rtl/>
        </w:rPr>
        <w:t>פסקה 3 לדוח הוועדה</w:t>
      </w:r>
    </w:p>
  </w:footnote>
  <w:footnote w:id="343">
    <w:p w:rsidR="009B636F" w:rsidRPr="002A6558" w:rsidRDefault="009B636F" w:rsidP="00A16FFD">
      <w:pPr>
        <w:pStyle w:val="a5"/>
        <w:jc w:val="both"/>
      </w:pPr>
      <w:r w:rsidRPr="002A6558">
        <w:rPr>
          <w:rStyle w:val="a7"/>
        </w:rPr>
        <w:footnoteRef/>
      </w:r>
      <w:r w:rsidRPr="002A6558">
        <w:rPr>
          <w:rtl/>
        </w:rPr>
        <w:t xml:space="preserve"> </w:t>
      </w:r>
      <w:r w:rsidRPr="002A6558">
        <w:t xml:space="preserve">Letter dated 27 April 2015 from the Secretary-General addressed to the President of the Security Council, S/2015/286, </w:t>
      </w:r>
      <w:r>
        <w:t>available at</w:t>
      </w:r>
      <w:r w:rsidRPr="002A6558">
        <w:t xml:space="preserve"> http://www.un.org/en/ga/search/view_doc.asp?symbol=S/2015/286</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636F" w:rsidRDefault="009B636F">
    <w:pPr>
      <w:pStyle w:val="a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636F" w:rsidRDefault="009B636F">
    <w:pPr>
      <w:pStyle w:val="a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636F" w:rsidRDefault="009B636F">
    <w:pPr>
      <w:pStyle w:val="a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D5FC3"/>
    <w:multiLevelType w:val="hybridMultilevel"/>
    <w:tmpl w:val="89A4C0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68380B"/>
    <w:multiLevelType w:val="hybridMultilevel"/>
    <w:tmpl w:val="C9A69A6A"/>
    <w:lvl w:ilvl="0" w:tplc="6DA83F8E">
      <w:start w:val="1"/>
      <w:numFmt w:val="hebrew1"/>
      <w:lvlText w:val="%1."/>
      <w:lvlJc w:val="left"/>
      <w:pPr>
        <w:ind w:left="720" w:hanging="360"/>
      </w:pPr>
      <w:rPr>
        <w:rFonts w:cs="David" w:hint="default"/>
        <w:sz w:val="28"/>
        <w:szCs w:val="28"/>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06DD7EE6"/>
    <w:multiLevelType w:val="hybridMultilevel"/>
    <w:tmpl w:val="DFA43D3A"/>
    <w:lvl w:ilvl="0" w:tplc="1BA0490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7B4CEE"/>
    <w:multiLevelType w:val="hybridMultilevel"/>
    <w:tmpl w:val="3864A114"/>
    <w:lvl w:ilvl="0" w:tplc="DC5089C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329493B"/>
    <w:multiLevelType w:val="hybridMultilevel"/>
    <w:tmpl w:val="EE84F0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B545F9"/>
    <w:multiLevelType w:val="hybridMultilevel"/>
    <w:tmpl w:val="4D342848"/>
    <w:lvl w:ilvl="0" w:tplc="04090013">
      <w:start w:val="1"/>
      <w:numFmt w:val="hebrew1"/>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3BC50B9"/>
    <w:multiLevelType w:val="hybridMultilevel"/>
    <w:tmpl w:val="25323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56F7EA4"/>
    <w:multiLevelType w:val="hybridMultilevel"/>
    <w:tmpl w:val="1360B6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5A223F2"/>
    <w:multiLevelType w:val="hybridMultilevel"/>
    <w:tmpl w:val="AD147474"/>
    <w:lvl w:ilvl="0" w:tplc="0409000F">
      <w:start w:val="1"/>
      <w:numFmt w:val="decimal"/>
      <w:lvlText w:val="%1."/>
      <w:lvlJc w:val="left"/>
      <w:pPr>
        <w:ind w:left="720" w:hanging="360"/>
      </w:pPr>
      <w:rPr>
        <w:rFonts w:hint="default"/>
      </w:rPr>
    </w:lvl>
    <w:lvl w:ilvl="1" w:tplc="04090013">
      <w:start w:val="1"/>
      <w:numFmt w:val="hebrew1"/>
      <w:lvlText w:val="%2."/>
      <w:lvlJc w:val="center"/>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0B61F0E"/>
    <w:multiLevelType w:val="hybridMultilevel"/>
    <w:tmpl w:val="9B4AD5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2BE1445"/>
    <w:multiLevelType w:val="hybridMultilevel"/>
    <w:tmpl w:val="630E90FA"/>
    <w:lvl w:ilvl="0" w:tplc="B5EC9D8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7C57127"/>
    <w:multiLevelType w:val="hybridMultilevel"/>
    <w:tmpl w:val="30581288"/>
    <w:lvl w:ilvl="0" w:tplc="A7748B1C">
      <w:start w:val="2014"/>
      <w:numFmt w:val="bullet"/>
      <w:lvlText w:val="-"/>
      <w:lvlJc w:val="left"/>
      <w:pPr>
        <w:ind w:left="420" w:hanging="360"/>
      </w:pPr>
      <w:rPr>
        <w:rFonts w:asciiTheme="minorHAnsi" w:eastAsiaTheme="minorHAnsi" w:hAnsiTheme="minorHAnsi" w:cs="David"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2">
    <w:nsid w:val="29FE41F4"/>
    <w:multiLevelType w:val="hybridMultilevel"/>
    <w:tmpl w:val="CCB26F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B60350B"/>
    <w:multiLevelType w:val="hybridMultilevel"/>
    <w:tmpl w:val="5C50CC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21E68C1"/>
    <w:multiLevelType w:val="hybridMultilevel"/>
    <w:tmpl w:val="A916257A"/>
    <w:lvl w:ilvl="0" w:tplc="0F04737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480547F"/>
    <w:multiLevelType w:val="hybridMultilevel"/>
    <w:tmpl w:val="825CAD4E"/>
    <w:lvl w:ilvl="0" w:tplc="970416A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D1521EA"/>
    <w:multiLevelType w:val="hybridMultilevel"/>
    <w:tmpl w:val="076863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1D66BE4"/>
    <w:multiLevelType w:val="hybridMultilevel"/>
    <w:tmpl w:val="A2201F3C"/>
    <w:lvl w:ilvl="0" w:tplc="B89CEE5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73B67E8"/>
    <w:multiLevelType w:val="hybridMultilevel"/>
    <w:tmpl w:val="5554D3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A5D6DEC"/>
    <w:multiLevelType w:val="hybridMultilevel"/>
    <w:tmpl w:val="AE789E94"/>
    <w:lvl w:ilvl="0" w:tplc="13A05D4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BC71D75"/>
    <w:multiLevelType w:val="hybridMultilevel"/>
    <w:tmpl w:val="0DC817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E1F0F0A"/>
    <w:multiLevelType w:val="hybridMultilevel"/>
    <w:tmpl w:val="8E2A691C"/>
    <w:lvl w:ilvl="0" w:tplc="FA7AE00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0EC0D32"/>
    <w:multiLevelType w:val="hybridMultilevel"/>
    <w:tmpl w:val="7C3A2FF8"/>
    <w:lvl w:ilvl="0" w:tplc="DA70A6C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2687E23"/>
    <w:multiLevelType w:val="hybridMultilevel"/>
    <w:tmpl w:val="5F9687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86A7ABB"/>
    <w:multiLevelType w:val="hybridMultilevel"/>
    <w:tmpl w:val="29D671D2"/>
    <w:lvl w:ilvl="0" w:tplc="27CE550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974509F"/>
    <w:multiLevelType w:val="hybridMultilevel"/>
    <w:tmpl w:val="787493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9F368C3"/>
    <w:multiLevelType w:val="hybridMultilevel"/>
    <w:tmpl w:val="D0BC70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A230A49"/>
    <w:multiLevelType w:val="hybridMultilevel"/>
    <w:tmpl w:val="777C3CB4"/>
    <w:lvl w:ilvl="0" w:tplc="71BA487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19243F8"/>
    <w:multiLevelType w:val="hybridMultilevel"/>
    <w:tmpl w:val="19BC9B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9101DD1"/>
    <w:multiLevelType w:val="hybridMultilevel"/>
    <w:tmpl w:val="4788B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13"/>
  </w:num>
  <w:num w:numId="4">
    <w:abstractNumId w:val="20"/>
  </w:num>
  <w:num w:numId="5">
    <w:abstractNumId w:val="11"/>
  </w:num>
  <w:num w:numId="6">
    <w:abstractNumId w:val="5"/>
  </w:num>
  <w:num w:numId="7">
    <w:abstractNumId w:val="15"/>
  </w:num>
  <w:num w:numId="8">
    <w:abstractNumId w:val="21"/>
  </w:num>
  <w:num w:numId="9">
    <w:abstractNumId w:val="29"/>
  </w:num>
  <w:num w:numId="10">
    <w:abstractNumId w:val="6"/>
  </w:num>
  <w:num w:numId="11">
    <w:abstractNumId w:val="24"/>
  </w:num>
  <w:num w:numId="12">
    <w:abstractNumId w:val="3"/>
  </w:num>
  <w:num w:numId="13">
    <w:abstractNumId w:val="23"/>
  </w:num>
  <w:num w:numId="14">
    <w:abstractNumId w:val="2"/>
  </w:num>
  <w:num w:numId="15">
    <w:abstractNumId w:val="27"/>
  </w:num>
  <w:num w:numId="16">
    <w:abstractNumId w:val="8"/>
  </w:num>
  <w:num w:numId="17">
    <w:abstractNumId w:val="1"/>
  </w:num>
  <w:num w:numId="18">
    <w:abstractNumId w:val="9"/>
  </w:num>
  <w:num w:numId="19">
    <w:abstractNumId w:val="0"/>
  </w:num>
  <w:num w:numId="20">
    <w:abstractNumId w:val="22"/>
  </w:num>
  <w:num w:numId="21">
    <w:abstractNumId w:val="12"/>
  </w:num>
  <w:num w:numId="22">
    <w:abstractNumId w:val="10"/>
  </w:num>
  <w:num w:numId="23">
    <w:abstractNumId w:val="14"/>
  </w:num>
  <w:num w:numId="24">
    <w:abstractNumId w:val="19"/>
  </w:num>
  <w:num w:numId="25">
    <w:abstractNumId w:val="17"/>
  </w:num>
  <w:num w:numId="26">
    <w:abstractNumId w:val="26"/>
  </w:num>
  <w:num w:numId="27">
    <w:abstractNumId w:val="16"/>
  </w:num>
  <w:num w:numId="28">
    <w:abstractNumId w:val="28"/>
  </w:num>
  <w:num w:numId="29">
    <w:abstractNumId w:val="25"/>
  </w:num>
  <w:num w:numId="30">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6"/>
  <w:defaultTabStop w:val="720"/>
  <w:characterSpacingControl w:val="doNotCompress"/>
  <w:footnotePr>
    <w:footnote w:id="0"/>
    <w:footnote w:id="1"/>
  </w:footnotePr>
  <w:endnotePr>
    <w:endnote w:id="0"/>
    <w:endnote w:id="1"/>
  </w:endnotePr>
  <w:compat/>
  <w:rsids>
    <w:rsidRoot w:val="0000579B"/>
    <w:rsid w:val="00003518"/>
    <w:rsid w:val="000041B5"/>
    <w:rsid w:val="0000579B"/>
    <w:rsid w:val="00007685"/>
    <w:rsid w:val="00010043"/>
    <w:rsid w:val="0001110C"/>
    <w:rsid w:val="00012FD5"/>
    <w:rsid w:val="00014821"/>
    <w:rsid w:val="00015D46"/>
    <w:rsid w:val="00016037"/>
    <w:rsid w:val="00021EFD"/>
    <w:rsid w:val="00021F43"/>
    <w:rsid w:val="00023FE5"/>
    <w:rsid w:val="00026A0A"/>
    <w:rsid w:val="00026B55"/>
    <w:rsid w:val="0003277F"/>
    <w:rsid w:val="000352B1"/>
    <w:rsid w:val="000357BE"/>
    <w:rsid w:val="00036692"/>
    <w:rsid w:val="0004056A"/>
    <w:rsid w:val="000426DD"/>
    <w:rsid w:val="00043E6D"/>
    <w:rsid w:val="00046016"/>
    <w:rsid w:val="0004711E"/>
    <w:rsid w:val="00057035"/>
    <w:rsid w:val="00064EF6"/>
    <w:rsid w:val="00065A82"/>
    <w:rsid w:val="00066591"/>
    <w:rsid w:val="000666E1"/>
    <w:rsid w:val="00066741"/>
    <w:rsid w:val="00067E95"/>
    <w:rsid w:val="00070846"/>
    <w:rsid w:val="000800C1"/>
    <w:rsid w:val="00081BAC"/>
    <w:rsid w:val="00082937"/>
    <w:rsid w:val="00083C94"/>
    <w:rsid w:val="000852EB"/>
    <w:rsid w:val="00085B42"/>
    <w:rsid w:val="00086BF5"/>
    <w:rsid w:val="0008728F"/>
    <w:rsid w:val="00090061"/>
    <w:rsid w:val="00090D56"/>
    <w:rsid w:val="0009269D"/>
    <w:rsid w:val="00093247"/>
    <w:rsid w:val="00096731"/>
    <w:rsid w:val="00097CAD"/>
    <w:rsid w:val="00097E09"/>
    <w:rsid w:val="000A0F79"/>
    <w:rsid w:val="000A27FD"/>
    <w:rsid w:val="000A3241"/>
    <w:rsid w:val="000B438F"/>
    <w:rsid w:val="000B6230"/>
    <w:rsid w:val="000C118D"/>
    <w:rsid w:val="000C140E"/>
    <w:rsid w:val="000C297B"/>
    <w:rsid w:val="000C326D"/>
    <w:rsid w:val="000C460A"/>
    <w:rsid w:val="000D214A"/>
    <w:rsid w:val="000D2642"/>
    <w:rsid w:val="000E15F7"/>
    <w:rsid w:val="000E17FC"/>
    <w:rsid w:val="000E2D46"/>
    <w:rsid w:val="000E31A3"/>
    <w:rsid w:val="000E4EEC"/>
    <w:rsid w:val="000E6B7F"/>
    <w:rsid w:val="000F0EE2"/>
    <w:rsid w:val="000F15C5"/>
    <w:rsid w:val="000F4C20"/>
    <w:rsid w:val="000F5CF3"/>
    <w:rsid w:val="001114A6"/>
    <w:rsid w:val="001116DB"/>
    <w:rsid w:val="001165FD"/>
    <w:rsid w:val="001207AC"/>
    <w:rsid w:val="00121A03"/>
    <w:rsid w:val="0012219A"/>
    <w:rsid w:val="00123853"/>
    <w:rsid w:val="00124DA3"/>
    <w:rsid w:val="001328B8"/>
    <w:rsid w:val="00133858"/>
    <w:rsid w:val="00133A98"/>
    <w:rsid w:val="00134651"/>
    <w:rsid w:val="00136E97"/>
    <w:rsid w:val="00137335"/>
    <w:rsid w:val="0014495C"/>
    <w:rsid w:val="00144AB4"/>
    <w:rsid w:val="001451B7"/>
    <w:rsid w:val="00145CE3"/>
    <w:rsid w:val="00147AD7"/>
    <w:rsid w:val="001512BB"/>
    <w:rsid w:val="00152E06"/>
    <w:rsid w:val="001550BD"/>
    <w:rsid w:val="001554A0"/>
    <w:rsid w:val="00156C30"/>
    <w:rsid w:val="001570AB"/>
    <w:rsid w:val="0016214B"/>
    <w:rsid w:val="00165037"/>
    <w:rsid w:val="00172FD3"/>
    <w:rsid w:val="00176430"/>
    <w:rsid w:val="00176EF4"/>
    <w:rsid w:val="001773C1"/>
    <w:rsid w:val="00177C26"/>
    <w:rsid w:val="0018035C"/>
    <w:rsid w:val="00180971"/>
    <w:rsid w:val="001813AA"/>
    <w:rsid w:val="00183268"/>
    <w:rsid w:val="0018336F"/>
    <w:rsid w:val="00185D1F"/>
    <w:rsid w:val="001900D0"/>
    <w:rsid w:val="0019748D"/>
    <w:rsid w:val="001975C2"/>
    <w:rsid w:val="00197A45"/>
    <w:rsid w:val="001A3299"/>
    <w:rsid w:val="001A4BDB"/>
    <w:rsid w:val="001A60EA"/>
    <w:rsid w:val="001A71B8"/>
    <w:rsid w:val="001B5E7E"/>
    <w:rsid w:val="001B67E3"/>
    <w:rsid w:val="001C1ED2"/>
    <w:rsid w:val="001C4346"/>
    <w:rsid w:val="001C4501"/>
    <w:rsid w:val="001C501B"/>
    <w:rsid w:val="001C5902"/>
    <w:rsid w:val="001C59DF"/>
    <w:rsid w:val="001C5C6C"/>
    <w:rsid w:val="001C7A32"/>
    <w:rsid w:val="001D78D7"/>
    <w:rsid w:val="001E019A"/>
    <w:rsid w:val="001E3357"/>
    <w:rsid w:val="001E5054"/>
    <w:rsid w:val="001F3660"/>
    <w:rsid w:val="001F3763"/>
    <w:rsid w:val="001F4AC1"/>
    <w:rsid w:val="001F5BF6"/>
    <w:rsid w:val="0020036A"/>
    <w:rsid w:val="002011E9"/>
    <w:rsid w:val="00203898"/>
    <w:rsid w:val="00203A2F"/>
    <w:rsid w:val="00204366"/>
    <w:rsid w:val="002102ED"/>
    <w:rsid w:val="0021472D"/>
    <w:rsid w:val="00216FC6"/>
    <w:rsid w:val="00220211"/>
    <w:rsid w:val="00223606"/>
    <w:rsid w:val="00223CFE"/>
    <w:rsid w:val="0022467C"/>
    <w:rsid w:val="00224FED"/>
    <w:rsid w:val="002258B6"/>
    <w:rsid w:val="0022607E"/>
    <w:rsid w:val="002315FE"/>
    <w:rsid w:val="00232082"/>
    <w:rsid w:val="002351A1"/>
    <w:rsid w:val="002355F7"/>
    <w:rsid w:val="002368CA"/>
    <w:rsid w:val="00237777"/>
    <w:rsid w:val="00247034"/>
    <w:rsid w:val="002502AB"/>
    <w:rsid w:val="00250CD2"/>
    <w:rsid w:val="00251F0C"/>
    <w:rsid w:val="002631C9"/>
    <w:rsid w:val="00264AF0"/>
    <w:rsid w:val="00264CE0"/>
    <w:rsid w:val="002771FF"/>
    <w:rsid w:val="00277B0D"/>
    <w:rsid w:val="00282E12"/>
    <w:rsid w:val="0028423A"/>
    <w:rsid w:val="00284E12"/>
    <w:rsid w:val="0028511A"/>
    <w:rsid w:val="0028638E"/>
    <w:rsid w:val="002866D7"/>
    <w:rsid w:val="00286D81"/>
    <w:rsid w:val="0029031E"/>
    <w:rsid w:val="0029171E"/>
    <w:rsid w:val="00291A79"/>
    <w:rsid w:val="002942FD"/>
    <w:rsid w:val="00295004"/>
    <w:rsid w:val="0029569B"/>
    <w:rsid w:val="00295C48"/>
    <w:rsid w:val="0029601D"/>
    <w:rsid w:val="002A0D02"/>
    <w:rsid w:val="002A21BD"/>
    <w:rsid w:val="002A2CE5"/>
    <w:rsid w:val="002A6228"/>
    <w:rsid w:val="002A6558"/>
    <w:rsid w:val="002A694A"/>
    <w:rsid w:val="002A7E10"/>
    <w:rsid w:val="002B5D18"/>
    <w:rsid w:val="002B7C45"/>
    <w:rsid w:val="002C783C"/>
    <w:rsid w:val="002D24BB"/>
    <w:rsid w:val="002D24F8"/>
    <w:rsid w:val="002D4BC8"/>
    <w:rsid w:val="002D7044"/>
    <w:rsid w:val="002E0D59"/>
    <w:rsid w:val="002E3AFA"/>
    <w:rsid w:val="002E4461"/>
    <w:rsid w:val="002E4C7D"/>
    <w:rsid w:val="002E61B8"/>
    <w:rsid w:val="002E66E4"/>
    <w:rsid w:val="002F46C8"/>
    <w:rsid w:val="002F4F02"/>
    <w:rsid w:val="002F7A44"/>
    <w:rsid w:val="00302D6D"/>
    <w:rsid w:val="00303A63"/>
    <w:rsid w:val="003049C9"/>
    <w:rsid w:val="00304EB8"/>
    <w:rsid w:val="003066F3"/>
    <w:rsid w:val="00310D3D"/>
    <w:rsid w:val="003135AC"/>
    <w:rsid w:val="00317477"/>
    <w:rsid w:val="00323375"/>
    <w:rsid w:val="003307C2"/>
    <w:rsid w:val="00336B09"/>
    <w:rsid w:val="00337147"/>
    <w:rsid w:val="00340957"/>
    <w:rsid w:val="00341B24"/>
    <w:rsid w:val="00341C30"/>
    <w:rsid w:val="00350193"/>
    <w:rsid w:val="00356074"/>
    <w:rsid w:val="00356A0C"/>
    <w:rsid w:val="00357C7F"/>
    <w:rsid w:val="00361439"/>
    <w:rsid w:val="00363796"/>
    <w:rsid w:val="00363D9E"/>
    <w:rsid w:val="00364CC6"/>
    <w:rsid w:val="00364FB5"/>
    <w:rsid w:val="00370750"/>
    <w:rsid w:val="00373222"/>
    <w:rsid w:val="0037498F"/>
    <w:rsid w:val="00375BE2"/>
    <w:rsid w:val="003809F7"/>
    <w:rsid w:val="00380DD5"/>
    <w:rsid w:val="003810AD"/>
    <w:rsid w:val="00390EE7"/>
    <w:rsid w:val="00390F67"/>
    <w:rsid w:val="00391A2C"/>
    <w:rsid w:val="00391B49"/>
    <w:rsid w:val="003943A8"/>
    <w:rsid w:val="00396025"/>
    <w:rsid w:val="00397737"/>
    <w:rsid w:val="003A492F"/>
    <w:rsid w:val="003B0716"/>
    <w:rsid w:val="003B2EA6"/>
    <w:rsid w:val="003B4801"/>
    <w:rsid w:val="003C7433"/>
    <w:rsid w:val="003D0069"/>
    <w:rsid w:val="003D68D6"/>
    <w:rsid w:val="003E4188"/>
    <w:rsid w:val="003E43AD"/>
    <w:rsid w:val="003E4D98"/>
    <w:rsid w:val="003E54CF"/>
    <w:rsid w:val="003E5C0B"/>
    <w:rsid w:val="003F0090"/>
    <w:rsid w:val="003F3361"/>
    <w:rsid w:val="003F386E"/>
    <w:rsid w:val="00404EEE"/>
    <w:rsid w:val="0040558A"/>
    <w:rsid w:val="00406300"/>
    <w:rsid w:val="00407726"/>
    <w:rsid w:val="00407F13"/>
    <w:rsid w:val="004157CB"/>
    <w:rsid w:val="00420084"/>
    <w:rsid w:val="00420C10"/>
    <w:rsid w:val="004215E0"/>
    <w:rsid w:val="004220EE"/>
    <w:rsid w:val="004227F5"/>
    <w:rsid w:val="004329B6"/>
    <w:rsid w:val="00433A00"/>
    <w:rsid w:val="00433F90"/>
    <w:rsid w:val="00434DAC"/>
    <w:rsid w:val="00436183"/>
    <w:rsid w:val="00440AEF"/>
    <w:rsid w:val="00441861"/>
    <w:rsid w:val="004418B3"/>
    <w:rsid w:val="00442D5B"/>
    <w:rsid w:val="004440D9"/>
    <w:rsid w:val="0044462D"/>
    <w:rsid w:val="004462BB"/>
    <w:rsid w:val="004544A6"/>
    <w:rsid w:val="004554C9"/>
    <w:rsid w:val="00460577"/>
    <w:rsid w:val="004606DE"/>
    <w:rsid w:val="00464176"/>
    <w:rsid w:val="00464BD7"/>
    <w:rsid w:val="0047213B"/>
    <w:rsid w:val="004738FF"/>
    <w:rsid w:val="00474E1A"/>
    <w:rsid w:val="0047648E"/>
    <w:rsid w:val="0047728A"/>
    <w:rsid w:val="00482B6C"/>
    <w:rsid w:val="00483634"/>
    <w:rsid w:val="00484108"/>
    <w:rsid w:val="00485F1A"/>
    <w:rsid w:val="00487234"/>
    <w:rsid w:val="0049287D"/>
    <w:rsid w:val="00492C26"/>
    <w:rsid w:val="00496AE2"/>
    <w:rsid w:val="004976DA"/>
    <w:rsid w:val="004A1635"/>
    <w:rsid w:val="004A1D72"/>
    <w:rsid w:val="004B01C1"/>
    <w:rsid w:val="004B0693"/>
    <w:rsid w:val="004B10F4"/>
    <w:rsid w:val="004B275C"/>
    <w:rsid w:val="004B50A8"/>
    <w:rsid w:val="004B5D63"/>
    <w:rsid w:val="004C0757"/>
    <w:rsid w:val="004C110F"/>
    <w:rsid w:val="004C159E"/>
    <w:rsid w:val="004C354B"/>
    <w:rsid w:val="004C570A"/>
    <w:rsid w:val="004C572A"/>
    <w:rsid w:val="004C6E19"/>
    <w:rsid w:val="004C71CA"/>
    <w:rsid w:val="004C78C4"/>
    <w:rsid w:val="004C7904"/>
    <w:rsid w:val="004D2C90"/>
    <w:rsid w:val="004D34A3"/>
    <w:rsid w:val="004D3FED"/>
    <w:rsid w:val="004D4BB2"/>
    <w:rsid w:val="004D7819"/>
    <w:rsid w:val="004E467C"/>
    <w:rsid w:val="004E5CD7"/>
    <w:rsid w:val="004E6E55"/>
    <w:rsid w:val="004E76EC"/>
    <w:rsid w:val="004F0328"/>
    <w:rsid w:val="004F66C7"/>
    <w:rsid w:val="00500D6B"/>
    <w:rsid w:val="0050280F"/>
    <w:rsid w:val="005060FD"/>
    <w:rsid w:val="005077BA"/>
    <w:rsid w:val="00511E41"/>
    <w:rsid w:val="00512EC0"/>
    <w:rsid w:val="00513DBA"/>
    <w:rsid w:val="00514764"/>
    <w:rsid w:val="00515158"/>
    <w:rsid w:val="00517AFB"/>
    <w:rsid w:val="00521ED6"/>
    <w:rsid w:val="005223D0"/>
    <w:rsid w:val="00523C32"/>
    <w:rsid w:val="00526110"/>
    <w:rsid w:val="00526B13"/>
    <w:rsid w:val="00527AD8"/>
    <w:rsid w:val="00530D03"/>
    <w:rsid w:val="0053660A"/>
    <w:rsid w:val="00536AB1"/>
    <w:rsid w:val="0054063A"/>
    <w:rsid w:val="00542DAD"/>
    <w:rsid w:val="0054304F"/>
    <w:rsid w:val="00552530"/>
    <w:rsid w:val="00556F8B"/>
    <w:rsid w:val="00560E10"/>
    <w:rsid w:val="005610C5"/>
    <w:rsid w:val="0056232E"/>
    <w:rsid w:val="0056283F"/>
    <w:rsid w:val="00565C75"/>
    <w:rsid w:val="00565E05"/>
    <w:rsid w:val="00567D22"/>
    <w:rsid w:val="00570378"/>
    <w:rsid w:val="00570D37"/>
    <w:rsid w:val="005727F0"/>
    <w:rsid w:val="005733C7"/>
    <w:rsid w:val="0057635B"/>
    <w:rsid w:val="00576590"/>
    <w:rsid w:val="0057724A"/>
    <w:rsid w:val="00580F18"/>
    <w:rsid w:val="00581A31"/>
    <w:rsid w:val="00581E53"/>
    <w:rsid w:val="005847A3"/>
    <w:rsid w:val="005855C3"/>
    <w:rsid w:val="00591141"/>
    <w:rsid w:val="00591B6B"/>
    <w:rsid w:val="005935C5"/>
    <w:rsid w:val="005941C8"/>
    <w:rsid w:val="0059486F"/>
    <w:rsid w:val="00596123"/>
    <w:rsid w:val="00596B59"/>
    <w:rsid w:val="005A05E0"/>
    <w:rsid w:val="005A2213"/>
    <w:rsid w:val="005A45DC"/>
    <w:rsid w:val="005B209F"/>
    <w:rsid w:val="005B3637"/>
    <w:rsid w:val="005B7792"/>
    <w:rsid w:val="005C0527"/>
    <w:rsid w:val="005C1251"/>
    <w:rsid w:val="005C1B11"/>
    <w:rsid w:val="005C2494"/>
    <w:rsid w:val="005C3F50"/>
    <w:rsid w:val="005C71A3"/>
    <w:rsid w:val="005C71F7"/>
    <w:rsid w:val="005C7C5F"/>
    <w:rsid w:val="005D1461"/>
    <w:rsid w:val="005D179B"/>
    <w:rsid w:val="005D2BE8"/>
    <w:rsid w:val="005D4C35"/>
    <w:rsid w:val="005D536D"/>
    <w:rsid w:val="005D5AF7"/>
    <w:rsid w:val="005E0F46"/>
    <w:rsid w:val="005E4F6C"/>
    <w:rsid w:val="005E5807"/>
    <w:rsid w:val="005E743F"/>
    <w:rsid w:val="005E7CA9"/>
    <w:rsid w:val="005E7D29"/>
    <w:rsid w:val="005F35C8"/>
    <w:rsid w:val="005F6FB1"/>
    <w:rsid w:val="0060044D"/>
    <w:rsid w:val="0060611F"/>
    <w:rsid w:val="00606363"/>
    <w:rsid w:val="006112F6"/>
    <w:rsid w:val="00611355"/>
    <w:rsid w:val="006117E6"/>
    <w:rsid w:val="00613BE7"/>
    <w:rsid w:val="0061660D"/>
    <w:rsid w:val="00616BF6"/>
    <w:rsid w:val="006178D8"/>
    <w:rsid w:val="0062388F"/>
    <w:rsid w:val="00625F72"/>
    <w:rsid w:val="006303B8"/>
    <w:rsid w:val="00631DE1"/>
    <w:rsid w:val="00635A0A"/>
    <w:rsid w:val="00640BF4"/>
    <w:rsid w:val="00643F1E"/>
    <w:rsid w:val="00644F76"/>
    <w:rsid w:val="006505C0"/>
    <w:rsid w:val="0065302E"/>
    <w:rsid w:val="00654158"/>
    <w:rsid w:val="0066249D"/>
    <w:rsid w:val="00663C2A"/>
    <w:rsid w:val="00667B84"/>
    <w:rsid w:val="00672D74"/>
    <w:rsid w:val="0067445D"/>
    <w:rsid w:val="00674771"/>
    <w:rsid w:val="006750EE"/>
    <w:rsid w:val="006810F5"/>
    <w:rsid w:val="00681A50"/>
    <w:rsid w:val="0068522C"/>
    <w:rsid w:val="00690F52"/>
    <w:rsid w:val="00692192"/>
    <w:rsid w:val="00692D77"/>
    <w:rsid w:val="00692E16"/>
    <w:rsid w:val="00694037"/>
    <w:rsid w:val="006A1887"/>
    <w:rsid w:val="006A480D"/>
    <w:rsid w:val="006B256E"/>
    <w:rsid w:val="006B415E"/>
    <w:rsid w:val="006B60D7"/>
    <w:rsid w:val="006C0AA1"/>
    <w:rsid w:val="006C7F5D"/>
    <w:rsid w:val="006D1094"/>
    <w:rsid w:val="006D1971"/>
    <w:rsid w:val="006D1A39"/>
    <w:rsid w:val="006D2F2F"/>
    <w:rsid w:val="006D4190"/>
    <w:rsid w:val="006D4359"/>
    <w:rsid w:val="006D43D8"/>
    <w:rsid w:val="006D5361"/>
    <w:rsid w:val="006D633D"/>
    <w:rsid w:val="006E07F2"/>
    <w:rsid w:val="006E09A9"/>
    <w:rsid w:val="006E258F"/>
    <w:rsid w:val="006E412B"/>
    <w:rsid w:val="006E791A"/>
    <w:rsid w:val="006F0CEB"/>
    <w:rsid w:val="006F12E1"/>
    <w:rsid w:val="006F3527"/>
    <w:rsid w:val="006F3ACA"/>
    <w:rsid w:val="006F502D"/>
    <w:rsid w:val="007011D0"/>
    <w:rsid w:val="00712481"/>
    <w:rsid w:val="007154F8"/>
    <w:rsid w:val="007240D2"/>
    <w:rsid w:val="0072620B"/>
    <w:rsid w:val="00726F1E"/>
    <w:rsid w:val="00730EBB"/>
    <w:rsid w:val="00733063"/>
    <w:rsid w:val="00733E8D"/>
    <w:rsid w:val="007340F2"/>
    <w:rsid w:val="0073414E"/>
    <w:rsid w:val="00737DAA"/>
    <w:rsid w:val="0074040C"/>
    <w:rsid w:val="007418CF"/>
    <w:rsid w:val="007419E4"/>
    <w:rsid w:val="00741E11"/>
    <w:rsid w:val="00741F97"/>
    <w:rsid w:val="00743DB3"/>
    <w:rsid w:val="0074404A"/>
    <w:rsid w:val="00753E83"/>
    <w:rsid w:val="00754FC5"/>
    <w:rsid w:val="00756291"/>
    <w:rsid w:val="00756559"/>
    <w:rsid w:val="00763863"/>
    <w:rsid w:val="007663DA"/>
    <w:rsid w:val="00766918"/>
    <w:rsid w:val="007675CE"/>
    <w:rsid w:val="007676EC"/>
    <w:rsid w:val="00767B29"/>
    <w:rsid w:val="00770878"/>
    <w:rsid w:val="00775DE2"/>
    <w:rsid w:val="00775F0E"/>
    <w:rsid w:val="00776AFF"/>
    <w:rsid w:val="00776E7F"/>
    <w:rsid w:val="007814BF"/>
    <w:rsid w:val="00786A8A"/>
    <w:rsid w:val="00787E3B"/>
    <w:rsid w:val="00790AA3"/>
    <w:rsid w:val="00790BBC"/>
    <w:rsid w:val="00794D5A"/>
    <w:rsid w:val="007960F3"/>
    <w:rsid w:val="007A3686"/>
    <w:rsid w:val="007A43E8"/>
    <w:rsid w:val="007A4734"/>
    <w:rsid w:val="007A6140"/>
    <w:rsid w:val="007B00B3"/>
    <w:rsid w:val="007B05E5"/>
    <w:rsid w:val="007B0B35"/>
    <w:rsid w:val="007B21A9"/>
    <w:rsid w:val="007B32AF"/>
    <w:rsid w:val="007C180E"/>
    <w:rsid w:val="007C55A2"/>
    <w:rsid w:val="007C5C77"/>
    <w:rsid w:val="007D1CA0"/>
    <w:rsid w:val="007D338D"/>
    <w:rsid w:val="007D6CF7"/>
    <w:rsid w:val="007D7DF0"/>
    <w:rsid w:val="007E1435"/>
    <w:rsid w:val="007E1EE9"/>
    <w:rsid w:val="007E3BE0"/>
    <w:rsid w:val="007E491E"/>
    <w:rsid w:val="007F1463"/>
    <w:rsid w:val="007F5FCD"/>
    <w:rsid w:val="008012A8"/>
    <w:rsid w:val="008026BB"/>
    <w:rsid w:val="008030BE"/>
    <w:rsid w:val="00803213"/>
    <w:rsid w:val="00812992"/>
    <w:rsid w:val="0081566C"/>
    <w:rsid w:val="008161EB"/>
    <w:rsid w:val="0081674D"/>
    <w:rsid w:val="008168C1"/>
    <w:rsid w:val="008169D7"/>
    <w:rsid w:val="00817841"/>
    <w:rsid w:val="00817A40"/>
    <w:rsid w:val="008202D1"/>
    <w:rsid w:val="00824BB8"/>
    <w:rsid w:val="008258D9"/>
    <w:rsid w:val="0082592A"/>
    <w:rsid w:val="008270AC"/>
    <w:rsid w:val="008278A9"/>
    <w:rsid w:val="008310CC"/>
    <w:rsid w:val="00835381"/>
    <w:rsid w:val="00835F26"/>
    <w:rsid w:val="00835F66"/>
    <w:rsid w:val="0083758C"/>
    <w:rsid w:val="00840B74"/>
    <w:rsid w:val="00842A19"/>
    <w:rsid w:val="00845019"/>
    <w:rsid w:val="008457BD"/>
    <w:rsid w:val="008459DC"/>
    <w:rsid w:val="00850C17"/>
    <w:rsid w:val="00855BF7"/>
    <w:rsid w:val="00863A8F"/>
    <w:rsid w:val="00865C01"/>
    <w:rsid w:val="00870210"/>
    <w:rsid w:val="00870436"/>
    <w:rsid w:val="0087184F"/>
    <w:rsid w:val="008776E9"/>
    <w:rsid w:val="008847CF"/>
    <w:rsid w:val="008847F1"/>
    <w:rsid w:val="0088770C"/>
    <w:rsid w:val="008944F2"/>
    <w:rsid w:val="00897031"/>
    <w:rsid w:val="008A31F3"/>
    <w:rsid w:val="008A45A5"/>
    <w:rsid w:val="008A67B7"/>
    <w:rsid w:val="008A720F"/>
    <w:rsid w:val="008A7CDB"/>
    <w:rsid w:val="008A7F32"/>
    <w:rsid w:val="008B0912"/>
    <w:rsid w:val="008B2D7F"/>
    <w:rsid w:val="008B316C"/>
    <w:rsid w:val="008C221E"/>
    <w:rsid w:val="008C3495"/>
    <w:rsid w:val="008D125A"/>
    <w:rsid w:val="008D1F8B"/>
    <w:rsid w:val="008D5BDB"/>
    <w:rsid w:val="008D7F49"/>
    <w:rsid w:val="008E0383"/>
    <w:rsid w:val="008E208C"/>
    <w:rsid w:val="008E5BEB"/>
    <w:rsid w:val="008E68E4"/>
    <w:rsid w:val="008F2140"/>
    <w:rsid w:val="008F215E"/>
    <w:rsid w:val="008F30D9"/>
    <w:rsid w:val="008F5D96"/>
    <w:rsid w:val="009012C0"/>
    <w:rsid w:val="00904EAA"/>
    <w:rsid w:val="0090541F"/>
    <w:rsid w:val="00905ED9"/>
    <w:rsid w:val="00906FC0"/>
    <w:rsid w:val="00912E4E"/>
    <w:rsid w:val="00923BDC"/>
    <w:rsid w:val="0092574B"/>
    <w:rsid w:val="00926346"/>
    <w:rsid w:val="0092706B"/>
    <w:rsid w:val="00932EC1"/>
    <w:rsid w:val="00933EF2"/>
    <w:rsid w:val="00935876"/>
    <w:rsid w:val="00936D6C"/>
    <w:rsid w:val="00937A62"/>
    <w:rsid w:val="00937F62"/>
    <w:rsid w:val="009424A2"/>
    <w:rsid w:val="009427DB"/>
    <w:rsid w:val="00944B66"/>
    <w:rsid w:val="009453E3"/>
    <w:rsid w:val="009464EE"/>
    <w:rsid w:val="009524CC"/>
    <w:rsid w:val="00956CA1"/>
    <w:rsid w:val="00962FAD"/>
    <w:rsid w:val="009638ED"/>
    <w:rsid w:val="00963C42"/>
    <w:rsid w:val="00967D49"/>
    <w:rsid w:val="00971805"/>
    <w:rsid w:val="009721FD"/>
    <w:rsid w:val="00980CB5"/>
    <w:rsid w:val="00982291"/>
    <w:rsid w:val="009830FC"/>
    <w:rsid w:val="00985033"/>
    <w:rsid w:val="0098562E"/>
    <w:rsid w:val="0098622A"/>
    <w:rsid w:val="00993D17"/>
    <w:rsid w:val="00995D11"/>
    <w:rsid w:val="0099703B"/>
    <w:rsid w:val="00997163"/>
    <w:rsid w:val="009A04CD"/>
    <w:rsid w:val="009A0FD4"/>
    <w:rsid w:val="009A181A"/>
    <w:rsid w:val="009A1E35"/>
    <w:rsid w:val="009A1E38"/>
    <w:rsid w:val="009A6D36"/>
    <w:rsid w:val="009A6D40"/>
    <w:rsid w:val="009B02CD"/>
    <w:rsid w:val="009B0C8F"/>
    <w:rsid w:val="009B176C"/>
    <w:rsid w:val="009B26D9"/>
    <w:rsid w:val="009B45EA"/>
    <w:rsid w:val="009B636F"/>
    <w:rsid w:val="009C039C"/>
    <w:rsid w:val="009C6668"/>
    <w:rsid w:val="009C7F3D"/>
    <w:rsid w:val="009D275F"/>
    <w:rsid w:val="009D35F6"/>
    <w:rsid w:val="009D5CC7"/>
    <w:rsid w:val="009D6B70"/>
    <w:rsid w:val="009E6DCE"/>
    <w:rsid w:val="009E7A88"/>
    <w:rsid w:val="009F13F4"/>
    <w:rsid w:val="009F1F7B"/>
    <w:rsid w:val="009F59F4"/>
    <w:rsid w:val="009F6ED1"/>
    <w:rsid w:val="009F7F8D"/>
    <w:rsid w:val="00A00437"/>
    <w:rsid w:val="00A00FD1"/>
    <w:rsid w:val="00A02163"/>
    <w:rsid w:val="00A02E7D"/>
    <w:rsid w:val="00A04751"/>
    <w:rsid w:val="00A04F69"/>
    <w:rsid w:val="00A04FBC"/>
    <w:rsid w:val="00A167F1"/>
    <w:rsid w:val="00A16F8F"/>
    <w:rsid w:val="00A16FFD"/>
    <w:rsid w:val="00A22689"/>
    <w:rsid w:val="00A22CD5"/>
    <w:rsid w:val="00A237F5"/>
    <w:rsid w:val="00A308C6"/>
    <w:rsid w:val="00A336FD"/>
    <w:rsid w:val="00A3718C"/>
    <w:rsid w:val="00A402FA"/>
    <w:rsid w:val="00A41A87"/>
    <w:rsid w:val="00A43062"/>
    <w:rsid w:val="00A466A1"/>
    <w:rsid w:val="00A47199"/>
    <w:rsid w:val="00A5092D"/>
    <w:rsid w:val="00A51C2D"/>
    <w:rsid w:val="00A551F4"/>
    <w:rsid w:val="00A65B56"/>
    <w:rsid w:val="00A66BB6"/>
    <w:rsid w:val="00A703AD"/>
    <w:rsid w:val="00A70814"/>
    <w:rsid w:val="00A715DD"/>
    <w:rsid w:val="00A755AE"/>
    <w:rsid w:val="00A76478"/>
    <w:rsid w:val="00A81422"/>
    <w:rsid w:val="00A82DA9"/>
    <w:rsid w:val="00A8632F"/>
    <w:rsid w:val="00A936DC"/>
    <w:rsid w:val="00A94E5F"/>
    <w:rsid w:val="00A9609C"/>
    <w:rsid w:val="00AA14F0"/>
    <w:rsid w:val="00AA7260"/>
    <w:rsid w:val="00AB093E"/>
    <w:rsid w:val="00AB25B5"/>
    <w:rsid w:val="00AB4688"/>
    <w:rsid w:val="00AC0C59"/>
    <w:rsid w:val="00AC59BE"/>
    <w:rsid w:val="00AC5D0A"/>
    <w:rsid w:val="00AC6727"/>
    <w:rsid w:val="00AD185B"/>
    <w:rsid w:val="00AD1ACA"/>
    <w:rsid w:val="00AD386D"/>
    <w:rsid w:val="00AD4065"/>
    <w:rsid w:val="00AD4354"/>
    <w:rsid w:val="00AD6901"/>
    <w:rsid w:val="00AE67F2"/>
    <w:rsid w:val="00AE7AED"/>
    <w:rsid w:val="00AF28CD"/>
    <w:rsid w:val="00AF5DF6"/>
    <w:rsid w:val="00AF60A3"/>
    <w:rsid w:val="00AF71C3"/>
    <w:rsid w:val="00AF76BF"/>
    <w:rsid w:val="00AF7E67"/>
    <w:rsid w:val="00B01E15"/>
    <w:rsid w:val="00B02B1F"/>
    <w:rsid w:val="00B03E36"/>
    <w:rsid w:val="00B07BC3"/>
    <w:rsid w:val="00B12FCE"/>
    <w:rsid w:val="00B13B15"/>
    <w:rsid w:val="00B160A0"/>
    <w:rsid w:val="00B20460"/>
    <w:rsid w:val="00B2066F"/>
    <w:rsid w:val="00B26E51"/>
    <w:rsid w:val="00B3063C"/>
    <w:rsid w:val="00B31898"/>
    <w:rsid w:val="00B31BC3"/>
    <w:rsid w:val="00B31CD0"/>
    <w:rsid w:val="00B33153"/>
    <w:rsid w:val="00B3521B"/>
    <w:rsid w:val="00B3670D"/>
    <w:rsid w:val="00B373A3"/>
    <w:rsid w:val="00B450F0"/>
    <w:rsid w:val="00B50C86"/>
    <w:rsid w:val="00B52EF5"/>
    <w:rsid w:val="00B55A6D"/>
    <w:rsid w:val="00B57DAE"/>
    <w:rsid w:val="00B60A94"/>
    <w:rsid w:val="00B61088"/>
    <w:rsid w:val="00B6128B"/>
    <w:rsid w:val="00B63DAC"/>
    <w:rsid w:val="00B653DC"/>
    <w:rsid w:val="00B665A2"/>
    <w:rsid w:val="00B668AE"/>
    <w:rsid w:val="00B668D4"/>
    <w:rsid w:val="00B700CF"/>
    <w:rsid w:val="00B716FF"/>
    <w:rsid w:val="00B74631"/>
    <w:rsid w:val="00B80944"/>
    <w:rsid w:val="00B838E0"/>
    <w:rsid w:val="00B8796D"/>
    <w:rsid w:val="00B92A09"/>
    <w:rsid w:val="00B95167"/>
    <w:rsid w:val="00B97654"/>
    <w:rsid w:val="00BA22C2"/>
    <w:rsid w:val="00BA4510"/>
    <w:rsid w:val="00BA4CF7"/>
    <w:rsid w:val="00BB1C41"/>
    <w:rsid w:val="00BB2BF0"/>
    <w:rsid w:val="00BB7B72"/>
    <w:rsid w:val="00BC21D3"/>
    <w:rsid w:val="00BC29B2"/>
    <w:rsid w:val="00BC5059"/>
    <w:rsid w:val="00BC7A84"/>
    <w:rsid w:val="00BD055C"/>
    <w:rsid w:val="00BD1A85"/>
    <w:rsid w:val="00BD25F9"/>
    <w:rsid w:val="00BD696F"/>
    <w:rsid w:val="00BE07E8"/>
    <w:rsid w:val="00BE0C5E"/>
    <w:rsid w:val="00BE2A9D"/>
    <w:rsid w:val="00BE2ABD"/>
    <w:rsid w:val="00BE56F0"/>
    <w:rsid w:val="00BE5BBB"/>
    <w:rsid w:val="00BF0349"/>
    <w:rsid w:val="00BF3277"/>
    <w:rsid w:val="00BF4FE5"/>
    <w:rsid w:val="00BF6C52"/>
    <w:rsid w:val="00C01D85"/>
    <w:rsid w:val="00C06485"/>
    <w:rsid w:val="00C06FD8"/>
    <w:rsid w:val="00C10A2A"/>
    <w:rsid w:val="00C122CD"/>
    <w:rsid w:val="00C13A22"/>
    <w:rsid w:val="00C14BD7"/>
    <w:rsid w:val="00C16EF1"/>
    <w:rsid w:val="00C17671"/>
    <w:rsid w:val="00C17D11"/>
    <w:rsid w:val="00C17EE3"/>
    <w:rsid w:val="00C209FD"/>
    <w:rsid w:val="00C22118"/>
    <w:rsid w:val="00C22960"/>
    <w:rsid w:val="00C25D0A"/>
    <w:rsid w:val="00C25FF1"/>
    <w:rsid w:val="00C2611D"/>
    <w:rsid w:val="00C33FA1"/>
    <w:rsid w:val="00C34443"/>
    <w:rsid w:val="00C40A62"/>
    <w:rsid w:val="00C43B4B"/>
    <w:rsid w:val="00C43CE9"/>
    <w:rsid w:val="00C4706E"/>
    <w:rsid w:val="00C473BB"/>
    <w:rsid w:val="00C47491"/>
    <w:rsid w:val="00C475DC"/>
    <w:rsid w:val="00C518A7"/>
    <w:rsid w:val="00C52DDA"/>
    <w:rsid w:val="00C56D9E"/>
    <w:rsid w:val="00C6168C"/>
    <w:rsid w:val="00C66D83"/>
    <w:rsid w:val="00C67A67"/>
    <w:rsid w:val="00C709E5"/>
    <w:rsid w:val="00C72786"/>
    <w:rsid w:val="00C72AB1"/>
    <w:rsid w:val="00C72EBD"/>
    <w:rsid w:val="00C735A1"/>
    <w:rsid w:val="00C74249"/>
    <w:rsid w:val="00C772DE"/>
    <w:rsid w:val="00C806E4"/>
    <w:rsid w:val="00C80E27"/>
    <w:rsid w:val="00C81005"/>
    <w:rsid w:val="00C827A4"/>
    <w:rsid w:val="00C82B2D"/>
    <w:rsid w:val="00C8786B"/>
    <w:rsid w:val="00C87A00"/>
    <w:rsid w:val="00C902F6"/>
    <w:rsid w:val="00C91307"/>
    <w:rsid w:val="00C91637"/>
    <w:rsid w:val="00C932B7"/>
    <w:rsid w:val="00CA009C"/>
    <w:rsid w:val="00CA2BFB"/>
    <w:rsid w:val="00CB2CF5"/>
    <w:rsid w:val="00CB344B"/>
    <w:rsid w:val="00CB3C48"/>
    <w:rsid w:val="00CB61D3"/>
    <w:rsid w:val="00CB7E78"/>
    <w:rsid w:val="00CC3168"/>
    <w:rsid w:val="00CC7CA6"/>
    <w:rsid w:val="00CD2093"/>
    <w:rsid w:val="00CD2244"/>
    <w:rsid w:val="00CD2625"/>
    <w:rsid w:val="00CE430D"/>
    <w:rsid w:val="00CE7830"/>
    <w:rsid w:val="00CF1023"/>
    <w:rsid w:val="00CF66CE"/>
    <w:rsid w:val="00D03B33"/>
    <w:rsid w:val="00D1132D"/>
    <w:rsid w:val="00D1249D"/>
    <w:rsid w:val="00D12968"/>
    <w:rsid w:val="00D12C33"/>
    <w:rsid w:val="00D15D6E"/>
    <w:rsid w:val="00D20373"/>
    <w:rsid w:val="00D23AB2"/>
    <w:rsid w:val="00D24285"/>
    <w:rsid w:val="00D3038B"/>
    <w:rsid w:val="00D321F7"/>
    <w:rsid w:val="00D41FCD"/>
    <w:rsid w:val="00D44503"/>
    <w:rsid w:val="00D44FBA"/>
    <w:rsid w:val="00D504D6"/>
    <w:rsid w:val="00D507C1"/>
    <w:rsid w:val="00D53BF4"/>
    <w:rsid w:val="00D54B8E"/>
    <w:rsid w:val="00D555A6"/>
    <w:rsid w:val="00D64B7F"/>
    <w:rsid w:val="00D66663"/>
    <w:rsid w:val="00D6711A"/>
    <w:rsid w:val="00D70812"/>
    <w:rsid w:val="00D712C5"/>
    <w:rsid w:val="00D72FED"/>
    <w:rsid w:val="00D74448"/>
    <w:rsid w:val="00D80B75"/>
    <w:rsid w:val="00D8166A"/>
    <w:rsid w:val="00D81AB6"/>
    <w:rsid w:val="00D84B3F"/>
    <w:rsid w:val="00D84DA9"/>
    <w:rsid w:val="00D85C8F"/>
    <w:rsid w:val="00D9285E"/>
    <w:rsid w:val="00D97165"/>
    <w:rsid w:val="00DA0B54"/>
    <w:rsid w:val="00DA124B"/>
    <w:rsid w:val="00DA324B"/>
    <w:rsid w:val="00DA5482"/>
    <w:rsid w:val="00DA5704"/>
    <w:rsid w:val="00DA6A5B"/>
    <w:rsid w:val="00DA7873"/>
    <w:rsid w:val="00DB17B6"/>
    <w:rsid w:val="00DB762F"/>
    <w:rsid w:val="00DB7F53"/>
    <w:rsid w:val="00DC0002"/>
    <w:rsid w:val="00DC0ACC"/>
    <w:rsid w:val="00DC1EE9"/>
    <w:rsid w:val="00DC20DB"/>
    <w:rsid w:val="00DC30CC"/>
    <w:rsid w:val="00DC3441"/>
    <w:rsid w:val="00DD319B"/>
    <w:rsid w:val="00DD35B1"/>
    <w:rsid w:val="00DD54DC"/>
    <w:rsid w:val="00DD58AB"/>
    <w:rsid w:val="00DD621A"/>
    <w:rsid w:val="00DE294F"/>
    <w:rsid w:val="00DF3D52"/>
    <w:rsid w:val="00DF412D"/>
    <w:rsid w:val="00DF64B3"/>
    <w:rsid w:val="00DF64B9"/>
    <w:rsid w:val="00DF7188"/>
    <w:rsid w:val="00E0257A"/>
    <w:rsid w:val="00E03F9A"/>
    <w:rsid w:val="00E0467E"/>
    <w:rsid w:val="00E04FFE"/>
    <w:rsid w:val="00E057C9"/>
    <w:rsid w:val="00E07DF1"/>
    <w:rsid w:val="00E07EE0"/>
    <w:rsid w:val="00E17466"/>
    <w:rsid w:val="00E174DF"/>
    <w:rsid w:val="00E227C1"/>
    <w:rsid w:val="00E229D0"/>
    <w:rsid w:val="00E22B2F"/>
    <w:rsid w:val="00E26AC2"/>
    <w:rsid w:val="00E27238"/>
    <w:rsid w:val="00E30133"/>
    <w:rsid w:val="00E40A62"/>
    <w:rsid w:val="00E41A13"/>
    <w:rsid w:val="00E44749"/>
    <w:rsid w:val="00E44974"/>
    <w:rsid w:val="00E506E4"/>
    <w:rsid w:val="00E56369"/>
    <w:rsid w:val="00E5713E"/>
    <w:rsid w:val="00E5728F"/>
    <w:rsid w:val="00E607B9"/>
    <w:rsid w:val="00E63EA2"/>
    <w:rsid w:val="00E66169"/>
    <w:rsid w:val="00E7087A"/>
    <w:rsid w:val="00E71DA8"/>
    <w:rsid w:val="00E71DC5"/>
    <w:rsid w:val="00E72BDE"/>
    <w:rsid w:val="00E73FB1"/>
    <w:rsid w:val="00E7634E"/>
    <w:rsid w:val="00E81CF3"/>
    <w:rsid w:val="00E8437C"/>
    <w:rsid w:val="00E873DA"/>
    <w:rsid w:val="00E87F2C"/>
    <w:rsid w:val="00E906CD"/>
    <w:rsid w:val="00E92A4C"/>
    <w:rsid w:val="00E92CA4"/>
    <w:rsid w:val="00E93430"/>
    <w:rsid w:val="00E96E18"/>
    <w:rsid w:val="00EA1EA7"/>
    <w:rsid w:val="00EA2180"/>
    <w:rsid w:val="00EA401A"/>
    <w:rsid w:val="00EA7880"/>
    <w:rsid w:val="00EB1311"/>
    <w:rsid w:val="00EB287D"/>
    <w:rsid w:val="00EB2C96"/>
    <w:rsid w:val="00EB5E8E"/>
    <w:rsid w:val="00EB622E"/>
    <w:rsid w:val="00EC320F"/>
    <w:rsid w:val="00EC750E"/>
    <w:rsid w:val="00ED01C4"/>
    <w:rsid w:val="00ED1C6D"/>
    <w:rsid w:val="00ED2134"/>
    <w:rsid w:val="00ED36FE"/>
    <w:rsid w:val="00ED5422"/>
    <w:rsid w:val="00ED5F9C"/>
    <w:rsid w:val="00EE5EA2"/>
    <w:rsid w:val="00EF15AB"/>
    <w:rsid w:val="00EF2276"/>
    <w:rsid w:val="00EF57EE"/>
    <w:rsid w:val="00EF73B4"/>
    <w:rsid w:val="00F02199"/>
    <w:rsid w:val="00F04D7A"/>
    <w:rsid w:val="00F12713"/>
    <w:rsid w:val="00F130CF"/>
    <w:rsid w:val="00F159A6"/>
    <w:rsid w:val="00F15D17"/>
    <w:rsid w:val="00F1637B"/>
    <w:rsid w:val="00F20E41"/>
    <w:rsid w:val="00F22A96"/>
    <w:rsid w:val="00F23B3D"/>
    <w:rsid w:val="00F30E24"/>
    <w:rsid w:val="00F32C93"/>
    <w:rsid w:val="00F335E5"/>
    <w:rsid w:val="00F376DA"/>
    <w:rsid w:val="00F417B6"/>
    <w:rsid w:val="00F42C60"/>
    <w:rsid w:val="00F431BB"/>
    <w:rsid w:val="00F43F9B"/>
    <w:rsid w:val="00F452D6"/>
    <w:rsid w:val="00F4645C"/>
    <w:rsid w:val="00F50DE7"/>
    <w:rsid w:val="00F51ABB"/>
    <w:rsid w:val="00F62BE3"/>
    <w:rsid w:val="00F635C0"/>
    <w:rsid w:val="00F65614"/>
    <w:rsid w:val="00F70CE2"/>
    <w:rsid w:val="00F736BB"/>
    <w:rsid w:val="00F74178"/>
    <w:rsid w:val="00F752A6"/>
    <w:rsid w:val="00F75D08"/>
    <w:rsid w:val="00F85F80"/>
    <w:rsid w:val="00F9050B"/>
    <w:rsid w:val="00F90E27"/>
    <w:rsid w:val="00F95BBD"/>
    <w:rsid w:val="00F95FC6"/>
    <w:rsid w:val="00FA0FB4"/>
    <w:rsid w:val="00FA11B8"/>
    <w:rsid w:val="00FA57CC"/>
    <w:rsid w:val="00FA5876"/>
    <w:rsid w:val="00FB0244"/>
    <w:rsid w:val="00FB1532"/>
    <w:rsid w:val="00FB1973"/>
    <w:rsid w:val="00FB3837"/>
    <w:rsid w:val="00FB3AD2"/>
    <w:rsid w:val="00FB4FE3"/>
    <w:rsid w:val="00FB7E86"/>
    <w:rsid w:val="00FC0D4A"/>
    <w:rsid w:val="00FC173A"/>
    <w:rsid w:val="00FC3359"/>
    <w:rsid w:val="00FC3B05"/>
    <w:rsid w:val="00FC488E"/>
    <w:rsid w:val="00FC745D"/>
    <w:rsid w:val="00FD0E3A"/>
    <w:rsid w:val="00FD1130"/>
    <w:rsid w:val="00FD179B"/>
    <w:rsid w:val="00FD3B1C"/>
    <w:rsid w:val="00FD46D6"/>
    <w:rsid w:val="00FD7E9D"/>
    <w:rsid w:val="00FE02C0"/>
    <w:rsid w:val="00FE075A"/>
    <w:rsid w:val="00FE25F1"/>
    <w:rsid w:val="00FE3B79"/>
    <w:rsid w:val="00FE6464"/>
    <w:rsid w:val="00FE6D33"/>
    <w:rsid w:val="00FF4507"/>
    <w:rsid w:val="00FF478D"/>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Followed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0577"/>
    <w:pPr>
      <w:bidi/>
    </w:pPr>
  </w:style>
  <w:style w:type="paragraph" w:styleId="1">
    <w:name w:val="heading 1"/>
    <w:basedOn w:val="a"/>
    <w:link w:val="10"/>
    <w:qFormat/>
    <w:rsid w:val="00CB3C48"/>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nhideWhenUsed/>
    <w:qFormat/>
    <w:rsid w:val="009B636F"/>
    <w:pPr>
      <w:keepNext/>
      <w:keepLines/>
      <w:spacing w:before="200" w:after="0"/>
      <w:jc w:val="both"/>
      <w:outlineLvl w:val="1"/>
    </w:pPr>
    <w:rPr>
      <w:rFonts w:asciiTheme="majorBidi" w:eastAsiaTheme="majorEastAsia" w:hAnsiTheme="majorBidi" w:cs="David"/>
      <w:b/>
      <w:bCs/>
      <w:color w:val="4F81BD" w:themeColor="accent1"/>
      <w:sz w:val="26"/>
      <w:szCs w:val="26"/>
    </w:rPr>
  </w:style>
  <w:style w:type="paragraph" w:styleId="3">
    <w:name w:val="heading 3"/>
    <w:basedOn w:val="a"/>
    <w:next w:val="a"/>
    <w:link w:val="30"/>
    <w:unhideWhenUsed/>
    <w:qFormat/>
    <w:rsid w:val="009B636F"/>
    <w:pPr>
      <w:keepNext/>
      <w:keepLines/>
      <w:spacing w:before="200" w:after="0"/>
      <w:jc w:val="both"/>
      <w:outlineLvl w:val="2"/>
    </w:pPr>
    <w:rPr>
      <w:rFonts w:asciiTheme="majorHAnsi" w:eastAsiaTheme="majorEastAsia" w:hAnsiTheme="majorHAnsi" w:cs="David"/>
      <w:b/>
      <w:bCs/>
      <w:color w:val="4F81BD" w:themeColor="accent1"/>
      <w:sz w:val="24"/>
      <w:szCs w:val="24"/>
    </w:rPr>
  </w:style>
  <w:style w:type="paragraph" w:styleId="4">
    <w:name w:val="heading 4"/>
    <w:basedOn w:val="a"/>
    <w:next w:val="a"/>
    <w:link w:val="40"/>
    <w:unhideWhenUsed/>
    <w:qFormat/>
    <w:rsid w:val="009B636F"/>
    <w:pPr>
      <w:keepNext/>
      <w:keepLines/>
      <w:spacing w:before="200" w:after="0"/>
      <w:jc w:val="both"/>
      <w:outlineLvl w:val="3"/>
    </w:pPr>
    <w:rPr>
      <w:rFonts w:asciiTheme="majorHAnsi" w:eastAsiaTheme="majorEastAsia" w:hAnsiTheme="majorHAnsi" w:cs="David"/>
      <w:b/>
      <w:bCs/>
      <w:i/>
      <w:iCs/>
      <w:color w:val="4F81BD" w:themeColor="accent1"/>
      <w:sz w:val="24"/>
      <w:szCs w:val="24"/>
    </w:rPr>
  </w:style>
  <w:style w:type="paragraph" w:styleId="5">
    <w:name w:val="heading 5"/>
    <w:basedOn w:val="a"/>
    <w:next w:val="a"/>
    <w:link w:val="50"/>
    <w:uiPriority w:val="9"/>
    <w:unhideWhenUsed/>
    <w:qFormat/>
    <w:rsid w:val="009B636F"/>
    <w:pPr>
      <w:keepNext/>
      <w:keepLines/>
      <w:spacing w:before="200" w:after="0"/>
      <w:jc w:val="both"/>
      <w:outlineLvl w:val="4"/>
    </w:pPr>
    <w:rPr>
      <w:rFonts w:asciiTheme="majorBidi" w:eastAsiaTheme="majorEastAsia" w:hAnsiTheme="majorBidi" w:cs="David"/>
      <w:color w:val="243F60" w:themeColor="accent1" w:themeShade="7F"/>
      <w:sz w:val="24"/>
      <w:szCs w:val="24"/>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unhideWhenUsed/>
    <w:rsid w:val="00672D74"/>
    <w:pPr>
      <w:spacing w:after="0" w:line="240" w:lineRule="auto"/>
    </w:pPr>
    <w:rPr>
      <w:rFonts w:ascii="Tahoma" w:hAnsi="Tahoma" w:cs="Tahoma"/>
      <w:sz w:val="16"/>
      <w:szCs w:val="16"/>
    </w:rPr>
  </w:style>
  <w:style w:type="character" w:customStyle="1" w:styleId="a4">
    <w:name w:val="טקסט בלונים תו"/>
    <w:basedOn w:val="a0"/>
    <w:link w:val="a3"/>
    <w:semiHidden/>
    <w:rsid w:val="00672D74"/>
    <w:rPr>
      <w:rFonts w:ascii="Tahoma" w:hAnsi="Tahoma" w:cs="Tahoma"/>
      <w:sz w:val="16"/>
      <w:szCs w:val="16"/>
    </w:rPr>
  </w:style>
  <w:style w:type="paragraph" w:styleId="a5">
    <w:name w:val="footnote text"/>
    <w:aliases w:val="Footnote Text Char Char Char Char Char,5_G"/>
    <w:basedOn w:val="a"/>
    <w:link w:val="a6"/>
    <w:uiPriority w:val="99"/>
    <w:unhideWhenUsed/>
    <w:rsid w:val="00672D74"/>
    <w:pPr>
      <w:spacing w:after="0" w:line="240" w:lineRule="auto"/>
    </w:pPr>
    <w:rPr>
      <w:sz w:val="20"/>
      <w:szCs w:val="20"/>
    </w:rPr>
  </w:style>
  <w:style w:type="character" w:customStyle="1" w:styleId="a6">
    <w:name w:val="טקסט הערת שוליים תו"/>
    <w:aliases w:val="Footnote Text Char Char Char Char Char תו,5_G תו"/>
    <w:basedOn w:val="a0"/>
    <w:link w:val="a5"/>
    <w:uiPriority w:val="99"/>
    <w:rsid w:val="00672D74"/>
    <w:rPr>
      <w:sz w:val="20"/>
      <w:szCs w:val="20"/>
    </w:rPr>
  </w:style>
  <w:style w:type="character" w:styleId="a7">
    <w:name w:val="footnote reference"/>
    <w:aliases w:val="4_G"/>
    <w:basedOn w:val="a0"/>
    <w:uiPriority w:val="99"/>
    <w:unhideWhenUsed/>
    <w:rsid w:val="00672D74"/>
    <w:rPr>
      <w:vertAlign w:val="superscript"/>
    </w:rPr>
  </w:style>
  <w:style w:type="paragraph" w:styleId="a8">
    <w:name w:val="Bibliography"/>
    <w:basedOn w:val="a"/>
    <w:next w:val="a"/>
    <w:uiPriority w:val="37"/>
    <w:unhideWhenUsed/>
    <w:rsid w:val="00672D74"/>
  </w:style>
  <w:style w:type="character" w:styleId="Hyperlink">
    <w:name w:val="Hyperlink"/>
    <w:basedOn w:val="a0"/>
    <w:uiPriority w:val="99"/>
    <w:unhideWhenUsed/>
    <w:rsid w:val="000C460A"/>
    <w:rPr>
      <w:color w:val="0000FF" w:themeColor="hyperlink"/>
      <w:u w:val="single"/>
    </w:rPr>
  </w:style>
  <w:style w:type="paragraph" w:styleId="a9">
    <w:name w:val="List Paragraph"/>
    <w:basedOn w:val="a"/>
    <w:uiPriority w:val="34"/>
    <w:qFormat/>
    <w:rsid w:val="001E019A"/>
    <w:pPr>
      <w:ind w:left="720"/>
      <w:contextualSpacing/>
    </w:pPr>
  </w:style>
  <w:style w:type="character" w:customStyle="1" w:styleId="apple-converted-space">
    <w:name w:val="apple-converted-space"/>
    <w:basedOn w:val="a0"/>
    <w:rsid w:val="00536AB1"/>
  </w:style>
  <w:style w:type="paragraph" w:styleId="HTML">
    <w:name w:val="HTML Preformatted"/>
    <w:basedOn w:val="a"/>
    <w:link w:val="HTML0"/>
    <w:uiPriority w:val="99"/>
    <w:unhideWhenUsed/>
    <w:rsid w:val="00E92A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0">
    <w:name w:val="HTML מעוצב מראש תו"/>
    <w:basedOn w:val="a0"/>
    <w:link w:val="HTML"/>
    <w:uiPriority w:val="99"/>
    <w:rsid w:val="00E92A4C"/>
    <w:rPr>
      <w:rFonts w:ascii="Courier New" w:eastAsia="Times New Roman" w:hAnsi="Courier New" w:cs="Courier New"/>
      <w:sz w:val="20"/>
      <w:szCs w:val="20"/>
    </w:rPr>
  </w:style>
  <w:style w:type="character" w:styleId="aa">
    <w:name w:val="Strong"/>
    <w:basedOn w:val="a0"/>
    <w:uiPriority w:val="22"/>
    <w:qFormat/>
    <w:rsid w:val="0044462D"/>
    <w:rPr>
      <w:b/>
      <w:bCs/>
    </w:rPr>
  </w:style>
  <w:style w:type="character" w:customStyle="1" w:styleId="10">
    <w:name w:val="כותרת 1 תו"/>
    <w:basedOn w:val="a0"/>
    <w:link w:val="1"/>
    <w:rsid w:val="00CB3C48"/>
    <w:rPr>
      <w:rFonts w:ascii="Times New Roman" w:eastAsia="Times New Roman" w:hAnsi="Times New Roman" w:cs="Times New Roman"/>
      <w:b/>
      <w:bCs/>
      <w:kern w:val="36"/>
      <w:sz w:val="48"/>
      <w:szCs w:val="48"/>
    </w:rPr>
  </w:style>
  <w:style w:type="paragraph" w:customStyle="1" w:styleId="t-body-text">
    <w:name w:val="t-body-text"/>
    <w:basedOn w:val="a"/>
    <w:rsid w:val="00CB3C48"/>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b">
    <w:name w:val="Emphasis"/>
    <w:basedOn w:val="a0"/>
    <w:uiPriority w:val="20"/>
    <w:qFormat/>
    <w:rsid w:val="00741E11"/>
    <w:rPr>
      <w:i/>
      <w:iCs/>
    </w:rPr>
  </w:style>
  <w:style w:type="paragraph" w:styleId="ac">
    <w:name w:val="Body Text"/>
    <w:basedOn w:val="a"/>
    <w:link w:val="ad"/>
    <w:rsid w:val="00F4645C"/>
    <w:pPr>
      <w:spacing w:after="0" w:line="240" w:lineRule="auto"/>
      <w:jc w:val="center"/>
    </w:pPr>
    <w:rPr>
      <w:rFonts w:ascii="Times New Roman" w:eastAsia="Times New Roman" w:hAnsi="Times New Roman" w:cs="David"/>
      <w:b/>
      <w:bCs/>
      <w:snapToGrid w:val="0"/>
      <w:szCs w:val="80"/>
      <w:lang w:eastAsia="he-IL"/>
    </w:rPr>
  </w:style>
  <w:style w:type="character" w:customStyle="1" w:styleId="ad">
    <w:name w:val="גוף טקסט תו"/>
    <w:basedOn w:val="a0"/>
    <w:link w:val="ac"/>
    <w:rsid w:val="00F4645C"/>
    <w:rPr>
      <w:rFonts w:ascii="Times New Roman" w:eastAsia="Times New Roman" w:hAnsi="Times New Roman" w:cs="David"/>
      <w:b/>
      <w:bCs/>
      <w:snapToGrid w:val="0"/>
      <w:szCs w:val="80"/>
      <w:lang w:eastAsia="he-IL"/>
    </w:rPr>
  </w:style>
  <w:style w:type="paragraph" w:styleId="ae">
    <w:name w:val="header"/>
    <w:basedOn w:val="a"/>
    <w:link w:val="af"/>
    <w:unhideWhenUsed/>
    <w:rsid w:val="00F4645C"/>
    <w:pPr>
      <w:tabs>
        <w:tab w:val="center" w:pos="4153"/>
        <w:tab w:val="right" w:pos="8306"/>
      </w:tabs>
      <w:spacing w:after="0" w:line="240" w:lineRule="auto"/>
    </w:pPr>
  </w:style>
  <w:style w:type="character" w:customStyle="1" w:styleId="af">
    <w:name w:val="כותרת עליונה תו"/>
    <w:basedOn w:val="a0"/>
    <w:link w:val="ae"/>
    <w:rsid w:val="00F4645C"/>
  </w:style>
  <w:style w:type="paragraph" w:styleId="af0">
    <w:name w:val="footer"/>
    <w:basedOn w:val="a"/>
    <w:link w:val="af1"/>
    <w:uiPriority w:val="99"/>
    <w:unhideWhenUsed/>
    <w:rsid w:val="00F4645C"/>
    <w:pPr>
      <w:tabs>
        <w:tab w:val="center" w:pos="4153"/>
        <w:tab w:val="right" w:pos="8306"/>
      </w:tabs>
      <w:spacing w:after="0" w:line="240" w:lineRule="auto"/>
    </w:pPr>
  </w:style>
  <w:style w:type="character" w:customStyle="1" w:styleId="af1">
    <w:name w:val="כותרת תחתונה תו"/>
    <w:basedOn w:val="a0"/>
    <w:link w:val="af0"/>
    <w:uiPriority w:val="99"/>
    <w:rsid w:val="00F4645C"/>
  </w:style>
  <w:style w:type="character" w:customStyle="1" w:styleId="watch-title">
    <w:name w:val="watch-title"/>
    <w:basedOn w:val="a0"/>
    <w:rsid w:val="00AD185B"/>
  </w:style>
  <w:style w:type="character" w:customStyle="1" w:styleId="logotext">
    <w:name w:val="logotext"/>
    <w:basedOn w:val="a0"/>
    <w:rsid w:val="00A82DA9"/>
  </w:style>
  <w:style w:type="character" w:styleId="FollowedHyperlink">
    <w:name w:val="FollowedHyperlink"/>
    <w:basedOn w:val="a0"/>
    <w:unhideWhenUsed/>
    <w:rsid w:val="003B0716"/>
    <w:rPr>
      <w:color w:val="800080" w:themeColor="followedHyperlink"/>
      <w:u w:val="single"/>
    </w:rPr>
  </w:style>
  <w:style w:type="character" w:customStyle="1" w:styleId="headertextshort">
    <w:name w:val="headertextshort"/>
    <w:basedOn w:val="a0"/>
    <w:rsid w:val="00C806E4"/>
  </w:style>
  <w:style w:type="paragraph" w:styleId="af2">
    <w:name w:val="annotation text"/>
    <w:basedOn w:val="a"/>
    <w:link w:val="af3"/>
    <w:uiPriority w:val="99"/>
    <w:semiHidden/>
    <w:rsid w:val="00576590"/>
    <w:pPr>
      <w:bidi w:val="0"/>
      <w:spacing w:after="0" w:line="240" w:lineRule="auto"/>
    </w:pPr>
    <w:rPr>
      <w:rFonts w:ascii="Times New Roman" w:eastAsia="SimSun" w:hAnsi="Times New Roman" w:cs="Times New Roman"/>
      <w:sz w:val="20"/>
      <w:szCs w:val="20"/>
      <w:lang w:eastAsia="zh-CN" w:bidi="ar-SA"/>
    </w:rPr>
  </w:style>
  <w:style w:type="character" w:customStyle="1" w:styleId="af3">
    <w:name w:val="טקסט הערה תו"/>
    <w:basedOn w:val="a0"/>
    <w:link w:val="af2"/>
    <w:uiPriority w:val="99"/>
    <w:semiHidden/>
    <w:rsid w:val="00576590"/>
    <w:rPr>
      <w:rFonts w:ascii="Times New Roman" w:eastAsia="SimSun" w:hAnsi="Times New Roman" w:cs="Times New Roman"/>
      <w:sz w:val="20"/>
      <w:szCs w:val="20"/>
      <w:lang w:eastAsia="zh-CN" w:bidi="ar-SA"/>
    </w:rPr>
  </w:style>
  <w:style w:type="paragraph" w:styleId="NormalWeb">
    <w:name w:val="Normal (Web)"/>
    <w:basedOn w:val="a"/>
    <w:unhideWhenUsed/>
    <w:rsid w:val="006F0CEB"/>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ullpost">
    <w:name w:val="fullpost"/>
    <w:basedOn w:val="a0"/>
    <w:rsid w:val="002D24BB"/>
  </w:style>
  <w:style w:type="paragraph" w:styleId="af4">
    <w:name w:val="endnote text"/>
    <w:basedOn w:val="a"/>
    <w:link w:val="af5"/>
    <w:uiPriority w:val="99"/>
    <w:semiHidden/>
    <w:unhideWhenUsed/>
    <w:rsid w:val="00C81005"/>
    <w:pPr>
      <w:spacing w:after="0" w:line="240" w:lineRule="auto"/>
    </w:pPr>
    <w:rPr>
      <w:sz w:val="20"/>
      <w:szCs w:val="20"/>
    </w:rPr>
  </w:style>
  <w:style w:type="character" w:customStyle="1" w:styleId="af5">
    <w:name w:val="טקסט הערת סיום תו"/>
    <w:basedOn w:val="a0"/>
    <w:link w:val="af4"/>
    <w:uiPriority w:val="99"/>
    <w:semiHidden/>
    <w:rsid w:val="00C81005"/>
    <w:rPr>
      <w:sz w:val="20"/>
      <w:szCs w:val="20"/>
    </w:rPr>
  </w:style>
  <w:style w:type="character" w:styleId="af6">
    <w:name w:val="endnote reference"/>
    <w:basedOn w:val="a0"/>
    <w:uiPriority w:val="99"/>
    <w:semiHidden/>
    <w:unhideWhenUsed/>
    <w:rsid w:val="00C81005"/>
    <w:rPr>
      <w:vertAlign w:val="superscript"/>
    </w:rPr>
  </w:style>
  <w:style w:type="character" w:styleId="af7">
    <w:name w:val="annotation reference"/>
    <w:basedOn w:val="a0"/>
    <w:uiPriority w:val="99"/>
    <w:semiHidden/>
    <w:rsid w:val="00BC21D3"/>
    <w:rPr>
      <w:rFonts w:cs="Times New Roman"/>
      <w:sz w:val="16"/>
      <w:szCs w:val="16"/>
    </w:rPr>
  </w:style>
  <w:style w:type="paragraph" w:styleId="af8">
    <w:name w:val="annotation subject"/>
    <w:basedOn w:val="af2"/>
    <w:next w:val="af2"/>
    <w:link w:val="af9"/>
    <w:uiPriority w:val="99"/>
    <w:semiHidden/>
    <w:rsid w:val="00BC21D3"/>
    <w:pPr>
      <w:bidi/>
      <w:spacing w:after="200"/>
    </w:pPr>
    <w:rPr>
      <w:rFonts w:ascii="Calibri" w:eastAsia="Calibri" w:hAnsi="Calibri" w:cs="Arial"/>
      <w:b/>
      <w:bCs/>
      <w:lang w:eastAsia="en-US" w:bidi="he-IL"/>
    </w:rPr>
  </w:style>
  <w:style w:type="character" w:customStyle="1" w:styleId="af9">
    <w:name w:val="נושא הערה תו"/>
    <w:basedOn w:val="af3"/>
    <w:link w:val="af8"/>
    <w:uiPriority w:val="99"/>
    <w:semiHidden/>
    <w:rsid w:val="00BC21D3"/>
    <w:rPr>
      <w:rFonts w:ascii="Calibri" w:eastAsia="Calibri" w:hAnsi="Calibri" w:cs="Arial"/>
      <w:b/>
      <w:bCs/>
    </w:rPr>
  </w:style>
  <w:style w:type="paragraph" w:styleId="afa">
    <w:name w:val="Revision"/>
    <w:hidden/>
    <w:uiPriority w:val="99"/>
    <w:semiHidden/>
    <w:rsid w:val="004C78C4"/>
    <w:pPr>
      <w:spacing w:after="0" w:line="240" w:lineRule="auto"/>
    </w:pPr>
  </w:style>
  <w:style w:type="paragraph" w:styleId="afb">
    <w:name w:val="TOC Heading"/>
    <w:basedOn w:val="1"/>
    <w:next w:val="a"/>
    <w:uiPriority w:val="39"/>
    <w:semiHidden/>
    <w:unhideWhenUsed/>
    <w:qFormat/>
    <w:rsid w:val="00A755AE"/>
    <w:pPr>
      <w:keepNext/>
      <w:keepLines/>
      <w:bidi/>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TOC1">
    <w:name w:val="toc 1"/>
    <w:basedOn w:val="a"/>
    <w:next w:val="a"/>
    <w:autoRedefine/>
    <w:uiPriority w:val="39"/>
    <w:unhideWhenUsed/>
    <w:rsid w:val="003809F7"/>
    <w:pPr>
      <w:tabs>
        <w:tab w:val="right" w:leader="dot" w:pos="8296"/>
      </w:tabs>
      <w:spacing w:after="100"/>
      <w:jc w:val="both"/>
    </w:pPr>
    <w:rPr>
      <w:rFonts w:cs="David"/>
      <w:b/>
      <w:bCs/>
      <w:noProof/>
      <w:sz w:val="28"/>
      <w:szCs w:val="28"/>
    </w:rPr>
  </w:style>
  <w:style w:type="paragraph" w:styleId="TOC2">
    <w:name w:val="toc 2"/>
    <w:basedOn w:val="a"/>
    <w:next w:val="a"/>
    <w:autoRedefine/>
    <w:uiPriority w:val="39"/>
    <w:unhideWhenUsed/>
    <w:rsid w:val="003809F7"/>
    <w:pPr>
      <w:tabs>
        <w:tab w:val="left" w:pos="1100"/>
        <w:tab w:val="right" w:leader="dot" w:pos="8296"/>
      </w:tabs>
      <w:spacing w:after="100"/>
      <w:ind w:left="1076" w:hanging="856"/>
      <w:jc w:val="both"/>
    </w:pPr>
    <w:rPr>
      <w:rFonts w:cs="David"/>
      <w:b/>
      <w:bCs/>
      <w:noProof/>
    </w:rPr>
  </w:style>
  <w:style w:type="paragraph" w:styleId="TOC3">
    <w:name w:val="toc 3"/>
    <w:basedOn w:val="a"/>
    <w:next w:val="a"/>
    <w:autoRedefine/>
    <w:uiPriority w:val="39"/>
    <w:unhideWhenUsed/>
    <w:rsid w:val="003809F7"/>
    <w:pPr>
      <w:tabs>
        <w:tab w:val="left" w:pos="1320"/>
        <w:tab w:val="right" w:leader="dot" w:pos="8296"/>
      </w:tabs>
      <w:spacing w:after="100"/>
      <w:ind w:left="1360" w:hanging="920"/>
      <w:jc w:val="both"/>
    </w:pPr>
    <w:rPr>
      <w:rFonts w:cs="David"/>
      <w:noProof/>
      <w:sz w:val="24"/>
      <w:szCs w:val="24"/>
    </w:rPr>
  </w:style>
  <w:style w:type="paragraph" w:styleId="TOC4">
    <w:name w:val="toc 4"/>
    <w:basedOn w:val="a"/>
    <w:next w:val="a"/>
    <w:autoRedefine/>
    <w:uiPriority w:val="39"/>
    <w:unhideWhenUsed/>
    <w:rsid w:val="00441861"/>
    <w:pPr>
      <w:spacing w:after="100"/>
      <w:ind w:left="660"/>
    </w:pPr>
    <w:rPr>
      <w:rFonts w:eastAsiaTheme="minorEastAsia"/>
    </w:rPr>
  </w:style>
  <w:style w:type="paragraph" w:styleId="TOC5">
    <w:name w:val="toc 5"/>
    <w:basedOn w:val="a"/>
    <w:next w:val="a"/>
    <w:autoRedefine/>
    <w:uiPriority w:val="39"/>
    <w:unhideWhenUsed/>
    <w:rsid w:val="00441861"/>
    <w:pPr>
      <w:spacing w:after="100"/>
      <w:ind w:left="880"/>
    </w:pPr>
    <w:rPr>
      <w:rFonts w:eastAsiaTheme="minorEastAsia"/>
    </w:rPr>
  </w:style>
  <w:style w:type="paragraph" w:styleId="TOC6">
    <w:name w:val="toc 6"/>
    <w:basedOn w:val="a"/>
    <w:next w:val="a"/>
    <w:autoRedefine/>
    <w:uiPriority w:val="39"/>
    <w:unhideWhenUsed/>
    <w:rsid w:val="00441861"/>
    <w:pPr>
      <w:spacing w:after="100"/>
      <w:ind w:left="1100"/>
    </w:pPr>
    <w:rPr>
      <w:rFonts w:eastAsiaTheme="minorEastAsia"/>
    </w:rPr>
  </w:style>
  <w:style w:type="paragraph" w:styleId="TOC7">
    <w:name w:val="toc 7"/>
    <w:basedOn w:val="a"/>
    <w:next w:val="a"/>
    <w:autoRedefine/>
    <w:uiPriority w:val="39"/>
    <w:unhideWhenUsed/>
    <w:rsid w:val="00441861"/>
    <w:pPr>
      <w:spacing w:after="100"/>
      <w:ind w:left="1320"/>
    </w:pPr>
    <w:rPr>
      <w:rFonts w:eastAsiaTheme="minorEastAsia"/>
    </w:rPr>
  </w:style>
  <w:style w:type="paragraph" w:styleId="TOC8">
    <w:name w:val="toc 8"/>
    <w:basedOn w:val="a"/>
    <w:next w:val="a"/>
    <w:autoRedefine/>
    <w:uiPriority w:val="39"/>
    <w:unhideWhenUsed/>
    <w:rsid w:val="00441861"/>
    <w:pPr>
      <w:spacing w:after="100"/>
      <w:ind w:left="1540"/>
    </w:pPr>
    <w:rPr>
      <w:rFonts w:eastAsiaTheme="minorEastAsia"/>
    </w:rPr>
  </w:style>
  <w:style w:type="paragraph" w:styleId="TOC9">
    <w:name w:val="toc 9"/>
    <w:basedOn w:val="a"/>
    <w:next w:val="a"/>
    <w:autoRedefine/>
    <w:uiPriority w:val="39"/>
    <w:unhideWhenUsed/>
    <w:rsid w:val="00441861"/>
    <w:pPr>
      <w:spacing w:after="100"/>
      <w:ind w:left="1760"/>
    </w:pPr>
    <w:rPr>
      <w:rFonts w:eastAsiaTheme="minorEastAsia"/>
    </w:rPr>
  </w:style>
  <w:style w:type="character" w:customStyle="1" w:styleId="20">
    <w:name w:val="כותרת 2 תו"/>
    <w:basedOn w:val="a0"/>
    <w:link w:val="2"/>
    <w:rsid w:val="009B636F"/>
    <w:rPr>
      <w:rFonts w:asciiTheme="majorBidi" w:eastAsiaTheme="majorEastAsia" w:hAnsiTheme="majorBidi" w:cs="David"/>
      <w:b/>
      <w:bCs/>
      <w:color w:val="4F81BD" w:themeColor="accent1"/>
      <w:sz w:val="26"/>
      <w:szCs w:val="26"/>
    </w:rPr>
  </w:style>
  <w:style w:type="character" w:customStyle="1" w:styleId="30">
    <w:name w:val="כותרת 3 תו"/>
    <w:basedOn w:val="a0"/>
    <w:link w:val="3"/>
    <w:rsid w:val="009B636F"/>
    <w:rPr>
      <w:rFonts w:asciiTheme="majorHAnsi" w:eastAsiaTheme="majorEastAsia" w:hAnsiTheme="majorHAnsi" w:cs="David"/>
      <w:b/>
      <w:bCs/>
      <w:color w:val="4F81BD" w:themeColor="accent1"/>
      <w:sz w:val="24"/>
      <w:szCs w:val="24"/>
    </w:rPr>
  </w:style>
  <w:style w:type="character" w:customStyle="1" w:styleId="40">
    <w:name w:val="כותרת 4 תו"/>
    <w:basedOn w:val="a0"/>
    <w:link w:val="4"/>
    <w:rsid w:val="009B636F"/>
    <w:rPr>
      <w:rFonts w:asciiTheme="majorHAnsi" w:eastAsiaTheme="majorEastAsia" w:hAnsiTheme="majorHAnsi" w:cs="David"/>
      <w:b/>
      <w:bCs/>
      <w:i/>
      <w:iCs/>
      <w:color w:val="4F81BD" w:themeColor="accent1"/>
      <w:sz w:val="24"/>
      <w:szCs w:val="24"/>
    </w:rPr>
  </w:style>
  <w:style w:type="character" w:customStyle="1" w:styleId="50">
    <w:name w:val="כותרת 5 תו"/>
    <w:basedOn w:val="a0"/>
    <w:link w:val="5"/>
    <w:uiPriority w:val="9"/>
    <w:rsid w:val="009B636F"/>
    <w:rPr>
      <w:rFonts w:asciiTheme="majorBidi" w:eastAsiaTheme="majorEastAsia" w:hAnsiTheme="majorBidi" w:cs="David"/>
      <w:color w:val="243F60" w:themeColor="accent1" w:themeShade="7F"/>
      <w:sz w:val="24"/>
      <w:szCs w:val="24"/>
    </w:rPr>
  </w:style>
  <w:style w:type="character" w:customStyle="1" w:styleId="timestampupdatedprocessed">
    <w:name w:val="timestamp updated processed"/>
    <w:basedOn w:val="a0"/>
    <w:rsid w:val="009B636F"/>
    <w:rPr>
      <w:rFonts w:cs="Times New Roman"/>
    </w:rPr>
  </w:style>
  <w:style w:type="character" w:customStyle="1" w:styleId="st1">
    <w:name w:val="st1"/>
    <w:rsid w:val="009B636F"/>
  </w:style>
  <w:style w:type="paragraph" w:styleId="afc">
    <w:name w:val="Title"/>
    <w:basedOn w:val="a"/>
    <w:next w:val="a"/>
    <w:link w:val="afd"/>
    <w:uiPriority w:val="10"/>
    <w:qFormat/>
    <w:rsid w:val="009B636F"/>
    <w:pPr>
      <w:pBdr>
        <w:bottom w:val="single" w:sz="8" w:space="4" w:color="4F81BD" w:themeColor="accent1"/>
      </w:pBdr>
      <w:spacing w:after="300" w:line="240" w:lineRule="auto"/>
      <w:contextualSpacing/>
      <w:jc w:val="both"/>
    </w:pPr>
    <w:rPr>
      <w:rFonts w:asciiTheme="majorHAnsi" w:eastAsiaTheme="majorEastAsia" w:hAnsiTheme="majorHAnsi" w:cs="David"/>
      <w:color w:val="17365D" w:themeColor="text2" w:themeShade="BF"/>
      <w:spacing w:val="5"/>
      <w:kern w:val="28"/>
      <w:sz w:val="52"/>
      <w:szCs w:val="52"/>
    </w:rPr>
  </w:style>
  <w:style w:type="character" w:customStyle="1" w:styleId="afd">
    <w:name w:val="תואר תו"/>
    <w:basedOn w:val="a0"/>
    <w:link w:val="afc"/>
    <w:uiPriority w:val="10"/>
    <w:rsid w:val="009B636F"/>
    <w:rPr>
      <w:rFonts w:asciiTheme="majorHAnsi" w:eastAsiaTheme="majorEastAsia" w:hAnsiTheme="majorHAnsi" w:cs="David"/>
      <w:color w:val="17365D" w:themeColor="text2" w:themeShade="BF"/>
      <w:spacing w:val="5"/>
      <w:kern w:val="28"/>
      <w:sz w:val="52"/>
      <w:szCs w:val="52"/>
    </w:rPr>
  </w:style>
  <w:style w:type="character" w:customStyle="1" w:styleId="Hyperlink10">
    <w:name w:val="Hyperlink10"/>
    <w:rsid w:val="009B636F"/>
    <w:rPr>
      <w:color w:val="517827"/>
      <w:u w:val="single"/>
      <w:effect w:val="none"/>
    </w:rPr>
  </w:style>
  <w:style w:type="character" w:customStyle="1" w:styleId="Hyperlink11">
    <w:name w:val="Hyperlink11"/>
    <w:rsid w:val="009B636F"/>
    <w:rPr>
      <w:color w:val="517827"/>
      <w:u w:val="single"/>
      <w:effect w:val="none"/>
    </w:rPr>
  </w:style>
  <w:style w:type="character" w:customStyle="1" w:styleId="Hyperlink29">
    <w:name w:val="Hyperlink29"/>
    <w:rsid w:val="009B636F"/>
    <w:rPr>
      <w:color w:val="003399"/>
      <w:u w:val="none"/>
      <w:effect w:val="none"/>
    </w:rPr>
  </w:style>
  <w:style w:type="paragraph" w:customStyle="1" w:styleId="ListParagraph1">
    <w:name w:val="List Paragraph1"/>
    <w:basedOn w:val="a"/>
    <w:rsid w:val="009B636F"/>
    <w:pPr>
      <w:bidi w:val="0"/>
      <w:spacing w:after="0" w:line="240" w:lineRule="auto"/>
      <w:ind w:left="720"/>
      <w:contextualSpacing/>
    </w:pPr>
    <w:rPr>
      <w:rFonts w:ascii="Cambria" w:eastAsia="MS ??" w:hAnsi="Cambria" w:cs="Arial"/>
      <w:sz w:val="24"/>
      <w:szCs w:val="24"/>
      <w:lang w:bidi="ar-SA"/>
    </w:rPr>
  </w:style>
  <w:style w:type="character" w:styleId="afe">
    <w:name w:val="page number"/>
    <w:basedOn w:val="a0"/>
    <w:rsid w:val="009B636F"/>
    <w:rPr>
      <w:rFonts w:cs="Times New Roman"/>
    </w:rPr>
  </w:style>
  <w:style w:type="character" w:customStyle="1" w:styleId="runing-text2">
    <w:name w:val="runing-text2"/>
    <w:rsid w:val="009B636F"/>
    <w:rPr>
      <w:bdr w:val="none" w:sz="0" w:space="0" w:color="auto" w:frame="1"/>
    </w:rPr>
  </w:style>
  <w:style w:type="paragraph" w:styleId="aff">
    <w:name w:val="Subtitle"/>
    <w:basedOn w:val="a"/>
    <w:next w:val="a"/>
    <w:link w:val="aff0"/>
    <w:qFormat/>
    <w:rsid w:val="009B636F"/>
    <w:pPr>
      <w:spacing w:after="60" w:line="240" w:lineRule="auto"/>
      <w:jc w:val="center"/>
      <w:outlineLvl w:val="1"/>
    </w:pPr>
    <w:rPr>
      <w:rFonts w:ascii="Cambria" w:eastAsia="Times New Roman" w:hAnsi="Cambria" w:cs="Times New Roman"/>
      <w:sz w:val="24"/>
      <w:szCs w:val="24"/>
    </w:rPr>
  </w:style>
  <w:style w:type="character" w:customStyle="1" w:styleId="aff0">
    <w:name w:val="כותרת משנה תו"/>
    <w:basedOn w:val="a0"/>
    <w:link w:val="aff"/>
    <w:rsid w:val="009B636F"/>
    <w:rPr>
      <w:rFonts w:ascii="Cambria" w:eastAsia="Times New Roman" w:hAnsi="Cambria" w:cs="Times New Roman"/>
      <w:sz w:val="24"/>
      <w:szCs w:val="24"/>
    </w:rPr>
  </w:style>
  <w:style w:type="character" w:customStyle="1" w:styleId="c5">
    <w:name w:val="c5"/>
    <w:basedOn w:val="a0"/>
    <w:rsid w:val="009B636F"/>
    <w:rPr>
      <w:rFonts w:cs="Times New Roman"/>
    </w:rPr>
  </w:style>
  <w:style w:type="paragraph" w:customStyle="1" w:styleId="Default">
    <w:name w:val="Default"/>
    <w:uiPriority w:val="99"/>
    <w:rsid w:val="009B636F"/>
    <w:pPr>
      <w:autoSpaceDE w:val="0"/>
      <w:autoSpaceDN w:val="0"/>
      <w:adjustRightInd w:val="0"/>
      <w:spacing w:after="0" w:line="240" w:lineRule="auto"/>
    </w:pPr>
    <w:rPr>
      <w:rFonts w:ascii="Palatino Linotype" w:eastAsia="Times New Roman" w:hAnsi="Palatino Linotype" w:cs="Palatino Linotype"/>
      <w:color w:val="000000"/>
      <w:sz w:val="24"/>
      <w:szCs w:val="24"/>
    </w:rPr>
  </w:style>
  <w:style w:type="character" w:customStyle="1" w:styleId="pres">
    <w:name w:val="pres"/>
    <w:basedOn w:val="a0"/>
    <w:rsid w:val="009B636F"/>
    <w:rPr>
      <w:rFonts w:cs="Times New Roman"/>
      <w:color w:val="FDF5D3"/>
    </w:rPr>
  </w:style>
  <w:style w:type="paragraph" w:customStyle="1" w:styleId="11">
    <w:name w:val="פיסקת רשימה1"/>
    <w:basedOn w:val="a"/>
    <w:rsid w:val="009B636F"/>
    <w:pPr>
      <w:spacing w:after="0" w:line="240" w:lineRule="auto"/>
      <w:ind w:left="720"/>
      <w:contextualSpacing/>
    </w:pPr>
    <w:rPr>
      <w:rFonts w:ascii="Times New Roman" w:eastAsia="Times New Roman" w:hAnsi="Times New Roman" w:cs="Times New Roman"/>
      <w:sz w:val="24"/>
      <w:szCs w:val="24"/>
    </w:rPr>
  </w:style>
  <w:style w:type="character" w:customStyle="1" w:styleId="in-state1">
    <w:name w:val="in-state1"/>
    <w:basedOn w:val="a0"/>
    <w:rsid w:val="009B636F"/>
    <w:rPr>
      <w:rFonts w:cs="Times New Roman"/>
      <w:shd w:val="clear" w:color="auto" w:fill="CCCCCC"/>
    </w:rPr>
  </w:style>
  <w:style w:type="character" w:customStyle="1" w:styleId="CharChar3">
    <w:name w:val="Char Char3"/>
    <w:basedOn w:val="a0"/>
    <w:locked/>
    <w:rsid w:val="009B636F"/>
    <w:rPr>
      <w:rFonts w:ascii="Calibri" w:hAnsi="Calibri" w:cs="Arial"/>
      <w:lang w:val="en-US" w:eastAsia="en-US" w:bidi="he-IL"/>
    </w:rPr>
  </w:style>
  <w:style w:type="paragraph" w:customStyle="1" w:styleId="21">
    <w:name w:val="פיסקת רשימה2"/>
    <w:basedOn w:val="a"/>
    <w:rsid w:val="009B636F"/>
    <w:pPr>
      <w:ind w:left="720"/>
      <w:contextualSpacing/>
    </w:pPr>
    <w:rPr>
      <w:rFonts w:ascii="Calibri" w:eastAsia="Times New Roman" w:hAnsi="Calibri" w:cs="Arial"/>
    </w:rPr>
  </w:style>
</w:styles>
</file>

<file path=word/webSettings.xml><?xml version="1.0" encoding="utf-8"?>
<w:webSettings xmlns:r="http://schemas.openxmlformats.org/officeDocument/2006/relationships" xmlns:w="http://schemas.openxmlformats.org/wordprocessingml/2006/main">
  <w:divs>
    <w:div w:id="12998232">
      <w:bodyDiv w:val="1"/>
      <w:marLeft w:val="0"/>
      <w:marRight w:val="0"/>
      <w:marTop w:val="0"/>
      <w:marBottom w:val="0"/>
      <w:divBdr>
        <w:top w:val="none" w:sz="0" w:space="0" w:color="auto"/>
        <w:left w:val="none" w:sz="0" w:space="0" w:color="auto"/>
        <w:bottom w:val="none" w:sz="0" w:space="0" w:color="auto"/>
        <w:right w:val="none" w:sz="0" w:space="0" w:color="auto"/>
      </w:divBdr>
    </w:div>
    <w:div w:id="30426189">
      <w:bodyDiv w:val="1"/>
      <w:marLeft w:val="0"/>
      <w:marRight w:val="0"/>
      <w:marTop w:val="0"/>
      <w:marBottom w:val="0"/>
      <w:divBdr>
        <w:top w:val="none" w:sz="0" w:space="0" w:color="auto"/>
        <w:left w:val="none" w:sz="0" w:space="0" w:color="auto"/>
        <w:bottom w:val="none" w:sz="0" w:space="0" w:color="auto"/>
        <w:right w:val="none" w:sz="0" w:space="0" w:color="auto"/>
      </w:divBdr>
    </w:div>
    <w:div w:id="167604853">
      <w:bodyDiv w:val="1"/>
      <w:marLeft w:val="0"/>
      <w:marRight w:val="0"/>
      <w:marTop w:val="0"/>
      <w:marBottom w:val="0"/>
      <w:divBdr>
        <w:top w:val="none" w:sz="0" w:space="0" w:color="auto"/>
        <w:left w:val="none" w:sz="0" w:space="0" w:color="auto"/>
        <w:bottom w:val="none" w:sz="0" w:space="0" w:color="auto"/>
        <w:right w:val="none" w:sz="0" w:space="0" w:color="auto"/>
      </w:divBdr>
    </w:div>
    <w:div w:id="174544280">
      <w:bodyDiv w:val="1"/>
      <w:marLeft w:val="0"/>
      <w:marRight w:val="0"/>
      <w:marTop w:val="0"/>
      <w:marBottom w:val="0"/>
      <w:divBdr>
        <w:top w:val="none" w:sz="0" w:space="0" w:color="auto"/>
        <w:left w:val="none" w:sz="0" w:space="0" w:color="auto"/>
        <w:bottom w:val="none" w:sz="0" w:space="0" w:color="auto"/>
        <w:right w:val="none" w:sz="0" w:space="0" w:color="auto"/>
      </w:divBdr>
    </w:div>
    <w:div w:id="212810893">
      <w:bodyDiv w:val="1"/>
      <w:marLeft w:val="0"/>
      <w:marRight w:val="0"/>
      <w:marTop w:val="0"/>
      <w:marBottom w:val="0"/>
      <w:divBdr>
        <w:top w:val="none" w:sz="0" w:space="0" w:color="auto"/>
        <w:left w:val="none" w:sz="0" w:space="0" w:color="auto"/>
        <w:bottom w:val="none" w:sz="0" w:space="0" w:color="auto"/>
        <w:right w:val="none" w:sz="0" w:space="0" w:color="auto"/>
      </w:divBdr>
    </w:div>
    <w:div w:id="289677370">
      <w:bodyDiv w:val="1"/>
      <w:marLeft w:val="0"/>
      <w:marRight w:val="0"/>
      <w:marTop w:val="0"/>
      <w:marBottom w:val="0"/>
      <w:divBdr>
        <w:top w:val="none" w:sz="0" w:space="0" w:color="auto"/>
        <w:left w:val="none" w:sz="0" w:space="0" w:color="auto"/>
        <w:bottom w:val="none" w:sz="0" w:space="0" w:color="auto"/>
        <w:right w:val="none" w:sz="0" w:space="0" w:color="auto"/>
      </w:divBdr>
    </w:div>
    <w:div w:id="321857661">
      <w:bodyDiv w:val="1"/>
      <w:marLeft w:val="0"/>
      <w:marRight w:val="0"/>
      <w:marTop w:val="0"/>
      <w:marBottom w:val="0"/>
      <w:divBdr>
        <w:top w:val="none" w:sz="0" w:space="0" w:color="auto"/>
        <w:left w:val="none" w:sz="0" w:space="0" w:color="auto"/>
        <w:bottom w:val="none" w:sz="0" w:space="0" w:color="auto"/>
        <w:right w:val="none" w:sz="0" w:space="0" w:color="auto"/>
      </w:divBdr>
    </w:div>
    <w:div w:id="347756410">
      <w:bodyDiv w:val="1"/>
      <w:marLeft w:val="0"/>
      <w:marRight w:val="0"/>
      <w:marTop w:val="0"/>
      <w:marBottom w:val="0"/>
      <w:divBdr>
        <w:top w:val="none" w:sz="0" w:space="0" w:color="auto"/>
        <w:left w:val="none" w:sz="0" w:space="0" w:color="auto"/>
        <w:bottom w:val="none" w:sz="0" w:space="0" w:color="auto"/>
        <w:right w:val="none" w:sz="0" w:space="0" w:color="auto"/>
      </w:divBdr>
    </w:div>
    <w:div w:id="351303593">
      <w:bodyDiv w:val="1"/>
      <w:marLeft w:val="0"/>
      <w:marRight w:val="0"/>
      <w:marTop w:val="0"/>
      <w:marBottom w:val="0"/>
      <w:divBdr>
        <w:top w:val="none" w:sz="0" w:space="0" w:color="auto"/>
        <w:left w:val="none" w:sz="0" w:space="0" w:color="auto"/>
        <w:bottom w:val="none" w:sz="0" w:space="0" w:color="auto"/>
        <w:right w:val="none" w:sz="0" w:space="0" w:color="auto"/>
      </w:divBdr>
    </w:div>
    <w:div w:id="479229315">
      <w:bodyDiv w:val="1"/>
      <w:marLeft w:val="0"/>
      <w:marRight w:val="0"/>
      <w:marTop w:val="0"/>
      <w:marBottom w:val="0"/>
      <w:divBdr>
        <w:top w:val="none" w:sz="0" w:space="0" w:color="auto"/>
        <w:left w:val="none" w:sz="0" w:space="0" w:color="auto"/>
        <w:bottom w:val="none" w:sz="0" w:space="0" w:color="auto"/>
        <w:right w:val="none" w:sz="0" w:space="0" w:color="auto"/>
      </w:divBdr>
    </w:div>
    <w:div w:id="505556136">
      <w:bodyDiv w:val="1"/>
      <w:marLeft w:val="0"/>
      <w:marRight w:val="0"/>
      <w:marTop w:val="0"/>
      <w:marBottom w:val="0"/>
      <w:divBdr>
        <w:top w:val="none" w:sz="0" w:space="0" w:color="auto"/>
        <w:left w:val="none" w:sz="0" w:space="0" w:color="auto"/>
        <w:bottom w:val="none" w:sz="0" w:space="0" w:color="auto"/>
        <w:right w:val="none" w:sz="0" w:space="0" w:color="auto"/>
      </w:divBdr>
    </w:div>
    <w:div w:id="550852255">
      <w:bodyDiv w:val="1"/>
      <w:marLeft w:val="0"/>
      <w:marRight w:val="0"/>
      <w:marTop w:val="0"/>
      <w:marBottom w:val="0"/>
      <w:divBdr>
        <w:top w:val="none" w:sz="0" w:space="0" w:color="auto"/>
        <w:left w:val="none" w:sz="0" w:space="0" w:color="auto"/>
        <w:bottom w:val="none" w:sz="0" w:space="0" w:color="auto"/>
        <w:right w:val="none" w:sz="0" w:space="0" w:color="auto"/>
      </w:divBdr>
    </w:div>
    <w:div w:id="656224135">
      <w:bodyDiv w:val="1"/>
      <w:marLeft w:val="0"/>
      <w:marRight w:val="0"/>
      <w:marTop w:val="0"/>
      <w:marBottom w:val="0"/>
      <w:divBdr>
        <w:top w:val="none" w:sz="0" w:space="0" w:color="auto"/>
        <w:left w:val="none" w:sz="0" w:space="0" w:color="auto"/>
        <w:bottom w:val="none" w:sz="0" w:space="0" w:color="auto"/>
        <w:right w:val="none" w:sz="0" w:space="0" w:color="auto"/>
      </w:divBdr>
    </w:div>
    <w:div w:id="719598749">
      <w:bodyDiv w:val="1"/>
      <w:marLeft w:val="0"/>
      <w:marRight w:val="0"/>
      <w:marTop w:val="0"/>
      <w:marBottom w:val="0"/>
      <w:divBdr>
        <w:top w:val="none" w:sz="0" w:space="0" w:color="auto"/>
        <w:left w:val="none" w:sz="0" w:space="0" w:color="auto"/>
        <w:bottom w:val="none" w:sz="0" w:space="0" w:color="auto"/>
        <w:right w:val="none" w:sz="0" w:space="0" w:color="auto"/>
      </w:divBdr>
    </w:div>
    <w:div w:id="721371061">
      <w:bodyDiv w:val="1"/>
      <w:marLeft w:val="0"/>
      <w:marRight w:val="0"/>
      <w:marTop w:val="0"/>
      <w:marBottom w:val="0"/>
      <w:divBdr>
        <w:top w:val="none" w:sz="0" w:space="0" w:color="auto"/>
        <w:left w:val="none" w:sz="0" w:space="0" w:color="auto"/>
        <w:bottom w:val="none" w:sz="0" w:space="0" w:color="auto"/>
        <w:right w:val="none" w:sz="0" w:space="0" w:color="auto"/>
      </w:divBdr>
    </w:div>
    <w:div w:id="748311255">
      <w:bodyDiv w:val="1"/>
      <w:marLeft w:val="0"/>
      <w:marRight w:val="0"/>
      <w:marTop w:val="0"/>
      <w:marBottom w:val="0"/>
      <w:divBdr>
        <w:top w:val="none" w:sz="0" w:space="0" w:color="auto"/>
        <w:left w:val="none" w:sz="0" w:space="0" w:color="auto"/>
        <w:bottom w:val="none" w:sz="0" w:space="0" w:color="auto"/>
        <w:right w:val="none" w:sz="0" w:space="0" w:color="auto"/>
      </w:divBdr>
    </w:div>
    <w:div w:id="777146126">
      <w:bodyDiv w:val="1"/>
      <w:marLeft w:val="0"/>
      <w:marRight w:val="0"/>
      <w:marTop w:val="0"/>
      <w:marBottom w:val="0"/>
      <w:divBdr>
        <w:top w:val="none" w:sz="0" w:space="0" w:color="auto"/>
        <w:left w:val="none" w:sz="0" w:space="0" w:color="auto"/>
        <w:bottom w:val="none" w:sz="0" w:space="0" w:color="auto"/>
        <w:right w:val="none" w:sz="0" w:space="0" w:color="auto"/>
      </w:divBdr>
    </w:div>
    <w:div w:id="871266748">
      <w:bodyDiv w:val="1"/>
      <w:marLeft w:val="0"/>
      <w:marRight w:val="0"/>
      <w:marTop w:val="0"/>
      <w:marBottom w:val="0"/>
      <w:divBdr>
        <w:top w:val="none" w:sz="0" w:space="0" w:color="auto"/>
        <w:left w:val="none" w:sz="0" w:space="0" w:color="auto"/>
        <w:bottom w:val="none" w:sz="0" w:space="0" w:color="auto"/>
        <w:right w:val="none" w:sz="0" w:space="0" w:color="auto"/>
      </w:divBdr>
      <w:divsChild>
        <w:div w:id="318776488">
          <w:marLeft w:val="0"/>
          <w:marRight w:val="0"/>
          <w:marTop w:val="153"/>
          <w:marBottom w:val="77"/>
          <w:divBdr>
            <w:top w:val="none" w:sz="0" w:space="0" w:color="auto"/>
            <w:left w:val="none" w:sz="0" w:space="0" w:color="auto"/>
            <w:bottom w:val="none" w:sz="0" w:space="0" w:color="auto"/>
            <w:right w:val="none" w:sz="0" w:space="0" w:color="auto"/>
          </w:divBdr>
        </w:div>
        <w:div w:id="1351760054">
          <w:marLeft w:val="0"/>
          <w:marRight w:val="0"/>
          <w:marTop w:val="153"/>
          <w:marBottom w:val="77"/>
          <w:divBdr>
            <w:top w:val="none" w:sz="0" w:space="0" w:color="auto"/>
            <w:left w:val="none" w:sz="0" w:space="0" w:color="auto"/>
            <w:bottom w:val="none" w:sz="0" w:space="0" w:color="auto"/>
            <w:right w:val="none" w:sz="0" w:space="0" w:color="auto"/>
          </w:divBdr>
        </w:div>
      </w:divsChild>
    </w:div>
    <w:div w:id="972055334">
      <w:bodyDiv w:val="1"/>
      <w:marLeft w:val="0"/>
      <w:marRight w:val="0"/>
      <w:marTop w:val="0"/>
      <w:marBottom w:val="0"/>
      <w:divBdr>
        <w:top w:val="none" w:sz="0" w:space="0" w:color="auto"/>
        <w:left w:val="none" w:sz="0" w:space="0" w:color="auto"/>
        <w:bottom w:val="none" w:sz="0" w:space="0" w:color="auto"/>
        <w:right w:val="none" w:sz="0" w:space="0" w:color="auto"/>
      </w:divBdr>
    </w:div>
    <w:div w:id="1021667520">
      <w:bodyDiv w:val="1"/>
      <w:marLeft w:val="0"/>
      <w:marRight w:val="0"/>
      <w:marTop w:val="0"/>
      <w:marBottom w:val="0"/>
      <w:divBdr>
        <w:top w:val="none" w:sz="0" w:space="0" w:color="auto"/>
        <w:left w:val="none" w:sz="0" w:space="0" w:color="auto"/>
        <w:bottom w:val="none" w:sz="0" w:space="0" w:color="auto"/>
        <w:right w:val="none" w:sz="0" w:space="0" w:color="auto"/>
      </w:divBdr>
    </w:div>
    <w:div w:id="1039166695">
      <w:bodyDiv w:val="1"/>
      <w:marLeft w:val="0"/>
      <w:marRight w:val="0"/>
      <w:marTop w:val="0"/>
      <w:marBottom w:val="0"/>
      <w:divBdr>
        <w:top w:val="none" w:sz="0" w:space="0" w:color="auto"/>
        <w:left w:val="none" w:sz="0" w:space="0" w:color="auto"/>
        <w:bottom w:val="none" w:sz="0" w:space="0" w:color="auto"/>
        <w:right w:val="none" w:sz="0" w:space="0" w:color="auto"/>
      </w:divBdr>
    </w:div>
    <w:div w:id="1057238134">
      <w:bodyDiv w:val="1"/>
      <w:marLeft w:val="0"/>
      <w:marRight w:val="0"/>
      <w:marTop w:val="0"/>
      <w:marBottom w:val="0"/>
      <w:divBdr>
        <w:top w:val="none" w:sz="0" w:space="0" w:color="auto"/>
        <w:left w:val="none" w:sz="0" w:space="0" w:color="auto"/>
        <w:bottom w:val="none" w:sz="0" w:space="0" w:color="auto"/>
        <w:right w:val="none" w:sz="0" w:space="0" w:color="auto"/>
      </w:divBdr>
    </w:div>
    <w:div w:id="1246378635">
      <w:bodyDiv w:val="1"/>
      <w:marLeft w:val="0"/>
      <w:marRight w:val="0"/>
      <w:marTop w:val="0"/>
      <w:marBottom w:val="0"/>
      <w:divBdr>
        <w:top w:val="none" w:sz="0" w:space="0" w:color="auto"/>
        <w:left w:val="none" w:sz="0" w:space="0" w:color="auto"/>
        <w:bottom w:val="none" w:sz="0" w:space="0" w:color="auto"/>
        <w:right w:val="none" w:sz="0" w:space="0" w:color="auto"/>
      </w:divBdr>
    </w:div>
    <w:div w:id="1281187134">
      <w:bodyDiv w:val="1"/>
      <w:marLeft w:val="0"/>
      <w:marRight w:val="0"/>
      <w:marTop w:val="0"/>
      <w:marBottom w:val="0"/>
      <w:divBdr>
        <w:top w:val="none" w:sz="0" w:space="0" w:color="auto"/>
        <w:left w:val="none" w:sz="0" w:space="0" w:color="auto"/>
        <w:bottom w:val="none" w:sz="0" w:space="0" w:color="auto"/>
        <w:right w:val="none" w:sz="0" w:space="0" w:color="auto"/>
      </w:divBdr>
    </w:div>
    <w:div w:id="1382553916">
      <w:bodyDiv w:val="1"/>
      <w:marLeft w:val="0"/>
      <w:marRight w:val="0"/>
      <w:marTop w:val="0"/>
      <w:marBottom w:val="0"/>
      <w:divBdr>
        <w:top w:val="none" w:sz="0" w:space="0" w:color="auto"/>
        <w:left w:val="none" w:sz="0" w:space="0" w:color="auto"/>
        <w:bottom w:val="none" w:sz="0" w:space="0" w:color="auto"/>
        <w:right w:val="none" w:sz="0" w:space="0" w:color="auto"/>
      </w:divBdr>
    </w:div>
    <w:div w:id="1413966765">
      <w:bodyDiv w:val="1"/>
      <w:marLeft w:val="0"/>
      <w:marRight w:val="0"/>
      <w:marTop w:val="0"/>
      <w:marBottom w:val="0"/>
      <w:divBdr>
        <w:top w:val="none" w:sz="0" w:space="0" w:color="auto"/>
        <w:left w:val="none" w:sz="0" w:space="0" w:color="auto"/>
        <w:bottom w:val="none" w:sz="0" w:space="0" w:color="auto"/>
        <w:right w:val="none" w:sz="0" w:space="0" w:color="auto"/>
      </w:divBdr>
    </w:div>
    <w:div w:id="1468548442">
      <w:bodyDiv w:val="1"/>
      <w:marLeft w:val="0"/>
      <w:marRight w:val="0"/>
      <w:marTop w:val="0"/>
      <w:marBottom w:val="0"/>
      <w:divBdr>
        <w:top w:val="none" w:sz="0" w:space="0" w:color="auto"/>
        <w:left w:val="none" w:sz="0" w:space="0" w:color="auto"/>
        <w:bottom w:val="none" w:sz="0" w:space="0" w:color="auto"/>
        <w:right w:val="none" w:sz="0" w:space="0" w:color="auto"/>
      </w:divBdr>
    </w:div>
    <w:div w:id="1542404847">
      <w:bodyDiv w:val="1"/>
      <w:marLeft w:val="0"/>
      <w:marRight w:val="0"/>
      <w:marTop w:val="0"/>
      <w:marBottom w:val="0"/>
      <w:divBdr>
        <w:top w:val="none" w:sz="0" w:space="0" w:color="auto"/>
        <w:left w:val="none" w:sz="0" w:space="0" w:color="auto"/>
        <w:bottom w:val="none" w:sz="0" w:space="0" w:color="auto"/>
        <w:right w:val="none" w:sz="0" w:space="0" w:color="auto"/>
      </w:divBdr>
    </w:div>
    <w:div w:id="1579632465">
      <w:bodyDiv w:val="1"/>
      <w:marLeft w:val="0"/>
      <w:marRight w:val="0"/>
      <w:marTop w:val="0"/>
      <w:marBottom w:val="0"/>
      <w:divBdr>
        <w:top w:val="none" w:sz="0" w:space="0" w:color="auto"/>
        <w:left w:val="none" w:sz="0" w:space="0" w:color="auto"/>
        <w:bottom w:val="none" w:sz="0" w:space="0" w:color="auto"/>
        <w:right w:val="none" w:sz="0" w:space="0" w:color="auto"/>
      </w:divBdr>
    </w:div>
    <w:div w:id="1601722917">
      <w:bodyDiv w:val="1"/>
      <w:marLeft w:val="0"/>
      <w:marRight w:val="0"/>
      <w:marTop w:val="0"/>
      <w:marBottom w:val="0"/>
      <w:divBdr>
        <w:top w:val="none" w:sz="0" w:space="0" w:color="auto"/>
        <w:left w:val="none" w:sz="0" w:space="0" w:color="auto"/>
        <w:bottom w:val="none" w:sz="0" w:space="0" w:color="auto"/>
        <w:right w:val="none" w:sz="0" w:space="0" w:color="auto"/>
      </w:divBdr>
    </w:div>
    <w:div w:id="1659574670">
      <w:bodyDiv w:val="1"/>
      <w:marLeft w:val="0"/>
      <w:marRight w:val="0"/>
      <w:marTop w:val="0"/>
      <w:marBottom w:val="0"/>
      <w:divBdr>
        <w:top w:val="none" w:sz="0" w:space="0" w:color="auto"/>
        <w:left w:val="none" w:sz="0" w:space="0" w:color="auto"/>
        <w:bottom w:val="none" w:sz="0" w:space="0" w:color="auto"/>
        <w:right w:val="none" w:sz="0" w:space="0" w:color="auto"/>
      </w:divBdr>
      <w:divsChild>
        <w:div w:id="638996506">
          <w:marLeft w:val="0"/>
          <w:marRight w:val="0"/>
          <w:marTop w:val="0"/>
          <w:marBottom w:val="0"/>
          <w:divBdr>
            <w:top w:val="none" w:sz="0" w:space="0" w:color="auto"/>
            <w:left w:val="none" w:sz="0" w:space="0" w:color="auto"/>
            <w:bottom w:val="none" w:sz="0" w:space="0" w:color="auto"/>
            <w:right w:val="none" w:sz="0" w:space="0" w:color="auto"/>
          </w:divBdr>
          <w:divsChild>
            <w:div w:id="1852643310">
              <w:marLeft w:val="0"/>
              <w:marRight w:val="0"/>
              <w:marTop w:val="0"/>
              <w:marBottom w:val="0"/>
              <w:divBdr>
                <w:top w:val="none" w:sz="0" w:space="0" w:color="auto"/>
                <w:left w:val="none" w:sz="0" w:space="0" w:color="auto"/>
                <w:bottom w:val="none" w:sz="0" w:space="0" w:color="auto"/>
                <w:right w:val="none" w:sz="0" w:space="0" w:color="auto"/>
              </w:divBdr>
            </w:div>
          </w:divsChild>
        </w:div>
        <w:div w:id="663972820">
          <w:marLeft w:val="0"/>
          <w:marRight w:val="54"/>
          <w:marTop w:val="46"/>
          <w:marBottom w:val="0"/>
          <w:divBdr>
            <w:top w:val="none" w:sz="0" w:space="0" w:color="auto"/>
            <w:left w:val="none" w:sz="0" w:space="0" w:color="auto"/>
            <w:bottom w:val="none" w:sz="0" w:space="0" w:color="auto"/>
            <w:right w:val="dotted" w:sz="2" w:space="3" w:color="9E9E9E"/>
          </w:divBdr>
          <w:divsChild>
            <w:div w:id="2023044684">
              <w:marLeft w:val="0"/>
              <w:marRight w:val="0"/>
              <w:marTop w:val="0"/>
              <w:marBottom w:val="0"/>
              <w:divBdr>
                <w:top w:val="none" w:sz="0" w:space="0" w:color="auto"/>
                <w:left w:val="none" w:sz="0" w:space="0" w:color="auto"/>
                <w:bottom w:val="none" w:sz="0" w:space="0" w:color="auto"/>
                <w:right w:val="none" w:sz="0" w:space="0" w:color="auto"/>
              </w:divBdr>
              <w:divsChild>
                <w:div w:id="173855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085395">
          <w:marLeft w:val="0"/>
          <w:marRight w:val="54"/>
          <w:marTop w:val="46"/>
          <w:marBottom w:val="0"/>
          <w:divBdr>
            <w:top w:val="none" w:sz="0" w:space="0" w:color="auto"/>
            <w:left w:val="none" w:sz="0" w:space="0" w:color="auto"/>
            <w:bottom w:val="none" w:sz="0" w:space="0" w:color="auto"/>
            <w:right w:val="none" w:sz="0" w:space="0" w:color="auto"/>
          </w:divBdr>
          <w:divsChild>
            <w:div w:id="418596282">
              <w:marLeft w:val="0"/>
              <w:marRight w:val="0"/>
              <w:marTop w:val="0"/>
              <w:marBottom w:val="0"/>
              <w:divBdr>
                <w:top w:val="none" w:sz="0" w:space="0" w:color="auto"/>
                <w:left w:val="none" w:sz="0" w:space="0" w:color="auto"/>
                <w:bottom w:val="none" w:sz="0" w:space="0" w:color="auto"/>
                <w:right w:val="none" w:sz="0" w:space="0" w:color="auto"/>
              </w:divBdr>
              <w:divsChild>
                <w:div w:id="1260986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5790545">
      <w:bodyDiv w:val="1"/>
      <w:marLeft w:val="0"/>
      <w:marRight w:val="0"/>
      <w:marTop w:val="0"/>
      <w:marBottom w:val="0"/>
      <w:divBdr>
        <w:top w:val="none" w:sz="0" w:space="0" w:color="auto"/>
        <w:left w:val="none" w:sz="0" w:space="0" w:color="auto"/>
        <w:bottom w:val="none" w:sz="0" w:space="0" w:color="auto"/>
        <w:right w:val="none" w:sz="0" w:space="0" w:color="auto"/>
      </w:divBdr>
    </w:div>
    <w:div w:id="1810632850">
      <w:bodyDiv w:val="1"/>
      <w:marLeft w:val="0"/>
      <w:marRight w:val="0"/>
      <w:marTop w:val="0"/>
      <w:marBottom w:val="0"/>
      <w:divBdr>
        <w:top w:val="none" w:sz="0" w:space="0" w:color="auto"/>
        <w:left w:val="none" w:sz="0" w:space="0" w:color="auto"/>
        <w:bottom w:val="none" w:sz="0" w:space="0" w:color="auto"/>
        <w:right w:val="none" w:sz="0" w:space="0" w:color="auto"/>
      </w:divBdr>
    </w:div>
    <w:div w:id="1915385019">
      <w:bodyDiv w:val="1"/>
      <w:marLeft w:val="0"/>
      <w:marRight w:val="0"/>
      <w:marTop w:val="0"/>
      <w:marBottom w:val="0"/>
      <w:divBdr>
        <w:top w:val="none" w:sz="0" w:space="0" w:color="auto"/>
        <w:left w:val="none" w:sz="0" w:space="0" w:color="auto"/>
        <w:bottom w:val="none" w:sz="0" w:space="0" w:color="auto"/>
        <w:right w:val="none" w:sz="0" w:space="0" w:color="auto"/>
      </w:divBdr>
    </w:div>
    <w:div w:id="1989745064">
      <w:bodyDiv w:val="1"/>
      <w:marLeft w:val="0"/>
      <w:marRight w:val="0"/>
      <w:marTop w:val="0"/>
      <w:marBottom w:val="0"/>
      <w:divBdr>
        <w:top w:val="none" w:sz="0" w:space="0" w:color="auto"/>
        <w:left w:val="none" w:sz="0" w:space="0" w:color="auto"/>
        <w:bottom w:val="none" w:sz="0" w:space="0" w:color="auto"/>
        <w:right w:val="none" w:sz="0" w:space="0" w:color="auto"/>
      </w:divBdr>
    </w:div>
    <w:div w:id="2069836722">
      <w:bodyDiv w:val="1"/>
      <w:marLeft w:val="0"/>
      <w:marRight w:val="0"/>
      <w:marTop w:val="0"/>
      <w:marBottom w:val="0"/>
      <w:divBdr>
        <w:top w:val="none" w:sz="0" w:space="0" w:color="auto"/>
        <w:left w:val="none" w:sz="0" w:space="0" w:color="auto"/>
        <w:bottom w:val="none" w:sz="0" w:space="0" w:color="auto"/>
        <w:right w:val="none" w:sz="0" w:space="0" w:color="auto"/>
      </w:divBdr>
    </w:div>
    <w:div w:id="2133480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libraryresources.unog.ch/factfinding/chronolist" TargetMode="External"/><Relationship Id="rId21" Type="http://schemas.openxmlformats.org/officeDocument/2006/relationships/hyperlink" Target="http://www.ejil.org/pdfs/4/1/1184.pdf" TargetMode="External"/><Relationship Id="rId42" Type="http://schemas.openxmlformats.org/officeDocument/2006/relationships/hyperlink" Target="https://www.icrc.org/applic/ihl/ihl.nsf/Treaty.xsp?action=openDocument&amp;documentId=4825657B0C7E6BF0C12563CD002D6B0B" TargetMode="External"/><Relationship Id="rId63" Type="http://schemas.openxmlformats.org/officeDocument/2006/relationships/hyperlink" Target="http://www.un.org/en/ga/search/view_doc.asp?symbol=S/RES/1690(2006)" TargetMode="External"/><Relationship Id="rId84" Type="http://schemas.openxmlformats.org/officeDocument/2006/relationships/hyperlink" Target="http://www.ohchr.org/Documents/HRBodies/HRCouncil/CoISyria/ResS17_1.pdf" TargetMode="External"/><Relationship Id="rId138" Type="http://schemas.openxmlformats.org/officeDocument/2006/relationships/hyperlink" Target="http://www.law.idf.il/14-en/Patzar.aspx" TargetMode="External"/><Relationship Id="rId159" Type="http://schemas.openxmlformats.org/officeDocument/2006/relationships/hyperlink" Target="https://www.middleeastmonitor.com/20160107-uk-mps-speak-out-about-israeli-detention-of-palestinian-children/" TargetMode="External"/><Relationship Id="rId170" Type="http://schemas.openxmlformats.org/officeDocument/2006/relationships/hyperlink" Target="http://www.jpost.com/Diplomacy-and-Politics/UN-Marmara-report-held-to-allow-more-Jlem-Ankara-talks" TargetMode="External"/><Relationship Id="rId191" Type="http://schemas.openxmlformats.org/officeDocument/2006/relationships/hyperlink" Target="http://legacy.sandiegouniontribune.com/news/world/20041005-1516-israel-un.html" TargetMode="External"/><Relationship Id="rId205" Type="http://schemas.openxmlformats.org/officeDocument/2006/relationships/hyperlink" Target="https://www.google.co.il/url?sa=t&amp;rct=j&amp;q=&amp;esrc=s&amp;source=web&amp;cd=1&amp;ved=0ahUKEwj74Pejq8HMAhUMDxoKHXGPB9wQFggbMAA&amp;url=http%3A%2F%2Fwww.ohchr.org%2FDocuments%2FHRBodies%2FHRCouncil%2FSpecialSession%2FSession9%2FTranscriptPressBriefing03042009.doc&amp;usg=AFQjCNEkx-3y0o0CO28KuhDdAc6rV-Y87A&amp;sig2=HbD_Rp_ClxEXo2Jl5QG-hQ" TargetMode="External"/><Relationship Id="rId226" Type="http://schemas.openxmlformats.org/officeDocument/2006/relationships/hyperlink" Target="http://repository.un.org/handle/11176/139076" TargetMode="External"/><Relationship Id="rId247" Type="http://schemas.openxmlformats.org/officeDocument/2006/relationships/hyperlink" Target="https://www.icc-cpi.int/EN_Menus/icc/structure%20of%20the%20court/office%20of%20the%20prosecutor/comm%20and%20ref/pe-ongoing/iraq/pages/iraq.aspx" TargetMode="External"/><Relationship Id="rId107" Type="http://schemas.openxmlformats.org/officeDocument/2006/relationships/hyperlink" Target="https://www.govtrack.us/congress/bills/111/hres867/text" TargetMode="External"/><Relationship Id="rId268" Type="http://schemas.openxmlformats.org/officeDocument/2006/relationships/header" Target="header2.xml"/><Relationship Id="rId11" Type="http://schemas.openxmlformats.org/officeDocument/2006/relationships/hyperlink" Target="http://www.hpcrresearch.org/sites/default/files/publications/HPCR%20Handbook%20March%202015.pdf" TargetMode="External"/><Relationship Id="rId32" Type="http://schemas.openxmlformats.org/officeDocument/2006/relationships/hyperlink" Target="http://jcpa.org/article/israels-relationship-un-human-rights-council/" TargetMode="External"/><Relationship Id="rId53" Type="http://schemas.openxmlformats.org/officeDocument/2006/relationships/hyperlink" Target="https://www.icrc.org/applic/ihl/ihl.nsf/Comment.xsp?documentId=7125D4CBD57A70DDC12563CD0042F793&amp;action=OpenDocument" TargetMode="External"/><Relationship Id="rId74" Type="http://schemas.openxmlformats.org/officeDocument/2006/relationships/hyperlink" Target="http://www.un.org/en/ga/search/view_doc.asp?symbol=A/RES/68/220" TargetMode="External"/><Relationship Id="rId128" Type="http://schemas.openxmlformats.org/officeDocument/2006/relationships/hyperlink" Target="http://www.tiph.org/en/About_TIPH" TargetMode="External"/><Relationship Id="rId149" Type="http://schemas.openxmlformats.org/officeDocument/2006/relationships/hyperlink" Target="http://www.maariv.co.il/news/politics/Article-460131" TargetMode="External"/><Relationship Id="rId5" Type="http://schemas.openxmlformats.org/officeDocument/2006/relationships/webSettings" Target="webSettings.xml"/><Relationship Id="rId95" Type="http://schemas.openxmlformats.org/officeDocument/2006/relationships/hyperlink" Target="http://legal.un.org/riaa/cases/vol_XX/1-118.pdf" TargetMode="External"/><Relationship Id="rId160" Type="http://schemas.openxmlformats.org/officeDocument/2006/relationships/hyperlink" Target="http://www.nytimes.com/2002/05/22/opinion/ending-bias-in-the-human-rights-system.html?scp=1&amp;sq=%22Anne+Bayefsky%22&amp;st=nyt" TargetMode="External"/><Relationship Id="rId181" Type="http://schemas.openxmlformats.org/officeDocument/2006/relationships/hyperlink" Target="http://www.longwarjournal.org/archives/2007/12/al_qaeda_hits_un_off.php" TargetMode="External"/><Relationship Id="rId216" Type="http://schemas.openxmlformats.org/officeDocument/2006/relationships/hyperlink" Target="http://www.ohchr.org/Documents/HRBodies/HRCouncil/CoIGaza/A-HRC-29-52_en.doc" TargetMode="External"/><Relationship Id="rId237" Type="http://schemas.openxmlformats.org/officeDocument/2006/relationships/hyperlink" Target="http://www.un.org/press/en/2007/sgsm11053.doc.htm" TargetMode="External"/><Relationship Id="rId258" Type="http://schemas.openxmlformats.org/officeDocument/2006/relationships/hyperlink" Target="file:///C:/Users/user/Downloads/MDE1500292014ENGLISH.PDF" TargetMode="External"/><Relationship Id="rId22" Type="http://schemas.openxmlformats.org/officeDocument/2006/relationships/hyperlink" Target="http://muse.jhu.edu/article/429105" TargetMode="External"/><Relationship Id="rId43" Type="http://schemas.openxmlformats.org/officeDocument/2006/relationships/hyperlink" Target="https://www.icrc.org/applic/ihl/ihl.nsf/Comment.xsp?documentId=BE2D518CF5DE54EAC1257F7D0036B518&amp;action=OpenDocument" TargetMode="External"/><Relationship Id="rId64" Type="http://schemas.openxmlformats.org/officeDocument/2006/relationships/hyperlink" Target="http://www.un.org/en/ga/search/view_doc.asp?symbol=S/RES/1757(2007)" TargetMode="External"/><Relationship Id="rId118" Type="http://schemas.openxmlformats.org/officeDocument/2006/relationships/hyperlink" Target="http://www.un.org/en/sc/repertoire/subsidiary_organs/international_tribunals.shtml" TargetMode="External"/><Relationship Id="rId139" Type="http://schemas.openxmlformats.org/officeDocument/2006/relationships/hyperlink" Target="http://www.patriciascotland.com/" TargetMode="External"/><Relationship Id="rId85" Type="http://schemas.openxmlformats.org/officeDocument/2006/relationships/hyperlink" Target="https://documents-dds-ny.un.org/doc/UNDOC/GEN/G10/145/34/PDF/G1014534.pdf?OpenElement" TargetMode="External"/><Relationship Id="rId150" Type="http://schemas.openxmlformats.org/officeDocument/2006/relationships/hyperlink" Target="http://www.ynet.co.il/articles/0,7340,L-3778069,00.html" TargetMode="External"/><Relationship Id="rId171" Type="http://schemas.openxmlformats.org/officeDocument/2006/relationships/hyperlink" Target="http://www.bbc.com/news/world-us-canada-36164595" TargetMode="External"/><Relationship Id="rId192" Type="http://schemas.openxmlformats.org/officeDocument/2006/relationships/hyperlink" Target="http://www.theguardian.com/world/2015/feb/02/un-war-crimes-inquiry-resigns-israel-gaza-palestine" TargetMode="External"/><Relationship Id="rId206" Type="http://schemas.openxmlformats.org/officeDocument/2006/relationships/hyperlink" Target="https://documents-dds-ny.un.org/doc/UNDOC/GEN/G01/115/25/PDF/G0111525.pdf?OpenElement" TargetMode="External"/><Relationship Id="rId227" Type="http://schemas.openxmlformats.org/officeDocument/2006/relationships/hyperlink" Target="https://unispal.un.org/DPA/DPR/unispal.nsf/0/763D289FB7F2019B852576F20050496B" TargetMode="External"/><Relationship Id="rId248" Type="http://schemas.openxmlformats.org/officeDocument/2006/relationships/hyperlink" Target="https://www.icc-cpi.int/iccdocs/otp/OTP-COM-Article_53(1)-Report-06Nov2014Eng.pdf" TargetMode="External"/><Relationship Id="rId269" Type="http://schemas.openxmlformats.org/officeDocument/2006/relationships/footer" Target="footer1.xml"/><Relationship Id="rId12" Type="http://schemas.openxmlformats.org/officeDocument/2006/relationships/hyperlink" Target="http://www.penalecontemporaneo.it/upload/1364555822Tesi_Parisi.pdf" TargetMode="External"/><Relationship Id="rId33" Type="http://schemas.openxmlformats.org/officeDocument/2006/relationships/hyperlink" Target="https://www.chathamhouse.org/sites/files/chathamhouse/public/Research/International%20Law/il271109summary.pdf" TargetMode="External"/><Relationship Id="rId108" Type="http://schemas.openxmlformats.org/officeDocument/2006/relationships/hyperlink" Target="http://usun.state.gov/remarks/5579" TargetMode="External"/><Relationship Id="rId129" Type="http://schemas.openxmlformats.org/officeDocument/2006/relationships/hyperlink" Target="http://mfo.org/en" TargetMode="External"/><Relationship Id="rId54" Type="http://schemas.openxmlformats.org/officeDocument/2006/relationships/hyperlink" Target="http://www.icj-cij.org/documents/?p1=4&amp;p2=2" TargetMode="External"/><Relationship Id="rId75" Type="http://schemas.openxmlformats.org/officeDocument/2006/relationships/hyperlink" Target="https://www.google.co.il/url?sa=t&amp;rct=j&amp;q=&amp;esrc=s&amp;source=web&amp;cd=1&amp;ved=0ahUKEwi-v_-vkKzMAhXKlxoKHdkGBEMQFggbMAA&amp;url=http%3A%2F%2Fwww.ohchr.org%2FDocuments%2FHRBodies%2FHRCouncil%2FSpecialSession%2FSession21%2FA-HRC-RES-S-21-1_en.doc&amp;usg=AFQjCNG-La7K_6IZop2w4tyHwLmZv0deSA&amp;sig2=bdlmgnu09A3SRCfI2_5UHg" TargetMode="External"/><Relationship Id="rId96" Type="http://schemas.openxmlformats.org/officeDocument/2006/relationships/hyperlink" Target="http://www.icj-cij.org/docket/files/131/1671.pdf" TargetMode="External"/><Relationship Id="rId140" Type="http://schemas.openxmlformats.org/officeDocument/2006/relationships/hyperlink" Target="http://www.russelltribunalonpalestine.com/en/" TargetMode="External"/><Relationship Id="rId161" Type="http://schemas.openxmlformats.org/officeDocument/2006/relationships/hyperlink" Target="http://www.jpost.com/Author/Yonah-Jeremy-Bob" TargetMode="External"/><Relationship Id="rId182" Type="http://schemas.openxmlformats.org/officeDocument/2006/relationships/hyperlink" Target="http://www.thetower.org/2965-samantha-power-blasts-un-for-anti-israel-bias/" TargetMode="External"/><Relationship Id="rId217" Type="http://schemas.openxmlformats.org/officeDocument/2006/relationships/hyperlink" Target="http://www.tromso-gaza.no/090501ReportGaza.pdf" TargetMode="External"/><Relationship Id="rId6" Type="http://schemas.openxmlformats.org/officeDocument/2006/relationships/footnotes" Target="footnotes.xml"/><Relationship Id="rId238" Type="http://schemas.openxmlformats.org/officeDocument/2006/relationships/hyperlink" Target="https://unispal.un.org/DPA/DPR/unispal.nsf/0/CC2BA38AD897B94985256F24006BC5C3" TargetMode="External"/><Relationship Id="rId259" Type="http://schemas.openxmlformats.org/officeDocument/2006/relationships/hyperlink" Target="http://www.unwatch.org/report-in-9-years-existence-unhrc-condemned-israel-more-times-than-rest-of-world-combined/" TargetMode="External"/><Relationship Id="rId23" Type="http://schemas.openxmlformats.org/officeDocument/2006/relationships/hyperlink" Target="http://muse.jhu.edu/journals/85" TargetMode="External"/><Relationship Id="rId119" Type="http://schemas.openxmlformats.org/officeDocument/2006/relationships/hyperlink" Target="http://www.hrcr.org/hottopics/iraqitribunal.html" TargetMode="External"/><Relationship Id="rId270" Type="http://schemas.openxmlformats.org/officeDocument/2006/relationships/footer" Target="footer2.xml"/><Relationship Id="rId44" Type="http://schemas.openxmlformats.org/officeDocument/2006/relationships/hyperlink" Target="https://www.icrc.org/applic/ihl/ihl.nsf/Treaty.xsp?action=openDocument&amp;documentId=4825657B0C7E6BF0C12563CD002D6B0B" TargetMode="External"/><Relationship Id="rId60" Type="http://schemas.openxmlformats.org/officeDocument/2006/relationships/hyperlink" Target="http://www.un.org/en/ga/search/view_doc.asp?symbol=S/RES/1405(2002)" TargetMode="External"/><Relationship Id="rId65" Type="http://schemas.openxmlformats.org/officeDocument/2006/relationships/hyperlink" Target="http://www.un.org/en/ga/search/view_doc.asp?symbol=S/RES/2127(2013)" TargetMode="External"/><Relationship Id="rId81" Type="http://schemas.openxmlformats.org/officeDocument/2006/relationships/hyperlink" Target="http://www.mofa.go.kr/mofat/htm/issue/nk_humanrights22_2013.pdf" TargetMode="External"/><Relationship Id="rId86" Type="http://schemas.openxmlformats.org/officeDocument/2006/relationships/hyperlink" Target="http://www.refworld.org/docid/47bae9cd2.html" TargetMode="External"/><Relationship Id="rId130" Type="http://schemas.openxmlformats.org/officeDocument/2006/relationships/hyperlink" Target="https://history.state.gov/milestones/1945-1952/nuremberg" TargetMode="External"/><Relationship Id="rId135" Type="http://schemas.openxmlformats.org/officeDocument/2006/relationships/hyperlink" Target="http://www.unrwa.org/" TargetMode="External"/><Relationship Id="rId151" Type="http://schemas.openxmlformats.org/officeDocument/2006/relationships/hyperlink" Target="http://www.ynet.co.il/articles/0,7340,L-3777769,00.html" TargetMode="External"/><Relationship Id="rId156" Type="http://schemas.openxmlformats.org/officeDocument/2006/relationships/hyperlink" Target="http://www.israeldefense.co.il/he/content/%D7%A0%D7%A9%D7%A7-%D7%99%D7%A9%D7%A8%D7%90%D7%9C%D7%99-%D7%95%D7%A6%D7%91%D7%99%D7%A2%D7%95%D7%AA-%D7%90%D7%99%D7%A8%D7%95%D7%A4%D7%90%D7%99%D7%AA" TargetMode="External"/><Relationship Id="rId177" Type="http://schemas.openxmlformats.org/officeDocument/2006/relationships/hyperlink" Target="http://news.bbc.co.uk/2/hi/middle_east/3716930.stm" TargetMode="External"/><Relationship Id="rId198" Type="http://schemas.openxmlformats.org/officeDocument/2006/relationships/hyperlink" Target="http://unesdoc.unesco.org/images/0002/000285/028517eb.pdf" TargetMode="External"/><Relationship Id="rId172" Type="http://schemas.openxmlformats.org/officeDocument/2006/relationships/hyperlink" Target="http://www.timesofisrael.com/" TargetMode="External"/><Relationship Id="rId193" Type="http://schemas.openxmlformats.org/officeDocument/2006/relationships/hyperlink" Target="http://www.un.org/documents/ecosoc/docs/1999/e1999-23a.pdf" TargetMode="External"/><Relationship Id="rId202" Type="http://schemas.openxmlformats.org/officeDocument/2006/relationships/hyperlink" Target="http://www.securitycouncilreport.org/atf/cf/%7B65BFCF9B-6D27-4E9C-8CD3-CF6E4FF96FF9%7D/Gaza%20S2009250.pdf" TargetMode="External"/><Relationship Id="rId207" Type="http://schemas.openxmlformats.org/officeDocument/2006/relationships/hyperlink" Target="http://legal.un.org/UNJuridicalYearbook/html/volumes/2008/dtSearch/Search_Forms/dtSearch.html" TargetMode="External"/><Relationship Id="rId223" Type="http://schemas.openxmlformats.org/officeDocument/2006/relationships/hyperlink" Target="http://www.un.org/News/dh/infocus/middle_east/Gaza_Flotilla_Panel_Report.pdf" TargetMode="External"/><Relationship Id="rId228" Type="http://schemas.openxmlformats.org/officeDocument/2006/relationships/hyperlink" Target="http://www.un.org/press/en/un-bodies/secretary-general" TargetMode="External"/><Relationship Id="rId244" Type="http://schemas.openxmlformats.org/officeDocument/2006/relationships/hyperlink" Target="https://www.icc-cpi.int/NR/rdonlyres/04D143C8-19FB-466C-AB77-4CDB2FDEBEF7/143682/OTP_letter_to_senders_re_Iraq_9_February_2006.pdf" TargetMode="External"/><Relationship Id="rId249" Type="http://schemas.openxmlformats.org/officeDocument/2006/relationships/hyperlink" Target="https://www.icc-cpi.int/en_menus/icc/press%20and%20media/press%20releases/Pages/pr1083.aspx" TargetMode="External"/><Relationship Id="rId13" Type="http://schemas.openxmlformats.org/officeDocument/2006/relationships/hyperlink" Target="http://132.66.252.134/Heb/_Uploads/dbsAttachedFiles/kynan-all.pdf" TargetMode="External"/><Relationship Id="rId18" Type="http://schemas.openxmlformats.org/officeDocument/2006/relationships/hyperlink" Target="http://www.brookings.edu/experts/picconet" TargetMode="External"/><Relationship Id="rId39" Type="http://schemas.openxmlformats.org/officeDocument/2006/relationships/hyperlink" Target="http://www3.nd.edu/~sobrien2/the_belgrade_minimum_rules_o.pdf" TargetMode="External"/><Relationship Id="rId109" Type="http://schemas.openxmlformats.org/officeDocument/2006/relationships/hyperlink" Target="http://mfa.gov.il/memorial/Perpetuated/Pages/Abba-Eban.aspx" TargetMode="External"/><Relationship Id="rId260" Type="http://schemas.openxmlformats.org/officeDocument/2006/relationships/hyperlink" Target="http://www.humanrightsvoices.org/assets/attachments/documents/UN_WATCH_REQUEST_TO_DISQUALIFY_WILLIAM_SCHABAS.pdf" TargetMode="External"/><Relationship Id="rId265" Type="http://schemas.openxmlformats.org/officeDocument/2006/relationships/hyperlink" Target="http://secure.unwatch.org/site/apps/nlnet/content2.aspx?c=bdKKISNqEmG&amp;b=1316871&amp;ct=7299449" TargetMode="External"/><Relationship Id="rId34" Type="http://schemas.openxmlformats.org/officeDocument/2006/relationships/hyperlink" Target="https://www.youtube.com/watch?v=ImXnhOT-52A" TargetMode="External"/><Relationship Id="rId50" Type="http://schemas.openxmlformats.org/officeDocument/2006/relationships/hyperlink" Target="https://www.icrc.org/applic/ihl/ihl.nsf/Comment.xsp?action=openDocument&amp;documentId=72239588AFA66200C1257F7D00367DBD" TargetMode="External"/><Relationship Id="rId55" Type="http://schemas.openxmlformats.org/officeDocument/2006/relationships/hyperlink" Target="http://www.un.org/en/ga/search/view_doc.asp?symbol=S/RES/780(1992)" TargetMode="External"/><Relationship Id="rId76" Type="http://schemas.openxmlformats.org/officeDocument/2006/relationships/hyperlink" Target="https://unispal.un.org/DPA/DPR/unispal.nsf/0/5E0A5C4A07784BC885256A0200645731" TargetMode="External"/><Relationship Id="rId97" Type="http://schemas.openxmlformats.org/officeDocument/2006/relationships/hyperlink" Target="http://www.turkel-committee.gov.il/files/wordocs//1989200211hebrew.pdf" TargetMode="External"/><Relationship Id="rId104" Type="http://schemas.openxmlformats.org/officeDocument/2006/relationships/hyperlink" Target="http://mfa.gov.il/ProtectiveEdge/Documents/2014GazaConflictFullReport.pdf" TargetMode="External"/><Relationship Id="rId120" Type="http://schemas.openxmlformats.org/officeDocument/2006/relationships/hyperlink" Target="http://www.britannica.com/event/Nurnberg-trials" TargetMode="External"/><Relationship Id="rId125" Type="http://schemas.openxmlformats.org/officeDocument/2006/relationships/hyperlink" Target="http://www.spj.org/ethicscode.asp" TargetMode="External"/><Relationship Id="rId141" Type="http://schemas.openxmlformats.org/officeDocument/2006/relationships/hyperlink" Target="http://www.unwcc.org/" TargetMode="External"/><Relationship Id="rId146" Type="http://schemas.openxmlformats.org/officeDocument/2006/relationships/hyperlink" Target="http://www.ynet.co.il/articles/0,7340,L-4117043,00.html" TargetMode="External"/><Relationship Id="rId167" Type="http://schemas.openxmlformats.org/officeDocument/2006/relationships/hyperlink" Target="https://www.washingtonpost.com/opinions/reconsidering-the-goldstone-report-on-israel-and-war-crimes/2011/04/01/AFg111JC_story.html" TargetMode="External"/><Relationship Id="rId188" Type="http://schemas.openxmlformats.org/officeDocument/2006/relationships/hyperlink" Target="http://www.theguardian.com/world/2002/apr/29/comment" TargetMode="External"/><Relationship Id="rId7" Type="http://schemas.openxmlformats.org/officeDocument/2006/relationships/endnotes" Target="endnotes.xml"/><Relationship Id="rId71" Type="http://schemas.openxmlformats.org/officeDocument/2006/relationships/hyperlink" Target="http://www.un.org/en/ga/search/view_doc.asp?symbol=A/RES/ES-10/10" TargetMode="External"/><Relationship Id="rId92" Type="http://schemas.openxmlformats.org/officeDocument/2006/relationships/hyperlink" Target="http://unesdoc.unesco.org/images/0011/001140/114029e.pdf" TargetMode="External"/><Relationship Id="rId162" Type="http://schemas.openxmlformats.org/officeDocument/2006/relationships/hyperlink" Target="http://www.jpost.com/Israel-News/Politics-And-Diplomacy/Exclusive-JPost-speaks-to-ICC-Prosecutor-Bensouda-about-Israels-fate-on-war-crimes-445806" TargetMode="External"/><Relationship Id="rId183" Type="http://schemas.openxmlformats.org/officeDocument/2006/relationships/hyperlink" Target="http://www.haaretz.com/israel-pays-10-5-million-dollars-for-damage-to-un-gaza-premises-1.261937" TargetMode="External"/><Relationship Id="rId213" Type="http://schemas.openxmlformats.org/officeDocument/2006/relationships/hyperlink" Target="http://www.ohchr.org/Documents/HRBodies/HRCouncil/CoIGaza/A_HRC_CRP_4.docx" TargetMode="External"/><Relationship Id="rId218" Type="http://schemas.openxmlformats.org/officeDocument/2006/relationships/hyperlink" Target="http://www.ohchr.org/Documents/HRBodies/HRCouncil/RegularSession/Session22/A-HRC-22-63_en.pdf" TargetMode="External"/><Relationship Id="rId234" Type="http://schemas.openxmlformats.org/officeDocument/2006/relationships/hyperlink" Target="http://www.un.org/press/en/2006/sgsm10788.doc.htm" TargetMode="External"/><Relationship Id="rId239" Type="http://schemas.openxmlformats.org/officeDocument/2006/relationships/hyperlink" Target="http://www.securitycouncilreport.org/atf/cf/%7B65BFCF9B-6D27-4E9C-8CD3-CF6E4FF96FF9%7D/Lebanon%20A%20HRC%203%202.pdf" TargetMode="External"/><Relationship Id="rId2" Type="http://schemas.openxmlformats.org/officeDocument/2006/relationships/numbering" Target="numbering.xml"/><Relationship Id="rId29" Type="http://schemas.openxmlformats.org/officeDocument/2006/relationships/hyperlink" Target="http://digitalcommons.law.yale.edu/cgi/viewcontent.cgi?article=2897&amp;context=fss_papers" TargetMode="External"/><Relationship Id="rId250" Type="http://schemas.openxmlformats.org/officeDocument/2006/relationships/hyperlink" Target="http://www.jinsa.org/files/2014GazaAssessmentReport.pdf" TargetMode="External"/><Relationship Id="rId255" Type="http://schemas.openxmlformats.org/officeDocument/2006/relationships/hyperlink" Target="file:///C:/Users/user/Downloads/Lund-London%20Guidelines%202015%20ENGLISH.pdf" TargetMode="External"/><Relationship Id="rId271" Type="http://schemas.openxmlformats.org/officeDocument/2006/relationships/header" Target="header3.xml"/><Relationship Id="rId24" Type="http://schemas.openxmlformats.org/officeDocument/2006/relationships/hyperlink" Target="http://muse.jhu.edu/article/429105/pdf" TargetMode="External"/><Relationship Id="rId40" Type="http://schemas.openxmlformats.org/officeDocument/2006/relationships/hyperlink" Target="https://lapa.princeton.edu/hosteddocs/unive_jur.pdf" TargetMode="External"/><Relationship Id="rId45" Type="http://schemas.openxmlformats.org/officeDocument/2006/relationships/hyperlink" Target="https://www.icrc.org/applic/ihl/ihl.nsf/Comment.xsp?documentId=59F6CDFA490736C1C1257F7D004BA0EC&amp;action=OpenDocument" TargetMode="External"/><Relationship Id="rId66" Type="http://schemas.openxmlformats.org/officeDocument/2006/relationships/hyperlink" Target="http://www.un.org/documents/ga/res/46/a46r059.htm" TargetMode="External"/><Relationship Id="rId87" Type="http://schemas.openxmlformats.org/officeDocument/2006/relationships/hyperlink" Target="http://www.refworld.org/docid/47baec5c2.html" TargetMode="External"/><Relationship Id="rId110" Type="http://schemas.openxmlformats.org/officeDocument/2006/relationships/hyperlink" Target="https://rafimann.wordpress.com/2014/12/17/%D7%9B%D7%9A-%D7%A0%D7%95%D7%9C%D7%93-%D7%94%D7%91%D7%99%D7%98%D7%95%D7%99-%D7%90%D7%95%D7%9D-%D7%A9%D7%9E%D7%95%D7%9D/" TargetMode="External"/><Relationship Id="rId115" Type="http://schemas.openxmlformats.org/officeDocument/2006/relationships/hyperlink" Target="https://www.icrc.org/ihl-nat.nsf/0/a986f1b231839183c1257641004f12ee/$FILE/German%20war%20trials_1921_EN.PDF" TargetMode="External"/><Relationship Id="rId131" Type="http://schemas.openxmlformats.org/officeDocument/2006/relationships/hyperlink" Target="http://peacemaker.un.org/peacemaking-mandate/secretary-general" TargetMode="External"/><Relationship Id="rId136" Type="http://schemas.openxmlformats.org/officeDocument/2006/relationships/hyperlink" Target="http://untso.unmissions.org/" TargetMode="External"/><Relationship Id="rId157" Type="http://schemas.openxmlformats.org/officeDocument/2006/relationships/hyperlink" Target="http://www.ynet.co.il/articles/0,7340,L-4051035,00.html" TargetMode="External"/><Relationship Id="rId178" Type="http://schemas.openxmlformats.org/officeDocument/2006/relationships/hyperlink" Target="http://mfa.gov.il/mfa" TargetMode="External"/><Relationship Id="rId61" Type="http://schemas.openxmlformats.org/officeDocument/2006/relationships/hyperlink" Target="http://www.un.org/en/ga/search/view_doc.asp?symbol=S/RES/1564(2004)" TargetMode="External"/><Relationship Id="rId82" Type="http://schemas.openxmlformats.org/officeDocument/2006/relationships/hyperlink" Target="https://documents-dds-ny.un.org/doc/UNDOC/GEN/G14/132/86/PDF/G1413286.pdf?OpenElement" TargetMode="External"/><Relationship Id="rId152" Type="http://schemas.openxmlformats.org/officeDocument/2006/relationships/hyperlink" Target="http://www.mako.co.il/news-military/israel/Article-89f59b4453c1f21004.htm" TargetMode="External"/><Relationship Id="rId173" Type="http://schemas.openxmlformats.org/officeDocument/2006/relationships/hyperlink" Target="http://www.timesofisrael.com/eu-official-who-negotiated-uns-gaza-resolution-married-to-un-inquiry-team-member/" TargetMode="External"/><Relationship Id="rId194" Type="http://schemas.openxmlformats.org/officeDocument/2006/relationships/hyperlink" Target="http://www.ohchr.org/Documents/Publications/CoI_Guidance_and_Practice.pdf" TargetMode="External"/><Relationship Id="rId199" Type="http://schemas.openxmlformats.org/officeDocument/2006/relationships/hyperlink" Target="http://unesdoc.unesco.org/images/0004/000418/041803eb.pdf" TargetMode="External"/><Relationship Id="rId203" Type="http://schemas.openxmlformats.org/officeDocument/2006/relationships/hyperlink" Target="http://www.securitycouncilreport.org/atf/cf/%7B65BFCF9B-6D27-4E9C-8CD3-CF6E4FF96FF9%7D/Guinea%20S%20PRST%202009%20556.pdf" TargetMode="External"/><Relationship Id="rId208" Type="http://schemas.openxmlformats.org/officeDocument/2006/relationships/hyperlink" Target="http://www.ohchr.org/EN/HRBodies/HRC/SpecialSessions/Session9/Pages/FactFindingMission.aspx" TargetMode="External"/><Relationship Id="rId229" Type="http://schemas.openxmlformats.org/officeDocument/2006/relationships/hyperlink" Target="http://www.un.org/press/en/type-document/press-release" TargetMode="External"/><Relationship Id="rId19" Type="http://schemas.openxmlformats.org/officeDocument/2006/relationships/hyperlink" Target="http://www.brookings.edu/research/opinions/2011/04/09-goldstone-piccone" TargetMode="External"/><Relationship Id="rId224" Type="http://schemas.openxmlformats.org/officeDocument/2006/relationships/hyperlink" Target="https://unispal.un.org/DPA/DPR/unispal.nsf/0/BC776349EAEE6F28852563E6005EDF08" TargetMode="External"/><Relationship Id="rId240" Type="http://schemas.openxmlformats.org/officeDocument/2006/relationships/hyperlink" Target="http://www2.ohchr.org/english/bodies/hrcouncil/docs/12session/A-HRC-12-48.pdf" TargetMode="External"/><Relationship Id="rId245" Type="http://schemas.openxmlformats.org/officeDocument/2006/relationships/hyperlink" Target="https://www.icc-cpi.int/en_menus/icc/press%20and%20media/press%20releases/Documents/OTP%20Preliminary%20Examinations/OTP%20-%20Policy%20Paper%20Preliminary%20Examinations%20%202013.pdf" TargetMode="External"/><Relationship Id="rId261" Type="http://schemas.openxmlformats.org/officeDocument/2006/relationships/hyperlink" Target="http://docslide.us/documents/un-watch-request-to-disqualify-prof-christine-chinkin-from-un-gaza-inquiry.html" TargetMode="External"/><Relationship Id="rId266" Type="http://schemas.openxmlformats.org/officeDocument/2006/relationships/hyperlink" Target="http://www.wlrk.com/" TargetMode="External"/><Relationship Id="rId14" Type="http://schemas.openxmlformats.org/officeDocument/2006/relationships/hyperlink" Target="https://www.colman.ac.il/sites/default/files/Lawfare_IHLIsrae_27.pdf" TargetMode="External"/><Relationship Id="rId30" Type="http://schemas.openxmlformats.org/officeDocument/2006/relationships/hyperlink" Target="http://www.rubincenter.org/2009/12/landes1-2009-12-01/" TargetMode="External"/><Relationship Id="rId35" Type="http://schemas.openxmlformats.org/officeDocument/2006/relationships/hyperlink" Target="https://ore.exeter.ac.uk/repository/bitstream/handle/10871/18671/Israeli%20Targeting%20Practices%20in%20Legal%20Pers.pdf?sequence=1" TargetMode="External"/><Relationship Id="rId56" Type="http://schemas.openxmlformats.org/officeDocument/2006/relationships/hyperlink" Target="http://www.un.org/en/ga/search/view_doc.asp?symbol=S/RES/827(1993)" TargetMode="External"/><Relationship Id="rId77" Type="http://schemas.openxmlformats.org/officeDocument/2006/relationships/hyperlink" Target="https://documents-dds-ny.un.org/doc/UNDOC/GEN/N05/502/66/PDF/N0550266.pdf?OpenElement" TargetMode="External"/><Relationship Id="rId100" Type="http://schemas.openxmlformats.org/officeDocument/2006/relationships/hyperlink" Target="http://mfa.gov.il/MFA_Graphics/MFA%20Gallery/Documents/GazaOperationInvestigationsUpdate.pdf" TargetMode="External"/><Relationship Id="rId105" Type="http://schemas.openxmlformats.org/officeDocument/2006/relationships/hyperlink" Target="http://www.mfa.gov.il/MFA_Graphics/MFA%20Gallery/Documents/GazaOperation%20w%20Links.pdf" TargetMode="External"/><Relationship Id="rId126" Type="http://schemas.openxmlformats.org/officeDocument/2006/relationships/hyperlink" Target="http://www.ihffc.org/index.asp?Language=EN&amp;page=statesparties_list&amp;listfilter=off" TargetMode="External"/><Relationship Id="rId147" Type="http://schemas.openxmlformats.org/officeDocument/2006/relationships/hyperlink" Target="http://www.haaretz.co.il/news/politics/1.2541531" TargetMode="External"/><Relationship Id="rId168" Type="http://schemas.openxmlformats.org/officeDocument/2006/relationships/hyperlink" Target="http://www.theguardian.com/commentisfree/2011/apr/14/goldstone-report-statement-un-gaza" TargetMode="External"/><Relationship Id="rId8" Type="http://schemas.openxmlformats.org/officeDocument/2006/relationships/image" Target="media/image1.png"/><Relationship Id="rId51" Type="http://schemas.openxmlformats.org/officeDocument/2006/relationships/hyperlink" Target="https://www.icrc.org/ihl/INTRO/470" TargetMode="External"/><Relationship Id="rId72" Type="http://schemas.openxmlformats.org/officeDocument/2006/relationships/hyperlink" Target="http://www.un.org/en/ga/search/view_doc.asp?symbol=A/RES/2443(XXIII)" TargetMode="External"/><Relationship Id="rId93" Type="http://schemas.openxmlformats.org/officeDocument/2006/relationships/hyperlink" Target="http://eur-lex.europa.eu/legal-content/EN/TXT/PDF/?uri=CELEX:32008D0901&amp;from=EN" TargetMode="External"/><Relationship Id="rId98" Type="http://schemas.openxmlformats.org/officeDocument/2006/relationships/hyperlink" Target="http://www.turkel-committee.gov.il/files/newDoc3/The%20Turkel%20Report%20for%20website%20-%20hebrew.pdf" TargetMode="External"/><Relationship Id="rId121" Type="http://schemas.openxmlformats.org/officeDocument/2006/relationships/hyperlink" Target="http://www.un.org/en/sc/repertoire/settlements.shtml" TargetMode="External"/><Relationship Id="rId142" Type="http://schemas.openxmlformats.org/officeDocument/2006/relationships/hyperlink" Target="http://www.ynet.co.il/articles/0,7340,L-4615848,00.html" TargetMode="External"/><Relationship Id="rId163" Type="http://schemas.openxmlformats.org/officeDocument/2006/relationships/hyperlink" Target="http://www.juancole.com/2009/01/this-letter-of-attorneys-and-academics.html" TargetMode="External"/><Relationship Id="rId184" Type="http://schemas.openxmlformats.org/officeDocument/2006/relationships/hyperlink" Target="http://www.haaretz.com/news/ben-eliezer-peres-to-annan-israel-unhappy-with-jenin-delegation-1.47169" TargetMode="External"/><Relationship Id="rId189" Type="http://schemas.openxmlformats.org/officeDocument/2006/relationships/hyperlink" Target="http://www.globalsecurity.org/military/world/iraq/un-hq-baghdad-bombing.htm" TargetMode="External"/><Relationship Id="rId219" Type="http://schemas.openxmlformats.org/officeDocument/2006/relationships/hyperlink" Target="http://www2.ohchr.org/english/bodies/hrcouncil/docs/15session/A.HRC.15.21_en.pdf" TargetMode="External"/><Relationship Id="rId3" Type="http://schemas.openxmlformats.org/officeDocument/2006/relationships/styles" Target="styles.xml"/><Relationship Id="rId214" Type="http://schemas.openxmlformats.org/officeDocument/2006/relationships/hyperlink" Target="http://unesdoc.unesco.org/images/0002/000223/022312eb.pdf" TargetMode="External"/><Relationship Id="rId230" Type="http://schemas.openxmlformats.org/officeDocument/2006/relationships/hyperlink" Target="http://www.un.org/press/en/2002/sgsm8220.doc.htm" TargetMode="External"/><Relationship Id="rId235" Type="http://schemas.openxmlformats.org/officeDocument/2006/relationships/hyperlink" Target="http://www.un.org/press/en/un-bodies/secretary-general" TargetMode="External"/><Relationship Id="rId251" Type="http://schemas.openxmlformats.org/officeDocument/2006/relationships/hyperlink" Target="http://www.high-level-military-group.org/pdf/hlmg-assessment-2014-gaza-conflict.pdf" TargetMode="External"/><Relationship Id="rId256" Type="http://schemas.openxmlformats.org/officeDocument/2006/relationships/hyperlink" Target="http://www.ngo-monitor.org.il/data/images/File/The_Goldstone_Report_Reconsidered.pdf" TargetMode="External"/><Relationship Id="rId25" Type="http://schemas.openxmlformats.org/officeDocument/2006/relationships/hyperlink" Target="https://dash.harvard.edu/bitstream/handle/1/3593975/DershowitzGoldstone.pdf?sequence=2" TargetMode="External"/><Relationship Id="rId46" Type="http://schemas.openxmlformats.org/officeDocument/2006/relationships/hyperlink" Target="http://avalon.law.yale.edu/19th_century/hague01.asp" TargetMode="External"/><Relationship Id="rId67" Type="http://schemas.openxmlformats.org/officeDocument/2006/relationships/hyperlink" Target="http://www.un.org/en/ga/search/view_doc.asp?symbol=A/RES/46/86" TargetMode="External"/><Relationship Id="rId116" Type="http://schemas.openxmlformats.org/officeDocument/2006/relationships/hyperlink" Target="https://www.icrc.org/customary-ihl/eng/docs/v2_cou_il" TargetMode="External"/><Relationship Id="rId137" Type="http://schemas.openxmlformats.org/officeDocument/2006/relationships/hyperlink" Target="https://www.ecchr.eu/en/home.html" TargetMode="External"/><Relationship Id="rId158" Type="http://schemas.openxmlformats.org/officeDocument/2006/relationships/hyperlink" Target="http://www.globes.co.il/news/article.aspx?did=1000971868" TargetMode="External"/><Relationship Id="rId272" Type="http://schemas.openxmlformats.org/officeDocument/2006/relationships/footer" Target="footer3.xml"/><Relationship Id="rId20" Type="http://schemas.openxmlformats.org/officeDocument/2006/relationships/hyperlink" Target="https://law.wustl.edu/harris/documents/p_35_Bassiouni.pdf" TargetMode="External"/><Relationship Id="rId41" Type="http://schemas.openxmlformats.org/officeDocument/2006/relationships/hyperlink" Target="http://www.un.org/en/sections/un-charter/un-charter-full-text/index.html" TargetMode="External"/><Relationship Id="rId62" Type="http://schemas.openxmlformats.org/officeDocument/2006/relationships/hyperlink" Target="http://www.un.org/en/ga/search/view_doc.asp?symbol=S/RES/1593(2005)" TargetMode="External"/><Relationship Id="rId83" Type="http://schemas.openxmlformats.org/officeDocument/2006/relationships/hyperlink" Target="http://www.lcil.cam.ac.uk/sites/default/files/LCIL/documents/arabspring/syria/Syria_5_Resolution_Human_Rights_Council.pdf" TargetMode="External"/><Relationship Id="rId88" Type="http://schemas.openxmlformats.org/officeDocument/2006/relationships/hyperlink" Target="https://unispal.un.org/DPA/DPR/unispal.nsf/0/404E93E166533F828525754E00559E30" TargetMode="External"/><Relationship Id="rId111" Type="http://schemas.openxmlformats.org/officeDocument/2006/relationships/hyperlink" Target="http://www.export.gov.il/UploadFiles/03_2016/ExportMegamotMarch16.pdf?redirect=no" TargetMode="External"/><Relationship Id="rId132" Type="http://schemas.openxmlformats.org/officeDocument/2006/relationships/hyperlink" Target="http://www.un.org/en/peacekeeping/missions/undof/" TargetMode="External"/><Relationship Id="rId153" Type="http://schemas.openxmlformats.org/officeDocument/2006/relationships/hyperlink" Target="http://www.haaretz.co.il/news/politics/1.2647412" TargetMode="External"/><Relationship Id="rId174" Type="http://schemas.openxmlformats.org/officeDocument/2006/relationships/hyperlink" Target="http://www.thetower.org/article/why-the-schabas-report-will-be-every-bit-as-biased-as-the-goldstone-report/" TargetMode="External"/><Relationship Id="rId179" Type="http://schemas.openxmlformats.org/officeDocument/2006/relationships/hyperlink" Target="http://mfa.gov.il/MFA/PressRoom/2016/Pages/PM-Netanyahu-addresses-the-foreign-press-in-Israel-14-Jan-2016.aspx" TargetMode="External"/><Relationship Id="rId195" Type="http://schemas.openxmlformats.org/officeDocument/2006/relationships/hyperlink" Target="https://documents-dds-ny.un.org/doc/UNDOC/GEN/G10/166/19/PDF/G1016619.pdf?OpenElement" TargetMode="External"/><Relationship Id="rId209" Type="http://schemas.openxmlformats.org/officeDocument/2006/relationships/hyperlink" Target="https://documents-dds-ny.un.org/doc/UNDOC/GEN/G01/118/72/PDF/G0111872.pdf?OpenElement" TargetMode="External"/><Relationship Id="rId190" Type="http://schemas.openxmlformats.org/officeDocument/2006/relationships/hyperlink" Target="http://www.jpost.com/Israel/Dershowitz-Goldstone-follow-up-commission-head-a-bigot" TargetMode="External"/><Relationship Id="rId204" Type="http://schemas.openxmlformats.org/officeDocument/2006/relationships/hyperlink" Target="http://www.un.org/en/ga/search/view_doc.asp?symbol=S/2015/286" TargetMode="External"/><Relationship Id="rId220" Type="http://schemas.openxmlformats.org/officeDocument/2006/relationships/hyperlink" Target="https://www.google.co.il/url?sa=t&amp;rct=j&amp;q=&amp;esrc=s&amp;source=web&amp;cd=2&amp;ved=0ahUKEwjsw_OeyLvMAhWCzRoKHWfLCKoQFggkMAE&amp;url=http%3A%2F%2Fwww.ohchr.org%2FEN%2FHRBodies%2FHRC%2FRegularSessions%2FSession30%2FDocuments%2FA_HRC_30_CRP_2.docx&amp;usg=AFQjCNGyAOwsU041lkgIn1kgE4sW1KkjhQ&amp;sig2=O5N0Md2bjIoOma5bIuQ5Dg" TargetMode="External"/><Relationship Id="rId225" Type="http://schemas.openxmlformats.org/officeDocument/2006/relationships/hyperlink" Target="https://unispal.un.org/DPA/DPR/unispal.nsf/0/157049457C05A2BC85256EE700666AF2" TargetMode="External"/><Relationship Id="rId241" Type="http://schemas.openxmlformats.org/officeDocument/2006/relationships/hyperlink" Target="https://unispal.un.org/DPA/DPR/UNISPAL.NSF/fd807e46661e3689852570d00069e918/73d6eb7043cc08c785257305005049de?OpenDocument" TargetMode="External"/><Relationship Id="rId246" Type="http://schemas.openxmlformats.org/officeDocument/2006/relationships/hyperlink" Target="https://www.icc-cpi.int/en_menus/icc/structure%20of%20the%20court/office%20of%20the%20prosecutor/comm%20and%20ref/pe-ongoing/afghanistan/Pages/afghanistan.aspx" TargetMode="External"/><Relationship Id="rId267" Type="http://schemas.openxmlformats.org/officeDocument/2006/relationships/header" Target="header1.xml"/><Relationship Id="rId15" Type="http://schemas.openxmlformats.org/officeDocument/2006/relationships/hyperlink" Target="http://www.inss.org.il/uploadImages/systemFiles/695%20Pnina%20and%20Keren.pdf" TargetMode="External"/><Relationship Id="rId36" Type="http://schemas.openxmlformats.org/officeDocument/2006/relationships/hyperlink" Target="http://www3.nd.edu/~sobrien2/franck_procedural_fairness_t.pdf" TargetMode="External"/><Relationship Id="rId57" Type="http://schemas.openxmlformats.org/officeDocument/2006/relationships/hyperlink" Target="http://www.un.org/en/ga/search/view_doc.asp?symbol=S/RES/935(1994)" TargetMode="External"/><Relationship Id="rId106" Type="http://schemas.openxmlformats.org/officeDocument/2006/relationships/hyperlink" Target="https://www6.centcom.mil/foia_rr/FOIA_RR.asp?Path=/5%20USC%20552(a)(2)(D)Records&amp;Folder=1.%20Airstrike%20on%20the%20MSF%20Trauma%20Center%20in%20Kunduz%20Afghanistan%20-%203%20Oct%202015" TargetMode="External"/><Relationship Id="rId127" Type="http://schemas.openxmlformats.org/officeDocument/2006/relationships/hyperlink" Target="http://www.tiph.org/" TargetMode="External"/><Relationship Id="rId262" Type="http://schemas.openxmlformats.org/officeDocument/2006/relationships/hyperlink" Target="file:///C:/Users/user/Downloads/MDE2116432015ENGLISH.PDF" TargetMode="External"/><Relationship Id="rId10" Type="http://schemas.openxmlformats.org/officeDocument/2006/relationships/hyperlink" Target="http://www.mako.co.il/Tagit/%D7%90%D7%94%D7%95%D7%93%20%D7%91%D7%A8%D7%A7?partner=gtags" TargetMode="External"/><Relationship Id="rId31" Type="http://schemas.openxmlformats.org/officeDocument/2006/relationships/hyperlink" Target="http://jcpa.org/researcher/n/" TargetMode="External"/><Relationship Id="rId52" Type="http://schemas.openxmlformats.org/officeDocument/2006/relationships/hyperlink" Target="https://www.icrc.org/applic/ihl/ihl.nsf/Treaty.xsp?action=openDocument&amp;documentId=D9E6B6264D7723C3C12563CD002D6CE4" TargetMode="External"/><Relationship Id="rId73" Type="http://schemas.openxmlformats.org/officeDocument/2006/relationships/hyperlink" Target="http://www.un.org/en/ga/search/view_doc.asp?symbol=A/RES/2546(XXIV)" TargetMode="External"/><Relationship Id="rId78" Type="http://schemas.openxmlformats.org/officeDocument/2006/relationships/hyperlink" Target="http://ap.ohchr.org/documents/E/HRC/resolutions/A_HRC_RES_5_1.doc" TargetMode="External"/><Relationship Id="rId94" Type="http://schemas.openxmlformats.org/officeDocument/2006/relationships/hyperlink" Target="http://eeas.europa.eu/delegations/israel/documents/related-links/20151111_interpretative_notice_indication_of_origin_en.pdf" TargetMode="External"/><Relationship Id="rId99" Type="http://schemas.openxmlformats.org/officeDocument/2006/relationships/hyperlink" Target="http://www.pmo.gov.il/Secretary/GovDecisions/2010/Pages/des1796.aspx" TargetMode="External"/><Relationship Id="rId101" Type="http://schemas.openxmlformats.org/officeDocument/2006/relationships/hyperlink" Target="http://www.mfa.gov.il/MFA_Graphics/MFA%20Gallery/Documents/GazaUpdateJuly2010.pdf" TargetMode="External"/><Relationship Id="rId122" Type="http://schemas.openxmlformats.org/officeDocument/2006/relationships/hyperlink" Target="http://law.unimelb.edu.au/about/staff/tim-mccormack" TargetMode="External"/><Relationship Id="rId143" Type="http://schemas.openxmlformats.org/officeDocument/2006/relationships/hyperlink" Target="http://www.nrg.co.il/online/1/ART2/607/060.html" TargetMode="External"/><Relationship Id="rId148" Type="http://schemas.openxmlformats.org/officeDocument/2006/relationships/hyperlink" Target="http://www.ynet.co.il/articles/0,7340,L-4051559,00.html" TargetMode="External"/><Relationship Id="rId164" Type="http://schemas.openxmlformats.org/officeDocument/2006/relationships/hyperlink" Target="http://www.nytimes.com/1989/12/27/world/tutu-urges-israelis-to-pray-for-and-forgive-nazis.html" TargetMode="External"/><Relationship Id="rId169" Type="http://schemas.openxmlformats.org/officeDocument/2006/relationships/hyperlink" Target="http://list2.mcgill.ca/scripts/wa.exe?A2=ind0410a&amp;L=fofognet&amp;T=0&amp;F=&amp;S=&amp;P=4988" TargetMode="External"/><Relationship Id="rId185" Type="http://schemas.openxmlformats.org/officeDocument/2006/relationships/hyperlink" Target="http://www.theguardian.com/world/2012/jun/26/israel-palestinian-children-injustice" TargetMode="External"/><Relationship Id="rId4" Type="http://schemas.openxmlformats.org/officeDocument/2006/relationships/settings" Target="settings.xml"/><Relationship Id="rId9" Type="http://schemas.openxmlformats.org/officeDocument/2006/relationships/hyperlink" Target="http://www2.ohchr.org/english/bodies/hrcouncil/specialsession/9/docs/UNFFMGC_Report.PDF" TargetMode="External"/><Relationship Id="rId180" Type="http://schemas.openxmlformats.org/officeDocument/2006/relationships/hyperlink" Target="http://content.time.com/time/magazine/article/0,9171,1002406,00.html" TargetMode="External"/><Relationship Id="rId210" Type="http://schemas.openxmlformats.org/officeDocument/2006/relationships/hyperlink" Target="http://unesdoc.unesco.org/images/0001/000104/010428eb.pdf" TargetMode="External"/><Relationship Id="rId215" Type="http://schemas.openxmlformats.org/officeDocument/2006/relationships/hyperlink" Target="https://documents-dds-ny.un.org/doc/UNDOC/GEN/G00/159/46/PDF/G0015946.pdf?OpenElement" TargetMode="External"/><Relationship Id="rId236" Type="http://schemas.openxmlformats.org/officeDocument/2006/relationships/hyperlink" Target="http://www.un.org/press/en/type-document/press-release" TargetMode="External"/><Relationship Id="rId257" Type="http://schemas.openxmlformats.org/officeDocument/2006/relationships/hyperlink" Target="http://www.ingoaccountabilitycharter.org/wpcms/wp-content/uploads/INGO_CHARTER_web.pdf" TargetMode="External"/><Relationship Id="rId26" Type="http://schemas.openxmlformats.org/officeDocument/2006/relationships/hyperlink" Target="http://opiniojuris.org/2014/07/30/guest-post-israels-use-law-warnings-gaza/" TargetMode="External"/><Relationship Id="rId231" Type="http://schemas.openxmlformats.org/officeDocument/2006/relationships/hyperlink" Target="http://www.un.org/press/en/1999/19990920.sgsm7136.html" TargetMode="External"/><Relationship Id="rId252" Type="http://schemas.openxmlformats.org/officeDocument/2006/relationships/hyperlink" Target="https://www.amnesty.org/download/Documents/MDE150322014ENGLISH.PDF" TargetMode="External"/><Relationship Id="rId273" Type="http://schemas.openxmlformats.org/officeDocument/2006/relationships/fontTable" Target="fontTable.xml"/><Relationship Id="rId47" Type="http://schemas.openxmlformats.org/officeDocument/2006/relationships/hyperlink" Target="http://avalon.law.yale.edu/20th_century/pacific.asp" TargetMode="External"/><Relationship Id="rId68" Type="http://schemas.openxmlformats.org/officeDocument/2006/relationships/hyperlink" Target="http://www.un.org/en/ga/search/view_doc.asp?symbol=A/RES/3379(XXX)" TargetMode="External"/><Relationship Id="rId89" Type="http://schemas.openxmlformats.org/officeDocument/2006/relationships/hyperlink" Target="http://unesdoc.unesco.org/images/0011/001140/114044E.pdf" TargetMode="External"/><Relationship Id="rId112" Type="http://schemas.openxmlformats.org/officeDocument/2006/relationships/hyperlink" Target="https://www.law.upenn.edu/live/files/3812-watkin-short" TargetMode="External"/><Relationship Id="rId133" Type="http://schemas.openxmlformats.org/officeDocument/2006/relationships/hyperlink" Target="http://www.un.org/en/peacekeeping/missions/unifil/" TargetMode="External"/><Relationship Id="rId154" Type="http://schemas.openxmlformats.org/officeDocument/2006/relationships/hyperlink" Target="http://www.haaretz.co.il/news/politics/.premium-1.2680076" TargetMode="External"/><Relationship Id="rId175" Type="http://schemas.openxmlformats.org/officeDocument/2006/relationships/hyperlink" Target="http://www.freerepublic.com/focus/f-news/1237295/posts" TargetMode="External"/><Relationship Id="rId196" Type="http://schemas.openxmlformats.org/officeDocument/2006/relationships/hyperlink" Target="http://www.un.org/en/ga/search/view_doc.asp?symbol=A/RES/64/10" TargetMode="External"/><Relationship Id="rId200" Type="http://schemas.openxmlformats.org/officeDocument/2006/relationships/hyperlink" Target="http://www.un.org/en/ga/search/view_doc.asp?symbol=A/59/2005" TargetMode="External"/><Relationship Id="rId16" Type="http://schemas.openxmlformats.org/officeDocument/2006/relationships/hyperlink" Target="http://www.inss.org.il/uploadImages/systemFiles/D.%20Shraga.pdf" TargetMode="External"/><Relationship Id="rId221" Type="http://schemas.openxmlformats.org/officeDocument/2006/relationships/hyperlink" Target="http://www.ohchr.org/Documents/HRBodies/HRCouncil/RegularSession/Session20/A.HRC.20.13_AUV.pdf" TargetMode="External"/><Relationship Id="rId242" Type="http://schemas.openxmlformats.org/officeDocument/2006/relationships/hyperlink" Target="https://documents-dds-ny.un.org/doc/UNDOC/GEN/G08/153/11/PDF/G0815311.pdf?OpenElement" TargetMode="External"/><Relationship Id="rId263" Type="http://schemas.openxmlformats.org/officeDocument/2006/relationships/hyperlink" Target="http://www.unwatch.org/un-to-adopt-20-resolutions-against-israel-3-on-rest-of-the-world/" TargetMode="External"/><Relationship Id="rId37" Type="http://schemas.openxmlformats.org/officeDocument/2006/relationships/hyperlink" Target="http://www.ajcarchives.org/AJC_DATA/Files/1988_3_SpecialArticles.pdf" TargetMode="External"/><Relationship Id="rId58" Type="http://schemas.openxmlformats.org/officeDocument/2006/relationships/hyperlink" Target="http://www.un.org/ga/search/view_doc.asp?symbol=S/RES/955(1994)" TargetMode="External"/><Relationship Id="rId79" Type="http://schemas.openxmlformats.org/officeDocument/2006/relationships/hyperlink" Target="https://documents-dds-ny.un.org/doc/RESOLUTION/GEN/G12/130/13/PDF/G1213013.pdf?OpenElement" TargetMode="External"/><Relationship Id="rId102" Type="http://schemas.openxmlformats.org/officeDocument/2006/relationships/hyperlink" Target="http://mfa.gov.il/mfa/internatlorgs/speeches/pages/amb_leshno_yaar_un_human_rights_council_29-sep-2009.aspx" TargetMode="External"/><Relationship Id="rId123" Type="http://schemas.openxmlformats.org/officeDocument/2006/relationships/hyperlink" Target="http://www.ihffc.org/index.asp?page=rules_of_commission" TargetMode="External"/><Relationship Id="rId144" Type="http://schemas.openxmlformats.org/officeDocument/2006/relationships/hyperlink" Target="http://www.ynet.co.il/articles/0,7340,L-4555013,00.html" TargetMode="External"/><Relationship Id="rId90" Type="http://schemas.openxmlformats.org/officeDocument/2006/relationships/hyperlink" Target="http://unesdoc.unesco.org/images/0011/001140/114040E.pdf" TargetMode="External"/><Relationship Id="rId165" Type="http://schemas.openxmlformats.org/officeDocument/2006/relationships/hyperlink" Target="http://www.nytimes.com/2016/04/01/world/africa/un-peacekeeping-hit-by-new-allegations-of-sickening-sex-abuse.html?_r=1" TargetMode="External"/><Relationship Id="rId186" Type="http://schemas.openxmlformats.org/officeDocument/2006/relationships/hyperlink" Target="http://edition.cnn.com/profiles/barbara-starr-profile" TargetMode="External"/><Relationship Id="rId211" Type="http://schemas.openxmlformats.org/officeDocument/2006/relationships/hyperlink" Target="http://www2.ohchr.org/english/bodies/hrcouncil/docs/16session/A.HRC.16.24_AUV.pdf" TargetMode="External"/><Relationship Id="rId232" Type="http://schemas.openxmlformats.org/officeDocument/2006/relationships/hyperlink" Target="http://www.un.org/press/en/un-bodies/secretary-general" TargetMode="External"/><Relationship Id="rId253" Type="http://schemas.openxmlformats.org/officeDocument/2006/relationships/hyperlink" Target="http://www.ngo-monitor.org/nm/wp-content/uploads/2015/06/2014_Gaza_Conflict.pdf" TargetMode="External"/><Relationship Id="rId274" Type="http://schemas.openxmlformats.org/officeDocument/2006/relationships/theme" Target="theme/theme1.xml"/><Relationship Id="rId27" Type="http://schemas.openxmlformats.org/officeDocument/2006/relationships/hyperlink" Target="http://jcpa.org/article/new-revelations-about-the-un-goldstone-report-that-seriously-undermine-its-credibility/" TargetMode="External"/><Relationship Id="rId48" Type="http://schemas.openxmlformats.org/officeDocument/2006/relationships/hyperlink" Target="http://www.clusterconvention.org/files/2011/01/Convention-ENG.pdf" TargetMode="External"/><Relationship Id="rId69" Type="http://schemas.openxmlformats.org/officeDocument/2006/relationships/hyperlink" Target="http://www.un.org/en/ga/search/view_doc.asp?symbol=A/RES/3379(XXX)" TargetMode="External"/><Relationship Id="rId113" Type="http://schemas.openxmlformats.org/officeDocument/2006/relationships/hyperlink" Target="http://www.childreninmilitarycustody.org.uk/wp-content/uploads/2012/03/Children_in_Military_Custody_Full_Report.pdf" TargetMode="External"/><Relationship Id="rId134" Type="http://schemas.openxmlformats.org/officeDocument/2006/relationships/hyperlink" Target="http://www.ochaopt.org/index.aspx" TargetMode="External"/><Relationship Id="rId80" Type="http://schemas.openxmlformats.org/officeDocument/2006/relationships/hyperlink" Target="http://www2.ohchr.org/english/bodies/hrcouncil/docs/15session/HRC-S-15-1_AUV.pdf" TargetMode="External"/><Relationship Id="rId155" Type="http://schemas.openxmlformats.org/officeDocument/2006/relationships/hyperlink" Target="http://www.haaretz.co.il/.premium-1.1974166" TargetMode="External"/><Relationship Id="rId176" Type="http://schemas.openxmlformats.org/officeDocument/2006/relationships/hyperlink" Target="http://www.freerepublic.com/focus/f-news/1237295/posts" TargetMode="External"/><Relationship Id="rId197" Type="http://schemas.openxmlformats.org/officeDocument/2006/relationships/hyperlink" Target="https://documents-dds-ny.un.org/doc/UNDOC/GEN/G10/128/38/PDF/G1012838.pdf?OpenElement" TargetMode="External"/><Relationship Id="rId201" Type="http://schemas.openxmlformats.org/officeDocument/2006/relationships/hyperlink" Target="http://www.un.org/ga/search/view_doc.asp?symbol=S/1996/337" TargetMode="External"/><Relationship Id="rId222" Type="http://schemas.openxmlformats.org/officeDocument/2006/relationships/hyperlink" Target="https://web.archive.org/web/20080911045522/http://www.un.org/peace/jenin/index.html" TargetMode="External"/><Relationship Id="rId243" Type="http://schemas.openxmlformats.org/officeDocument/2006/relationships/hyperlink" Target="http://www.icty.org/en/press/final-report-prosecutor-committee-established-review-nato-bombing-campaign-against-federal" TargetMode="External"/><Relationship Id="rId264" Type="http://schemas.openxmlformats.org/officeDocument/2006/relationships/hyperlink" Target="file:///C:/Users/user/Downloads/MDE2111782015ENGLISH.PDF" TargetMode="External"/><Relationship Id="rId17" Type="http://schemas.openxmlformats.org/officeDocument/2006/relationships/hyperlink" Target="https://www.fichl.org/fileadmin/fichl/documents/FICHL_Policy_Brief_Series/150519_PBS_No._38__2015___Aksenova__Bergsmo_.pdf" TargetMode="External"/><Relationship Id="rId38" Type="http://schemas.openxmlformats.org/officeDocument/2006/relationships/hyperlink" Target="file:///C:/Users/user/Downloads/Lund-London%20Guidelines%20development.pdf" TargetMode="External"/><Relationship Id="rId59" Type="http://schemas.openxmlformats.org/officeDocument/2006/relationships/hyperlink" Target="http://www.un.org/en/ga/search/view_doc.asp?symbol=S/RES/1012(1995)" TargetMode="External"/><Relationship Id="rId103" Type="http://schemas.openxmlformats.org/officeDocument/2006/relationships/hyperlink" Target="http://mfa.gov.il/ProtectiveEdge/Documents/2014GazaConflictFullReport.pdf" TargetMode="External"/><Relationship Id="rId124" Type="http://schemas.openxmlformats.org/officeDocument/2006/relationships/hyperlink" Target="http://www.spj.org/" TargetMode="External"/><Relationship Id="rId70" Type="http://schemas.openxmlformats.org/officeDocument/2006/relationships/hyperlink" Target="http://www.un.org/en/ga/search/view_doc.asp?symbol=A/RES/60/7" TargetMode="External"/><Relationship Id="rId91" Type="http://schemas.openxmlformats.org/officeDocument/2006/relationships/hyperlink" Target="http://unesdoc.unesco.org/images/0011/001140/114032e.pdf" TargetMode="External"/><Relationship Id="rId145" Type="http://schemas.openxmlformats.org/officeDocument/2006/relationships/hyperlink" Target="http://www.globes.co.il/news/article.aspx?did=1000857561" TargetMode="External"/><Relationship Id="rId166" Type="http://schemas.openxmlformats.org/officeDocument/2006/relationships/hyperlink" Target="http://www.nytimes.com/2011/11/01/opinion/israel-and-the-apartheid-slander.html?_r=0" TargetMode="External"/><Relationship Id="rId187" Type="http://schemas.openxmlformats.org/officeDocument/2006/relationships/hyperlink" Target="http://edition.cnn.com/2016/04/26/politics/u-s-uses-israeli-tactic-isis-bombing/" TargetMode="External"/><Relationship Id="rId1" Type="http://schemas.openxmlformats.org/officeDocument/2006/relationships/customXml" Target="../customXml/item1.xml"/><Relationship Id="rId212" Type="http://schemas.openxmlformats.org/officeDocument/2006/relationships/hyperlink" Target="https://documents-dds-ny.un.org/doc/UNDOC/GEN/G10/162/25/PDF/G1016225.pdf?OpenElement" TargetMode="External"/><Relationship Id="rId233" Type="http://schemas.openxmlformats.org/officeDocument/2006/relationships/hyperlink" Target="http://www.un.org/press/en/type-document/press-release" TargetMode="External"/><Relationship Id="rId254" Type="http://schemas.openxmlformats.org/officeDocument/2006/relationships/hyperlink" Target="http://iccforum.com/media/background/gaza/2010-10-21-UN_Watch-Rpt_on_Tomuschat_Impartiality.pdf" TargetMode="External"/><Relationship Id="rId28" Type="http://schemas.openxmlformats.org/officeDocument/2006/relationships/hyperlink" Target="http://digitalcommons.law.scu.edu/lawreview/vol12/iss2/7" TargetMode="External"/><Relationship Id="rId49" Type="http://schemas.openxmlformats.org/officeDocument/2006/relationships/hyperlink" Target="http://eeas.europa.eu/delegations/israel/documents/eu_israel/asso_agree_en.pdf" TargetMode="External"/><Relationship Id="rId114" Type="http://schemas.openxmlformats.org/officeDocument/2006/relationships/hyperlink" Target="http://www.military.ie/air-corps/fleet/"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www.freerepublic.com/focus/f-news/1237295/posts" TargetMode="External"/><Relationship Id="rId13" Type="http://schemas.openxmlformats.org/officeDocument/2006/relationships/hyperlink" Target="http://www.tiph.org/" TargetMode="External"/><Relationship Id="rId18" Type="http://schemas.openxmlformats.org/officeDocument/2006/relationships/hyperlink" Target="http://edition.cnn.com/profiles/barbara-starr-profile" TargetMode="External"/><Relationship Id="rId26" Type="http://schemas.openxmlformats.org/officeDocument/2006/relationships/hyperlink" Target="http://mfa.gov.il/mfa" TargetMode="External"/><Relationship Id="rId3" Type="http://schemas.openxmlformats.org/officeDocument/2006/relationships/hyperlink" Target="http://www.russelltribunalonpalestine.com/en/" TargetMode="External"/><Relationship Id="rId21" Type="http://schemas.openxmlformats.org/officeDocument/2006/relationships/hyperlink" Target="http://jcpa.org/researcher/n/" TargetMode="External"/><Relationship Id="rId34" Type="http://schemas.openxmlformats.org/officeDocument/2006/relationships/hyperlink" Target="http://www.un.org/press/en/type-document/press-release" TargetMode="External"/><Relationship Id="rId7" Type="http://schemas.openxmlformats.org/officeDocument/2006/relationships/hyperlink" Target="http://www.freerepublic.com/focus/f-news/1237295/posts" TargetMode="External"/><Relationship Id="rId12" Type="http://schemas.openxmlformats.org/officeDocument/2006/relationships/hyperlink" Target="http://muse.jhu.edu/journals/85" TargetMode="External"/><Relationship Id="rId17" Type="http://schemas.openxmlformats.org/officeDocument/2006/relationships/hyperlink" Target="https://www.icrc.org/applic/ihl/ihl.nsf/Comment.xsp?documentId=7125D4CBD57A70DDC12563CD0042F793&amp;action=OpenDocument" TargetMode="External"/><Relationship Id="rId25" Type="http://schemas.openxmlformats.org/officeDocument/2006/relationships/hyperlink" Target="http://www.un.org/press/en/type-document/press-release" TargetMode="External"/><Relationship Id="rId33" Type="http://schemas.openxmlformats.org/officeDocument/2006/relationships/hyperlink" Target="http://www.un.org/press/en/un-bodies/secretary-general" TargetMode="External"/><Relationship Id="rId2" Type="http://schemas.openxmlformats.org/officeDocument/2006/relationships/hyperlink" Target="http://www.brookings.edu/experts/picconet" TargetMode="External"/><Relationship Id="rId16" Type="http://schemas.openxmlformats.org/officeDocument/2006/relationships/hyperlink" Target="https://www.icrc.org/applic/ihl/ihl.nsf/Treaty.xsp?action=openDocument&amp;documentId=D9E6B6264D7723C3C12563CD002D6CE4" TargetMode="External"/><Relationship Id="rId20" Type="http://schemas.openxmlformats.org/officeDocument/2006/relationships/hyperlink" Target="http://www.jpost.com/Author/Yonah-Jeremy-Bob" TargetMode="External"/><Relationship Id="rId29" Type="http://schemas.openxmlformats.org/officeDocument/2006/relationships/hyperlink" Target="http://www.timesofisrael.com/" TargetMode="External"/><Relationship Id="rId1" Type="http://schemas.openxmlformats.org/officeDocument/2006/relationships/hyperlink" Target="http://www.un.org/en/ga/search/view_doc.asp?symbol=A/RES/3379(XXX)" TargetMode="External"/><Relationship Id="rId6" Type="http://schemas.openxmlformats.org/officeDocument/2006/relationships/hyperlink" Target="http://list2.mcgill.ca/scripts/wa.exe?A2=ind0410a&amp;L=fofognet&amp;T=0&amp;F=&amp;S=&amp;P=4988" TargetMode="External"/><Relationship Id="rId11" Type="http://schemas.openxmlformats.org/officeDocument/2006/relationships/hyperlink" Target="http://muse.jhu.edu/article/429105" TargetMode="External"/><Relationship Id="rId24" Type="http://schemas.openxmlformats.org/officeDocument/2006/relationships/hyperlink" Target="http://www.un.org/press/en/un-bodies/secretary-general" TargetMode="External"/><Relationship Id="rId32" Type="http://schemas.openxmlformats.org/officeDocument/2006/relationships/hyperlink" Target="https://unispal.un.org/DPA/DPR/unispal.nsf/0/157049457C05A2BC85256EE700666AF2" TargetMode="External"/><Relationship Id="rId5" Type="http://schemas.openxmlformats.org/officeDocument/2006/relationships/hyperlink" Target="http://legacy.sandiegouniontribune.com/news/world/20041005-1516-israel-un.html" TargetMode="External"/><Relationship Id="rId15" Type="http://schemas.openxmlformats.org/officeDocument/2006/relationships/hyperlink" Target="https://www.icrc.org/applic/ihl/ihl.nsf/Treaty.xsp?action=openDocument&amp;documentId=4825657B0C7E6BF0C12563CD002D6B0B" TargetMode="External"/><Relationship Id="rId23" Type="http://schemas.openxmlformats.org/officeDocument/2006/relationships/hyperlink" Target="http://www.un.org/press/en/type-document/press-release" TargetMode="External"/><Relationship Id="rId28" Type="http://schemas.openxmlformats.org/officeDocument/2006/relationships/hyperlink" Target="https://www.google.co.il/url?sa=t&amp;rct=j&amp;q=&amp;esrc=s&amp;source=web&amp;cd=1&amp;ved=0ahUKEwj74Pejq8HMAhUMDxoKHXGPB9wQFggbMAA&amp;url=http%3A%2F%2Fwww.ohchr.org%2FDocuments%2FHRBodies%2FHRCouncil%2FSpecialSession%2FSession9%2FTranscriptPressBriefing03042009.doc&amp;usg=AFQjCNEkx-3y0o0CO28KuhDdAc6rV-Y87A&amp;sig2=HbD_Rp_ClxEXo2Jl5QG-hQ" TargetMode="External"/><Relationship Id="rId10" Type="http://schemas.openxmlformats.org/officeDocument/2006/relationships/hyperlink" Target="http://www.un.org/en/ga/search/view_doc.asp?symbol=A/RES/68/220" TargetMode="External"/><Relationship Id="rId19" Type="http://schemas.openxmlformats.org/officeDocument/2006/relationships/hyperlink" Target="https://www.icc-cpi.int/en_menus/icc/press%20and%20media/press%20releases/Documents/OTP%20Preliminary%20Examinations/OTP%20-%20Policy%20Paper%20Preliminary%20Examinations%20%202013.pdf" TargetMode="External"/><Relationship Id="rId31" Type="http://schemas.openxmlformats.org/officeDocument/2006/relationships/hyperlink" Target="http://mfa.gov.il/ProtectiveEdge/Documents/2014GazaConflictFullReport.pdf" TargetMode="External"/><Relationship Id="rId4" Type="http://schemas.openxmlformats.org/officeDocument/2006/relationships/hyperlink" Target="https://unispal.un.org/DPA/DPR/unispal.nsf/0/CC2BA38AD897B94985256F24006BC5C3" TargetMode="External"/><Relationship Id="rId9" Type="http://schemas.openxmlformats.org/officeDocument/2006/relationships/hyperlink" Target="https://www.icc-cpi.int/en_menus/icc/structure%20of%20the%20court/office%20of%20the%20prosecutor/comm%20and%20ref/pe-ongoing/afghanistan/Pages/afghanistan.aspx" TargetMode="External"/><Relationship Id="rId14" Type="http://schemas.openxmlformats.org/officeDocument/2006/relationships/hyperlink" Target="https://www.icrc.org/applic/ihl/ihl.nsf/Treaty.xsp?action=openDocument&amp;documentId=4825657B0C7E6BF0C12563CD002D6B0B" TargetMode="External"/><Relationship Id="rId22" Type="http://schemas.openxmlformats.org/officeDocument/2006/relationships/hyperlink" Target="http://www.un.org/press/en/un-bodies/secretary-general" TargetMode="External"/><Relationship Id="rId27" Type="http://schemas.openxmlformats.org/officeDocument/2006/relationships/hyperlink" Target="http://digitalcommons.law.scu.edu/lawreview/vol12/iss2/7" TargetMode="External"/><Relationship Id="rId30" Type="http://schemas.openxmlformats.org/officeDocument/2006/relationships/hyperlink" Target="http://www.spj.org/"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רונ09</b:Tag>
    <b:SourceType>DocumentFromInternetSite</b:SourceType>
    <b:Guid>{3EEF63C4-4834-4002-9DFC-3824DB42C95D}</b:Guid>
    <b:LCID>0</b:LCID>
    <b:Author>
      <b:Author>
        <b:NameList>
          <b:Person>
            <b:Last>גליקמן</b:Last>
            <b:First>רוני</b:First>
            <b:Middle>סופר ואביעד</b:Middle>
          </b:Person>
        </b:NameList>
      </b:Author>
    </b:Author>
    <b:Title>פרס על דו"ח גולדסטון: עושה צחוק מההיסטוריה</b:Title>
    <b:Year>2009</b:Year>
    <b:InternetSiteTitle>Ynet</b:InternetSiteTitle>
    <b:Month>09</b:Month>
    <b:Day>16</b:Day>
    <b:URL>http://www.ynet.co.il/articles/0,7340,L-3777769,00.html</b:URL>
    <b:RefOrder>1</b:RefOrder>
  </b:Source>
</b:Sources>
</file>

<file path=customXml/itemProps1.xml><?xml version="1.0" encoding="utf-8"?>
<ds:datastoreItem xmlns:ds="http://schemas.openxmlformats.org/officeDocument/2006/customXml" ds:itemID="{168507D4-CC14-4EBA-ABBF-C093DE6F0E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1119</TotalTime>
  <Pages>190</Pages>
  <Words>48624</Words>
  <Characters>243124</Characters>
  <Application>Microsoft Office Word</Application>
  <DocSecurity>0</DocSecurity>
  <Lines>2026</Lines>
  <Paragraphs>582</Paragraphs>
  <ScaleCrop>false</ScaleCrop>
  <HeadingPairs>
    <vt:vector size="2" baseType="variant">
      <vt:variant>
        <vt:lpstr>שם</vt:lpstr>
      </vt:variant>
      <vt:variant>
        <vt:i4>1</vt:i4>
      </vt:variant>
    </vt:vector>
  </HeadingPairs>
  <TitlesOfParts>
    <vt:vector size="1" baseType="lpstr">
      <vt:lpstr/>
    </vt:vector>
  </TitlesOfParts>
  <Company>Grizli777</Company>
  <LinksUpToDate>false</LinksUpToDate>
  <CharactersWithSpaces>291166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dc:creator>
  <cp:lastModifiedBy>Eli</cp:lastModifiedBy>
  <cp:revision>27</cp:revision>
  <dcterms:created xsi:type="dcterms:W3CDTF">2016-06-27T06:34:00Z</dcterms:created>
  <dcterms:modified xsi:type="dcterms:W3CDTF">2016-07-11T16:10:00Z</dcterms:modified>
</cp:coreProperties>
</file>